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BC34" w14:textId="06383508" w:rsidR="008113E9" w:rsidRPr="002F072D" w:rsidRDefault="00830B47" w:rsidP="008113E9">
      <w:pPr>
        <w:pStyle w:val="Title"/>
      </w:pPr>
      <w:bookmarkStart w:id="0" w:name="_Toc202343255"/>
      <w:bookmarkStart w:id="1" w:name="_Toc216787169"/>
      <w:bookmarkStart w:id="2" w:name="_Toc216945246"/>
      <w:bookmarkStart w:id="3" w:name="_Toc217295114"/>
      <w:bookmarkStart w:id="4" w:name="_Toc217306272"/>
      <w:bookmarkStart w:id="5" w:name="_Toc217306332"/>
      <w:r w:rsidRPr="002F072D">
        <w:t>Regulator Performance Framework</w:t>
      </w:r>
      <w:permStart w:id="410742187" w:edGrp="everyone"/>
      <w:permEnd w:id="410742187"/>
      <w:r w:rsidRPr="002F072D">
        <w:t xml:space="preserve"> 2024-25</w:t>
      </w:r>
      <w:bookmarkEnd w:id="0"/>
      <w:bookmarkEnd w:id="1"/>
      <w:bookmarkEnd w:id="2"/>
      <w:bookmarkEnd w:id="3"/>
      <w:bookmarkEnd w:id="4"/>
      <w:bookmarkEnd w:id="5"/>
    </w:p>
    <w:p w14:paraId="050CC7E6" w14:textId="5C034284" w:rsidR="008113E9" w:rsidRDefault="00830B47" w:rsidP="008113E9">
      <w:pPr>
        <w:pStyle w:val="Subtitle"/>
        <w:sectPr w:rsidR="008113E9" w:rsidSect="008113E9">
          <w:headerReference w:type="default" r:id="rId8"/>
          <w:footerReference w:type="default" r:id="rId9"/>
          <w:headerReference w:type="first" r:id="rId10"/>
          <w:pgSz w:w="11906" w:h="16838" w:code="9"/>
          <w:pgMar w:top="12049" w:right="1418" w:bottom="1843" w:left="1418" w:header="567" w:footer="567" w:gutter="0"/>
          <w:pgNumType w:start="0"/>
          <w:cols w:space="708"/>
          <w:titlePg/>
          <w:docGrid w:linePitch="360"/>
        </w:sectPr>
      </w:pPr>
      <w:r>
        <w:t>Department of Transport and Main Roads</w:t>
      </w:r>
    </w:p>
    <w:p w14:paraId="565D6E16" w14:textId="77777777" w:rsidR="008113E9" w:rsidRPr="00092BB5" w:rsidRDefault="008113E9" w:rsidP="008113E9">
      <w:pPr>
        <w:rPr>
          <w:b/>
          <w:bCs/>
        </w:rPr>
      </w:pPr>
      <w:r w:rsidRPr="00092BB5">
        <w:rPr>
          <w:b/>
          <w:bCs/>
        </w:rPr>
        <w:lastRenderedPageBreak/>
        <w:t>Translating and interpreting assistance</w:t>
      </w:r>
    </w:p>
    <w:p w14:paraId="59553049" w14:textId="77777777" w:rsidR="008113E9" w:rsidRDefault="008113E9" w:rsidP="00A870D6">
      <w:pPr>
        <w:jc w:val="both"/>
      </w:pPr>
      <w: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Government (Department of Transport and Main Roads) on 13 74 68.</w:t>
      </w:r>
    </w:p>
    <w:p w14:paraId="342A48BF" w14:textId="77777777" w:rsidR="008113E9" w:rsidRPr="00092BB5" w:rsidRDefault="008113E9" w:rsidP="008113E9">
      <w:pPr>
        <w:rPr>
          <w:b/>
          <w:bCs/>
        </w:rPr>
      </w:pPr>
      <w:r w:rsidRPr="00092BB5">
        <w:rPr>
          <w:b/>
          <w:bCs/>
        </w:rPr>
        <w:t xml:space="preserve">Copyright </w:t>
      </w:r>
    </w:p>
    <w:p w14:paraId="55359443" w14:textId="77777777" w:rsidR="008113E9" w:rsidRDefault="008113E9" w:rsidP="00A870D6">
      <w:pPr>
        <w:jc w:val="both"/>
      </w:pPr>
      <w:r>
        <w:t xml:space="preserve">This publication is protected by the </w:t>
      </w:r>
      <w:r w:rsidRPr="00A870D6">
        <w:rPr>
          <w:i/>
          <w:iCs/>
        </w:rPr>
        <w:t>Copyright Act 1968</w:t>
      </w:r>
      <w:r>
        <w:t>. © The State of Queensland, 2025.</w:t>
      </w:r>
    </w:p>
    <w:p w14:paraId="0385B61F" w14:textId="77777777" w:rsidR="008113E9" w:rsidRPr="00092BB5" w:rsidRDefault="008113E9" w:rsidP="00A870D6">
      <w:pPr>
        <w:jc w:val="both"/>
        <w:rPr>
          <w:b/>
          <w:bCs/>
        </w:rPr>
      </w:pPr>
      <w:r w:rsidRPr="00092BB5">
        <w:rPr>
          <w:b/>
          <w:bCs/>
        </w:rPr>
        <w:t>Disclaimer</w:t>
      </w:r>
    </w:p>
    <w:p w14:paraId="3BA86654" w14:textId="77777777" w:rsidR="008113E9" w:rsidRDefault="008113E9" w:rsidP="00A870D6">
      <w:pPr>
        <w:jc w:val="both"/>
        <w:sectPr w:rsidR="008113E9" w:rsidSect="008113E9">
          <w:headerReference w:type="first" r:id="rId11"/>
          <w:footerReference w:type="first" r:id="rId12"/>
          <w:pgSz w:w="11906" w:h="16838" w:code="9"/>
          <w:pgMar w:top="1135" w:right="1418" w:bottom="1843" w:left="1418" w:header="567" w:footer="567" w:gutter="0"/>
          <w:cols w:space="708"/>
          <w:titlePg/>
          <w:docGrid w:linePitch="360"/>
        </w:sectPr>
      </w:pPr>
      <w:r>
        <w:t>While every care has been taken in preparing this publication, to the extent permitted by law, the State of Queensland accepts no responsibility and disclaims all liability (including without limitation, liability in negligence) for all expenses, losses (including direct and indirect loss), damages and costs incurred as a result of decisions or actions taken as a result of any data, information, statement or advice, expressed or implied, contained within. To the best of our knowledge, the content was correct at the time of publishing.</w:t>
      </w:r>
    </w:p>
    <w:sdt>
      <w:sdtPr>
        <w:rPr>
          <w:rFonts w:eastAsiaTheme="minorHAnsi" w:cstheme="minorBidi"/>
          <w:color w:val="2F2F2F" w:themeColor="text1" w:themeTint="E6"/>
          <w:sz w:val="24"/>
          <w:szCs w:val="22"/>
        </w:rPr>
        <w:id w:val="-2102864559"/>
        <w:docPartObj>
          <w:docPartGallery w:val="Table of Contents"/>
          <w:docPartUnique/>
        </w:docPartObj>
      </w:sdtPr>
      <w:sdtEndPr>
        <w:rPr>
          <w:b/>
          <w:bCs/>
          <w:noProof/>
        </w:rPr>
      </w:sdtEndPr>
      <w:sdtContent>
        <w:p w14:paraId="466A7EA7" w14:textId="77777777" w:rsidR="008113E9" w:rsidRDefault="008113E9">
          <w:pPr>
            <w:pStyle w:val="TOCHeading"/>
          </w:pPr>
          <w:r>
            <w:t>Contents</w:t>
          </w:r>
        </w:p>
        <w:p w14:paraId="3E04C5CF" w14:textId="7661A4E5" w:rsidR="00BC6E03" w:rsidRDefault="008113E9">
          <w:pPr>
            <w:pStyle w:val="TOC1"/>
            <w:rPr>
              <w:rFonts w:asciiTheme="minorHAnsi" w:eastAsiaTheme="minorEastAsia" w:hAnsiTheme="minorHAnsi"/>
              <w:b w:val="0"/>
              <w:color w:val="auto"/>
              <w:kern w:val="2"/>
              <w:szCs w:val="24"/>
              <w:lang w:eastAsia="en-AU"/>
              <w14:ligatures w14:val="standardContextual"/>
            </w:rPr>
          </w:pPr>
          <w:r>
            <w:rPr>
              <w:noProof w:val="0"/>
            </w:rPr>
            <w:fldChar w:fldCharType="begin"/>
          </w:r>
          <w:r>
            <w:instrText xml:space="preserve"> TOC \o "1-3" \h \z \u </w:instrText>
          </w:r>
          <w:r>
            <w:rPr>
              <w:noProof w:val="0"/>
            </w:rPr>
            <w:fldChar w:fldCharType="separate"/>
          </w:r>
          <w:hyperlink w:anchor="_Toc217306332" w:history="1"/>
        </w:p>
        <w:p w14:paraId="58255D15" w14:textId="470379AE"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33" w:history="1">
            <w:r w:rsidRPr="00EF2811">
              <w:rPr>
                <w:rStyle w:val="Hyperlink"/>
              </w:rPr>
              <w:t>Introduction</w:t>
            </w:r>
            <w:r>
              <w:rPr>
                <w:webHidden/>
              </w:rPr>
              <w:tab/>
            </w:r>
            <w:r>
              <w:rPr>
                <w:webHidden/>
              </w:rPr>
              <w:fldChar w:fldCharType="begin"/>
            </w:r>
            <w:r>
              <w:rPr>
                <w:webHidden/>
              </w:rPr>
              <w:instrText xml:space="preserve"> PAGEREF _Toc217306333 \h </w:instrText>
            </w:r>
            <w:r>
              <w:rPr>
                <w:webHidden/>
              </w:rPr>
            </w:r>
            <w:r>
              <w:rPr>
                <w:webHidden/>
              </w:rPr>
              <w:fldChar w:fldCharType="separate"/>
            </w:r>
            <w:r w:rsidR="007F1143">
              <w:rPr>
                <w:webHidden/>
              </w:rPr>
              <w:t>3</w:t>
            </w:r>
            <w:r>
              <w:rPr>
                <w:webHidden/>
              </w:rPr>
              <w:fldChar w:fldCharType="end"/>
            </w:r>
          </w:hyperlink>
        </w:p>
        <w:p w14:paraId="2C70C207" w14:textId="79EA9861"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34" w:history="1">
            <w:r w:rsidRPr="00EF2811">
              <w:rPr>
                <w:rStyle w:val="Hyperlink"/>
              </w:rPr>
              <w:t>Model Practice 1</w:t>
            </w:r>
            <w:r>
              <w:rPr>
                <w:webHidden/>
              </w:rPr>
              <w:tab/>
            </w:r>
            <w:r>
              <w:rPr>
                <w:webHidden/>
              </w:rPr>
              <w:fldChar w:fldCharType="begin"/>
            </w:r>
            <w:r>
              <w:rPr>
                <w:webHidden/>
              </w:rPr>
              <w:instrText xml:space="preserve"> PAGEREF _Toc217306334 \h </w:instrText>
            </w:r>
            <w:r>
              <w:rPr>
                <w:webHidden/>
              </w:rPr>
            </w:r>
            <w:r>
              <w:rPr>
                <w:webHidden/>
              </w:rPr>
              <w:fldChar w:fldCharType="separate"/>
            </w:r>
            <w:r w:rsidR="007F1143">
              <w:rPr>
                <w:webHidden/>
              </w:rPr>
              <w:t>5</w:t>
            </w:r>
            <w:r>
              <w:rPr>
                <w:webHidden/>
              </w:rPr>
              <w:fldChar w:fldCharType="end"/>
            </w:r>
          </w:hyperlink>
        </w:p>
        <w:p w14:paraId="7CD04062" w14:textId="5E1A3B01" w:rsidR="00BC6E03" w:rsidRDefault="00BC6E03">
          <w:pPr>
            <w:pStyle w:val="TOC2"/>
            <w:tabs>
              <w:tab w:val="right" w:leader="dot" w:pos="9060"/>
            </w:tabs>
            <w:rPr>
              <w:rFonts w:asciiTheme="minorHAnsi" w:eastAsiaTheme="minorEastAsia" w:hAnsiTheme="minorHAnsi"/>
              <w:noProof/>
              <w:color w:val="auto"/>
              <w:kern w:val="2"/>
              <w:szCs w:val="24"/>
              <w:lang w:eastAsia="en-AU"/>
              <w14:ligatures w14:val="standardContextual"/>
            </w:rPr>
          </w:pPr>
          <w:hyperlink w:anchor="_Toc217306335" w:history="1">
            <w:r w:rsidRPr="00EF2811">
              <w:rPr>
                <w:rStyle w:val="Hyperlink"/>
                <w:noProof/>
              </w:rPr>
              <w:t>Ensure regulatory activity is proportionate to risk and minimises unnecessary burden</w:t>
            </w:r>
            <w:r>
              <w:rPr>
                <w:noProof/>
                <w:webHidden/>
              </w:rPr>
              <w:tab/>
            </w:r>
            <w:r>
              <w:rPr>
                <w:noProof/>
                <w:webHidden/>
              </w:rPr>
              <w:fldChar w:fldCharType="begin"/>
            </w:r>
            <w:r>
              <w:rPr>
                <w:noProof/>
                <w:webHidden/>
              </w:rPr>
              <w:instrText xml:space="preserve"> PAGEREF _Toc217306335 \h </w:instrText>
            </w:r>
            <w:r>
              <w:rPr>
                <w:noProof/>
                <w:webHidden/>
              </w:rPr>
            </w:r>
            <w:r>
              <w:rPr>
                <w:noProof/>
                <w:webHidden/>
              </w:rPr>
              <w:fldChar w:fldCharType="separate"/>
            </w:r>
            <w:r w:rsidR="007F1143">
              <w:rPr>
                <w:noProof/>
                <w:webHidden/>
              </w:rPr>
              <w:t>5</w:t>
            </w:r>
            <w:r>
              <w:rPr>
                <w:noProof/>
                <w:webHidden/>
              </w:rPr>
              <w:fldChar w:fldCharType="end"/>
            </w:r>
          </w:hyperlink>
        </w:p>
        <w:p w14:paraId="5C42F87F" w14:textId="262ADF11"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36" w:history="1">
            <w:r w:rsidRPr="00EF2811">
              <w:rPr>
                <w:rStyle w:val="Hyperlink"/>
              </w:rPr>
              <w:t>Model Practice 2</w:t>
            </w:r>
            <w:r>
              <w:rPr>
                <w:webHidden/>
              </w:rPr>
              <w:tab/>
            </w:r>
            <w:r>
              <w:rPr>
                <w:webHidden/>
              </w:rPr>
              <w:fldChar w:fldCharType="begin"/>
            </w:r>
            <w:r>
              <w:rPr>
                <w:webHidden/>
              </w:rPr>
              <w:instrText xml:space="preserve"> PAGEREF _Toc217306336 \h </w:instrText>
            </w:r>
            <w:r>
              <w:rPr>
                <w:webHidden/>
              </w:rPr>
            </w:r>
            <w:r>
              <w:rPr>
                <w:webHidden/>
              </w:rPr>
              <w:fldChar w:fldCharType="separate"/>
            </w:r>
            <w:r w:rsidR="007F1143">
              <w:rPr>
                <w:webHidden/>
              </w:rPr>
              <w:t>6</w:t>
            </w:r>
            <w:r>
              <w:rPr>
                <w:webHidden/>
              </w:rPr>
              <w:fldChar w:fldCharType="end"/>
            </w:r>
          </w:hyperlink>
        </w:p>
        <w:p w14:paraId="1043F496" w14:textId="366383A7" w:rsidR="00BC6E03" w:rsidRDefault="00BC6E03">
          <w:pPr>
            <w:pStyle w:val="TOC2"/>
            <w:tabs>
              <w:tab w:val="right" w:leader="dot" w:pos="9060"/>
            </w:tabs>
            <w:rPr>
              <w:rFonts w:asciiTheme="minorHAnsi" w:eastAsiaTheme="minorEastAsia" w:hAnsiTheme="minorHAnsi"/>
              <w:noProof/>
              <w:color w:val="auto"/>
              <w:kern w:val="2"/>
              <w:szCs w:val="24"/>
              <w:lang w:eastAsia="en-AU"/>
              <w14:ligatures w14:val="standardContextual"/>
            </w:rPr>
          </w:pPr>
          <w:hyperlink w:anchor="_Toc217306337" w:history="1">
            <w:r w:rsidRPr="00EF2811">
              <w:rPr>
                <w:rStyle w:val="Hyperlink"/>
                <w:noProof/>
              </w:rPr>
              <w:t>Consult and engage meaningfully with stakeholders</w:t>
            </w:r>
            <w:r>
              <w:rPr>
                <w:noProof/>
                <w:webHidden/>
              </w:rPr>
              <w:tab/>
            </w:r>
            <w:r>
              <w:rPr>
                <w:noProof/>
                <w:webHidden/>
              </w:rPr>
              <w:fldChar w:fldCharType="begin"/>
            </w:r>
            <w:r>
              <w:rPr>
                <w:noProof/>
                <w:webHidden/>
              </w:rPr>
              <w:instrText xml:space="preserve"> PAGEREF _Toc217306337 \h </w:instrText>
            </w:r>
            <w:r>
              <w:rPr>
                <w:noProof/>
                <w:webHidden/>
              </w:rPr>
            </w:r>
            <w:r>
              <w:rPr>
                <w:noProof/>
                <w:webHidden/>
              </w:rPr>
              <w:fldChar w:fldCharType="separate"/>
            </w:r>
            <w:r w:rsidR="007F1143">
              <w:rPr>
                <w:noProof/>
                <w:webHidden/>
              </w:rPr>
              <w:t>6</w:t>
            </w:r>
            <w:r>
              <w:rPr>
                <w:noProof/>
                <w:webHidden/>
              </w:rPr>
              <w:fldChar w:fldCharType="end"/>
            </w:r>
          </w:hyperlink>
        </w:p>
        <w:p w14:paraId="1A0AC6CE" w14:textId="012F1A11"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38" w:history="1">
            <w:r w:rsidRPr="00EF2811">
              <w:rPr>
                <w:rStyle w:val="Hyperlink"/>
              </w:rPr>
              <w:t>Model Practice 3</w:t>
            </w:r>
            <w:r>
              <w:rPr>
                <w:webHidden/>
              </w:rPr>
              <w:tab/>
            </w:r>
            <w:r>
              <w:rPr>
                <w:webHidden/>
              </w:rPr>
              <w:fldChar w:fldCharType="begin"/>
            </w:r>
            <w:r>
              <w:rPr>
                <w:webHidden/>
              </w:rPr>
              <w:instrText xml:space="preserve"> PAGEREF _Toc217306338 \h </w:instrText>
            </w:r>
            <w:r>
              <w:rPr>
                <w:webHidden/>
              </w:rPr>
            </w:r>
            <w:r>
              <w:rPr>
                <w:webHidden/>
              </w:rPr>
              <w:fldChar w:fldCharType="separate"/>
            </w:r>
            <w:r w:rsidR="007F1143">
              <w:rPr>
                <w:webHidden/>
              </w:rPr>
              <w:t>9</w:t>
            </w:r>
            <w:r>
              <w:rPr>
                <w:webHidden/>
              </w:rPr>
              <w:fldChar w:fldCharType="end"/>
            </w:r>
          </w:hyperlink>
        </w:p>
        <w:p w14:paraId="2A799C09" w14:textId="4A4EA6D6" w:rsidR="00BC6E03" w:rsidRDefault="00BC6E03">
          <w:pPr>
            <w:pStyle w:val="TOC2"/>
            <w:tabs>
              <w:tab w:val="right" w:leader="dot" w:pos="9060"/>
            </w:tabs>
            <w:rPr>
              <w:rFonts w:asciiTheme="minorHAnsi" w:eastAsiaTheme="minorEastAsia" w:hAnsiTheme="minorHAnsi"/>
              <w:noProof/>
              <w:color w:val="auto"/>
              <w:kern w:val="2"/>
              <w:szCs w:val="24"/>
              <w:lang w:eastAsia="en-AU"/>
              <w14:ligatures w14:val="standardContextual"/>
            </w:rPr>
          </w:pPr>
          <w:hyperlink w:anchor="_Toc217306339" w:history="1">
            <w:r w:rsidRPr="00EF2811">
              <w:rPr>
                <w:rStyle w:val="Hyperlink"/>
                <w:noProof/>
              </w:rPr>
              <w:t>Provide appropriate information and support to assist compliance</w:t>
            </w:r>
            <w:r>
              <w:rPr>
                <w:noProof/>
                <w:webHidden/>
              </w:rPr>
              <w:tab/>
            </w:r>
            <w:r>
              <w:rPr>
                <w:noProof/>
                <w:webHidden/>
              </w:rPr>
              <w:fldChar w:fldCharType="begin"/>
            </w:r>
            <w:r>
              <w:rPr>
                <w:noProof/>
                <w:webHidden/>
              </w:rPr>
              <w:instrText xml:space="preserve"> PAGEREF _Toc217306339 \h </w:instrText>
            </w:r>
            <w:r>
              <w:rPr>
                <w:noProof/>
                <w:webHidden/>
              </w:rPr>
            </w:r>
            <w:r>
              <w:rPr>
                <w:noProof/>
                <w:webHidden/>
              </w:rPr>
              <w:fldChar w:fldCharType="separate"/>
            </w:r>
            <w:r w:rsidR="007F1143">
              <w:rPr>
                <w:noProof/>
                <w:webHidden/>
              </w:rPr>
              <w:t>9</w:t>
            </w:r>
            <w:r>
              <w:rPr>
                <w:noProof/>
                <w:webHidden/>
              </w:rPr>
              <w:fldChar w:fldCharType="end"/>
            </w:r>
          </w:hyperlink>
        </w:p>
        <w:p w14:paraId="1663DEE3" w14:textId="68474374"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40" w:history="1">
            <w:r w:rsidRPr="00EF2811">
              <w:rPr>
                <w:rStyle w:val="Hyperlink"/>
              </w:rPr>
              <w:t>Model Practice 4</w:t>
            </w:r>
            <w:r>
              <w:rPr>
                <w:webHidden/>
              </w:rPr>
              <w:tab/>
            </w:r>
            <w:r>
              <w:rPr>
                <w:webHidden/>
              </w:rPr>
              <w:fldChar w:fldCharType="begin"/>
            </w:r>
            <w:r>
              <w:rPr>
                <w:webHidden/>
              </w:rPr>
              <w:instrText xml:space="preserve"> PAGEREF _Toc217306340 \h </w:instrText>
            </w:r>
            <w:r>
              <w:rPr>
                <w:webHidden/>
              </w:rPr>
            </w:r>
            <w:r>
              <w:rPr>
                <w:webHidden/>
              </w:rPr>
              <w:fldChar w:fldCharType="separate"/>
            </w:r>
            <w:r w:rsidR="007F1143">
              <w:rPr>
                <w:webHidden/>
              </w:rPr>
              <w:t>11</w:t>
            </w:r>
            <w:r>
              <w:rPr>
                <w:webHidden/>
              </w:rPr>
              <w:fldChar w:fldCharType="end"/>
            </w:r>
          </w:hyperlink>
        </w:p>
        <w:p w14:paraId="106A673C" w14:textId="701D4205" w:rsidR="00BC6E03" w:rsidRDefault="00BC6E03">
          <w:pPr>
            <w:pStyle w:val="TOC2"/>
            <w:tabs>
              <w:tab w:val="right" w:leader="dot" w:pos="9060"/>
            </w:tabs>
            <w:rPr>
              <w:rFonts w:asciiTheme="minorHAnsi" w:eastAsiaTheme="minorEastAsia" w:hAnsiTheme="minorHAnsi"/>
              <w:noProof/>
              <w:color w:val="auto"/>
              <w:kern w:val="2"/>
              <w:szCs w:val="24"/>
              <w:lang w:eastAsia="en-AU"/>
              <w14:ligatures w14:val="standardContextual"/>
            </w:rPr>
          </w:pPr>
          <w:hyperlink w:anchor="_Toc217306341" w:history="1">
            <w:r w:rsidRPr="00EF2811">
              <w:rPr>
                <w:rStyle w:val="Hyperlink"/>
                <w:noProof/>
              </w:rPr>
              <w:t>Commit to continuous improvement</w:t>
            </w:r>
            <w:r>
              <w:rPr>
                <w:noProof/>
                <w:webHidden/>
              </w:rPr>
              <w:tab/>
            </w:r>
            <w:r>
              <w:rPr>
                <w:noProof/>
                <w:webHidden/>
              </w:rPr>
              <w:fldChar w:fldCharType="begin"/>
            </w:r>
            <w:r>
              <w:rPr>
                <w:noProof/>
                <w:webHidden/>
              </w:rPr>
              <w:instrText xml:space="preserve"> PAGEREF _Toc217306341 \h </w:instrText>
            </w:r>
            <w:r>
              <w:rPr>
                <w:noProof/>
                <w:webHidden/>
              </w:rPr>
            </w:r>
            <w:r>
              <w:rPr>
                <w:noProof/>
                <w:webHidden/>
              </w:rPr>
              <w:fldChar w:fldCharType="separate"/>
            </w:r>
            <w:r w:rsidR="007F1143">
              <w:rPr>
                <w:noProof/>
                <w:webHidden/>
              </w:rPr>
              <w:t>11</w:t>
            </w:r>
            <w:r>
              <w:rPr>
                <w:noProof/>
                <w:webHidden/>
              </w:rPr>
              <w:fldChar w:fldCharType="end"/>
            </w:r>
          </w:hyperlink>
        </w:p>
        <w:p w14:paraId="5D07282F" w14:textId="5509088D"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42" w:history="1">
            <w:r w:rsidRPr="00EF2811">
              <w:rPr>
                <w:rStyle w:val="Hyperlink"/>
              </w:rPr>
              <w:t>Model Practice 5</w:t>
            </w:r>
            <w:r>
              <w:rPr>
                <w:webHidden/>
              </w:rPr>
              <w:tab/>
            </w:r>
            <w:r>
              <w:rPr>
                <w:webHidden/>
              </w:rPr>
              <w:fldChar w:fldCharType="begin"/>
            </w:r>
            <w:r>
              <w:rPr>
                <w:webHidden/>
              </w:rPr>
              <w:instrText xml:space="preserve"> PAGEREF _Toc217306342 \h </w:instrText>
            </w:r>
            <w:r>
              <w:rPr>
                <w:webHidden/>
              </w:rPr>
            </w:r>
            <w:r>
              <w:rPr>
                <w:webHidden/>
              </w:rPr>
              <w:fldChar w:fldCharType="separate"/>
            </w:r>
            <w:r w:rsidR="007F1143">
              <w:rPr>
                <w:webHidden/>
              </w:rPr>
              <w:t>13</w:t>
            </w:r>
            <w:r>
              <w:rPr>
                <w:webHidden/>
              </w:rPr>
              <w:fldChar w:fldCharType="end"/>
            </w:r>
          </w:hyperlink>
        </w:p>
        <w:p w14:paraId="769D8689" w14:textId="680A9598" w:rsidR="00BC6E03" w:rsidRDefault="00BC6E03">
          <w:pPr>
            <w:pStyle w:val="TOC2"/>
            <w:tabs>
              <w:tab w:val="right" w:leader="dot" w:pos="9060"/>
            </w:tabs>
            <w:rPr>
              <w:rFonts w:asciiTheme="minorHAnsi" w:eastAsiaTheme="minorEastAsia" w:hAnsiTheme="minorHAnsi"/>
              <w:noProof/>
              <w:color w:val="auto"/>
              <w:kern w:val="2"/>
              <w:szCs w:val="24"/>
              <w:lang w:eastAsia="en-AU"/>
              <w14:ligatures w14:val="standardContextual"/>
            </w:rPr>
          </w:pPr>
          <w:hyperlink w:anchor="_Toc217306343" w:history="1">
            <w:r w:rsidRPr="00EF2811">
              <w:rPr>
                <w:rStyle w:val="Hyperlink"/>
                <w:noProof/>
              </w:rPr>
              <w:t>Be transparent and accountable in actions</w:t>
            </w:r>
            <w:r>
              <w:rPr>
                <w:noProof/>
                <w:webHidden/>
              </w:rPr>
              <w:tab/>
            </w:r>
            <w:r>
              <w:rPr>
                <w:noProof/>
                <w:webHidden/>
              </w:rPr>
              <w:fldChar w:fldCharType="begin"/>
            </w:r>
            <w:r>
              <w:rPr>
                <w:noProof/>
                <w:webHidden/>
              </w:rPr>
              <w:instrText xml:space="preserve"> PAGEREF _Toc217306343 \h </w:instrText>
            </w:r>
            <w:r>
              <w:rPr>
                <w:noProof/>
                <w:webHidden/>
              </w:rPr>
            </w:r>
            <w:r>
              <w:rPr>
                <w:noProof/>
                <w:webHidden/>
              </w:rPr>
              <w:fldChar w:fldCharType="separate"/>
            </w:r>
            <w:r w:rsidR="007F1143">
              <w:rPr>
                <w:noProof/>
                <w:webHidden/>
              </w:rPr>
              <w:t>13</w:t>
            </w:r>
            <w:r>
              <w:rPr>
                <w:noProof/>
                <w:webHidden/>
              </w:rPr>
              <w:fldChar w:fldCharType="end"/>
            </w:r>
          </w:hyperlink>
        </w:p>
        <w:p w14:paraId="143F3274" w14:textId="715DEFC2" w:rsidR="00BC6E03" w:rsidRDefault="00BC6E03">
          <w:pPr>
            <w:pStyle w:val="TOC1"/>
            <w:rPr>
              <w:rFonts w:asciiTheme="minorHAnsi" w:eastAsiaTheme="minorEastAsia" w:hAnsiTheme="minorHAnsi"/>
              <w:b w:val="0"/>
              <w:color w:val="auto"/>
              <w:kern w:val="2"/>
              <w:szCs w:val="24"/>
              <w:lang w:eastAsia="en-AU"/>
              <w14:ligatures w14:val="standardContextual"/>
            </w:rPr>
          </w:pPr>
          <w:hyperlink w:anchor="_Toc217306344" w:history="1">
            <w:r w:rsidRPr="00EF2811">
              <w:rPr>
                <w:rStyle w:val="Hyperlink"/>
              </w:rPr>
              <w:t>Appendix 1- Portfolio Legislation</w:t>
            </w:r>
            <w:r>
              <w:rPr>
                <w:webHidden/>
              </w:rPr>
              <w:tab/>
            </w:r>
            <w:r>
              <w:rPr>
                <w:webHidden/>
              </w:rPr>
              <w:fldChar w:fldCharType="begin"/>
            </w:r>
            <w:r>
              <w:rPr>
                <w:webHidden/>
              </w:rPr>
              <w:instrText xml:space="preserve"> PAGEREF _Toc217306344 \h </w:instrText>
            </w:r>
            <w:r>
              <w:rPr>
                <w:webHidden/>
              </w:rPr>
            </w:r>
            <w:r>
              <w:rPr>
                <w:webHidden/>
              </w:rPr>
              <w:fldChar w:fldCharType="separate"/>
            </w:r>
            <w:r w:rsidR="007F1143">
              <w:rPr>
                <w:webHidden/>
              </w:rPr>
              <w:t>15</w:t>
            </w:r>
            <w:r>
              <w:rPr>
                <w:webHidden/>
              </w:rPr>
              <w:fldChar w:fldCharType="end"/>
            </w:r>
          </w:hyperlink>
        </w:p>
        <w:p w14:paraId="2BC99FF4" w14:textId="577F4935" w:rsidR="008113E9" w:rsidRDefault="008113E9" w:rsidP="002F072D">
          <w:pPr>
            <w:sectPr w:rsidR="008113E9" w:rsidSect="008113E9">
              <w:headerReference w:type="first" r:id="rId13"/>
              <w:pgSz w:w="11906" w:h="16838" w:code="9"/>
              <w:pgMar w:top="1135" w:right="1418" w:bottom="1843" w:left="1418" w:header="567" w:footer="567" w:gutter="0"/>
              <w:cols w:space="708"/>
              <w:titlePg/>
              <w:docGrid w:linePitch="360"/>
            </w:sectPr>
          </w:pPr>
          <w:r>
            <w:rPr>
              <w:b/>
              <w:bCs/>
              <w:noProof/>
            </w:rPr>
            <w:fldChar w:fldCharType="end"/>
          </w:r>
        </w:p>
      </w:sdtContent>
    </w:sdt>
    <w:p w14:paraId="710A2AEE" w14:textId="2DBD782F" w:rsidR="008113E9" w:rsidRPr="002F072D" w:rsidRDefault="00AD0CEA" w:rsidP="008113E9">
      <w:pPr>
        <w:pStyle w:val="Heading1"/>
      </w:pPr>
      <w:bookmarkStart w:id="6" w:name="_Toc217306333"/>
      <w:r w:rsidRPr="002F072D">
        <w:lastRenderedPageBreak/>
        <w:t>Introduction</w:t>
      </w:r>
      <w:bookmarkEnd w:id="6"/>
    </w:p>
    <w:p w14:paraId="0BF6A1BB" w14:textId="77777777" w:rsidR="009679CF" w:rsidRDefault="001822AC" w:rsidP="00437140">
      <w:pPr>
        <w:suppressAutoHyphens w:val="0"/>
        <w:spacing w:before="0" w:after="160" w:line="259" w:lineRule="auto"/>
        <w:jc w:val="both"/>
      </w:pPr>
      <w:r w:rsidRPr="0052240A">
        <w:t xml:space="preserve">The Queensland Government’s Regulator Performance Framework requires Queensland Government agencies who deliver regulatory functions to report annually on their performance against five model practices, with a focus on </w:t>
      </w:r>
      <w:r w:rsidR="00C03D41">
        <w:t>ensuring</w:t>
      </w:r>
      <w:r w:rsidRPr="0052240A">
        <w:t xml:space="preserve"> the policy objectives of regulation are achieved</w:t>
      </w:r>
      <w:r w:rsidR="00C03D41">
        <w:t>,</w:t>
      </w:r>
      <w:r w:rsidRPr="0052240A">
        <w:t xml:space="preserve"> while balancing any regulatory burden on business</w:t>
      </w:r>
      <w:r w:rsidR="00C03D41">
        <w:t>, including small business.</w:t>
      </w:r>
      <w:r w:rsidR="009679CF">
        <w:t xml:space="preserve"> </w:t>
      </w:r>
    </w:p>
    <w:p w14:paraId="0BCBE72E" w14:textId="7DF6A65F" w:rsidR="00EE50E8" w:rsidRPr="00437140" w:rsidRDefault="00E939A0" w:rsidP="00437140">
      <w:pPr>
        <w:suppressAutoHyphens w:val="0"/>
        <w:spacing w:before="0" w:after="160" w:line="259" w:lineRule="auto"/>
        <w:jc w:val="both"/>
      </w:pPr>
      <w:r w:rsidRPr="00E939A0">
        <w:t>Creating a single integrated network accessible to everyone</w:t>
      </w:r>
      <w:r w:rsidRPr="00DB4BA2">
        <w:t xml:space="preserve"> </w:t>
      </w:r>
      <w:r>
        <w:t xml:space="preserve">is </w:t>
      </w:r>
      <w:r w:rsidR="00C71DCC">
        <w:t xml:space="preserve">both </w:t>
      </w:r>
      <w:r>
        <w:t>the vision and purpose of the</w:t>
      </w:r>
      <w:r w:rsidR="00DB4BA2" w:rsidRPr="00DB4BA2">
        <w:t xml:space="preserve"> Department of Transport and Main Roads (</w:t>
      </w:r>
      <w:r w:rsidR="00D23CB4">
        <w:t>T</w:t>
      </w:r>
      <w:r w:rsidR="00DB4BA2" w:rsidRPr="00DB4BA2">
        <w:t>MR)</w:t>
      </w:r>
      <w:r>
        <w:t>.</w:t>
      </w:r>
    </w:p>
    <w:p w14:paraId="4F186170" w14:textId="18C9C075" w:rsidR="00DB4BA2" w:rsidRPr="00DB4BA2" w:rsidRDefault="00EE50E8" w:rsidP="00680E87">
      <w:pPr>
        <w:suppressAutoHyphens w:val="0"/>
        <w:spacing w:before="0" w:after="160" w:line="259" w:lineRule="auto"/>
        <w:jc w:val="both"/>
      </w:pPr>
      <w:r>
        <w:t>TMR</w:t>
      </w:r>
      <w:r w:rsidR="00DB4BA2" w:rsidRPr="00DB4BA2">
        <w:t xml:space="preserve"> is responsible for planning, managing, and delivering an integrated transport network across road, rail, air, and sea for Queensland. </w:t>
      </w:r>
      <w:r>
        <w:t>It</w:t>
      </w:r>
      <w:r w:rsidR="00DB4BA2" w:rsidRPr="00DB4BA2">
        <w:t xml:space="preserve"> moves and connects people, places, goods, and services, safely, efficiently, and effectively across </w:t>
      </w:r>
      <w:r w:rsidR="00B418A6">
        <w:t>the State</w:t>
      </w:r>
      <w:r w:rsidR="00DB4BA2" w:rsidRPr="00DB4BA2">
        <w:t xml:space="preserve">. </w:t>
      </w:r>
    </w:p>
    <w:p w14:paraId="0A5AE35D" w14:textId="7542C16A" w:rsidR="006C45CF" w:rsidRDefault="00DB4BA2" w:rsidP="00021B1A">
      <w:pPr>
        <w:pStyle w:val="FootnoteText"/>
        <w:jc w:val="both"/>
        <w:rPr>
          <w:sz w:val="24"/>
          <w:szCs w:val="22"/>
        </w:rPr>
      </w:pPr>
      <w:r w:rsidRPr="006C45CF">
        <w:rPr>
          <w:sz w:val="24"/>
          <w:szCs w:val="22"/>
        </w:rPr>
        <w:t>T</w:t>
      </w:r>
      <w:r w:rsidR="00D23CB4">
        <w:rPr>
          <w:sz w:val="24"/>
          <w:szCs w:val="22"/>
        </w:rPr>
        <w:t>MR</w:t>
      </w:r>
      <w:r w:rsidRPr="006C45CF">
        <w:rPr>
          <w:sz w:val="24"/>
          <w:szCs w:val="22"/>
        </w:rPr>
        <w:t xml:space="preserve"> administers a suite of legislation </w:t>
      </w:r>
      <w:r w:rsidR="004131F3">
        <w:rPr>
          <w:sz w:val="24"/>
          <w:szCs w:val="22"/>
        </w:rPr>
        <w:t xml:space="preserve">(see Appendix 1) </w:t>
      </w:r>
      <w:r w:rsidR="00D9777E">
        <w:rPr>
          <w:sz w:val="24"/>
          <w:szCs w:val="22"/>
        </w:rPr>
        <w:t>across</w:t>
      </w:r>
      <w:r w:rsidR="003E53B6" w:rsidRPr="006C45CF">
        <w:rPr>
          <w:sz w:val="24"/>
          <w:szCs w:val="22"/>
        </w:rPr>
        <w:t xml:space="preserve"> </w:t>
      </w:r>
      <w:r w:rsidR="004131F3">
        <w:rPr>
          <w:sz w:val="24"/>
          <w:szCs w:val="22"/>
        </w:rPr>
        <w:t xml:space="preserve">the </w:t>
      </w:r>
      <w:r w:rsidR="003E53B6" w:rsidRPr="006C45CF">
        <w:rPr>
          <w:sz w:val="24"/>
          <w:szCs w:val="22"/>
        </w:rPr>
        <w:t xml:space="preserve">areas of ministerial responsibility </w:t>
      </w:r>
      <w:r w:rsidR="00A3479D">
        <w:rPr>
          <w:sz w:val="24"/>
          <w:szCs w:val="22"/>
        </w:rPr>
        <w:t xml:space="preserve">prescribed </w:t>
      </w:r>
      <w:r w:rsidR="0000736E">
        <w:rPr>
          <w:sz w:val="24"/>
          <w:szCs w:val="22"/>
        </w:rPr>
        <w:t>by</w:t>
      </w:r>
      <w:r w:rsidR="00021B1A">
        <w:rPr>
          <w:sz w:val="24"/>
          <w:szCs w:val="22"/>
        </w:rPr>
        <w:t xml:space="preserve"> </w:t>
      </w:r>
      <w:r w:rsidR="006C45CF" w:rsidRPr="006C45CF">
        <w:rPr>
          <w:sz w:val="24"/>
          <w:szCs w:val="22"/>
        </w:rPr>
        <w:t>Administrative Arrangements Order</w:t>
      </w:r>
      <w:r w:rsidR="0000736E">
        <w:rPr>
          <w:sz w:val="24"/>
          <w:szCs w:val="22"/>
        </w:rPr>
        <w:t xml:space="preserve">, </w:t>
      </w:r>
      <w:r w:rsidR="006C45CF">
        <w:rPr>
          <w:sz w:val="24"/>
          <w:szCs w:val="22"/>
        </w:rPr>
        <w:t>being</w:t>
      </w:r>
      <w:r w:rsidR="00F22F68">
        <w:rPr>
          <w:sz w:val="24"/>
          <w:szCs w:val="22"/>
        </w:rPr>
        <w:t>:</w:t>
      </w:r>
    </w:p>
    <w:p w14:paraId="11460C0C" w14:textId="77777777" w:rsidR="00021B1A" w:rsidRPr="006C45CF" w:rsidRDefault="00021B1A" w:rsidP="006C45CF">
      <w:pPr>
        <w:pStyle w:val="FootnoteText"/>
        <w:rPr>
          <w:sz w:val="24"/>
          <w:szCs w:val="22"/>
        </w:rPr>
      </w:pPr>
    </w:p>
    <w:p w14:paraId="53647335" w14:textId="77777777" w:rsidR="00DB4BA2" w:rsidRPr="00DB4BA2" w:rsidRDefault="00DB4BA2" w:rsidP="00680E87">
      <w:pPr>
        <w:numPr>
          <w:ilvl w:val="0"/>
          <w:numId w:val="44"/>
        </w:numPr>
        <w:suppressAutoHyphens w:val="0"/>
        <w:spacing w:before="0" w:after="160" w:line="259" w:lineRule="auto"/>
        <w:jc w:val="both"/>
      </w:pPr>
      <w:r w:rsidRPr="00DB4BA2">
        <w:t xml:space="preserve">Air Services </w:t>
      </w:r>
    </w:p>
    <w:p w14:paraId="4FA48DE5" w14:textId="77777777" w:rsidR="00DB4BA2" w:rsidRPr="00DB4BA2" w:rsidRDefault="00DB4BA2" w:rsidP="00680E87">
      <w:pPr>
        <w:numPr>
          <w:ilvl w:val="0"/>
          <w:numId w:val="44"/>
        </w:numPr>
        <w:suppressAutoHyphens w:val="0"/>
        <w:spacing w:before="0" w:after="160" w:line="259" w:lineRule="auto"/>
        <w:jc w:val="both"/>
      </w:pPr>
      <w:r w:rsidRPr="00DB4BA2">
        <w:t xml:space="preserve">Busways </w:t>
      </w:r>
    </w:p>
    <w:p w14:paraId="76E47BA1" w14:textId="77777777" w:rsidR="00DB4BA2" w:rsidRPr="00DB4BA2" w:rsidRDefault="00DB4BA2" w:rsidP="00680E87">
      <w:pPr>
        <w:numPr>
          <w:ilvl w:val="0"/>
          <w:numId w:val="44"/>
        </w:numPr>
        <w:suppressAutoHyphens w:val="0"/>
        <w:spacing w:before="0" w:after="160" w:line="259" w:lineRule="auto"/>
        <w:jc w:val="both"/>
      </w:pPr>
      <w:r w:rsidRPr="00DB4BA2">
        <w:t xml:space="preserve">Land Transport and Safety </w:t>
      </w:r>
    </w:p>
    <w:p w14:paraId="3667CFD7" w14:textId="77777777" w:rsidR="00DB4BA2" w:rsidRPr="00DB4BA2" w:rsidRDefault="00DB4BA2" w:rsidP="00680E87">
      <w:pPr>
        <w:numPr>
          <w:ilvl w:val="0"/>
          <w:numId w:val="44"/>
        </w:numPr>
        <w:suppressAutoHyphens w:val="0"/>
        <w:spacing w:before="0" w:after="160" w:line="259" w:lineRule="auto"/>
        <w:jc w:val="both"/>
      </w:pPr>
      <w:r w:rsidRPr="00DB4BA2">
        <w:t xml:space="preserve">Main Roads </w:t>
      </w:r>
    </w:p>
    <w:p w14:paraId="479D4ACA" w14:textId="51073BC6" w:rsidR="00DB4BA2" w:rsidRPr="00DB4BA2" w:rsidRDefault="00DB4BA2" w:rsidP="00680E87">
      <w:pPr>
        <w:numPr>
          <w:ilvl w:val="0"/>
          <w:numId w:val="44"/>
        </w:numPr>
        <w:suppressAutoHyphens w:val="0"/>
        <w:spacing w:before="0" w:after="160" w:line="259" w:lineRule="auto"/>
        <w:jc w:val="both"/>
      </w:pPr>
      <w:r w:rsidRPr="00DB4BA2">
        <w:t xml:space="preserve">Marine Infrastructure </w:t>
      </w:r>
      <w:r w:rsidR="00992BA2">
        <w:t>– Project Delivery</w:t>
      </w:r>
    </w:p>
    <w:p w14:paraId="784AFF7F" w14:textId="3676DC61" w:rsidR="00DB4BA2" w:rsidRPr="00DB4BA2" w:rsidRDefault="007028D3" w:rsidP="00680E87">
      <w:pPr>
        <w:numPr>
          <w:ilvl w:val="0"/>
          <w:numId w:val="44"/>
        </w:numPr>
        <w:suppressAutoHyphens w:val="0"/>
        <w:spacing w:before="0" w:after="160" w:line="259" w:lineRule="auto"/>
        <w:jc w:val="both"/>
      </w:pPr>
      <w:r>
        <w:t>Maritime</w:t>
      </w:r>
    </w:p>
    <w:p w14:paraId="70389C5A" w14:textId="77777777" w:rsidR="00DB4BA2" w:rsidRPr="00DB4BA2" w:rsidRDefault="00DB4BA2" w:rsidP="00680E87">
      <w:pPr>
        <w:numPr>
          <w:ilvl w:val="0"/>
          <w:numId w:val="44"/>
        </w:numPr>
        <w:suppressAutoHyphens w:val="0"/>
        <w:spacing w:before="0" w:after="160" w:line="259" w:lineRule="auto"/>
        <w:jc w:val="both"/>
      </w:pPr>
      <w:r w:rsidRPr="00DB4BA2">
        <w:t xml:space="preserve">Passenger Transport </w:t>
      </w:r>
    </w:p>
    <w:p w14:paraId="46D31438" w14:textId="77777777" w:rsidR="00DB4BA2" w:rsidRPr="00DB4BA2" w:rsidRDefault="00DB4BA2" w:rsidP="00680E87">
      <w:pPr>
        <w:numPr>
          <w:ilvl w:val="0"/>
          <w:numId w:val="44"/>
        </w:numPr>
        <w:suppressAutoHyphens w:val="0"/>
        <w:spacing w:before="0" w:after="160" w:line="259" w:lineRule="auto"/>
        <w:jc w:val="both"/>
      </w:pPr>
      <w:r w:rsidRPr="00DB4BA2">
        <w:t xml:space="preserve">Personalised Transport </w:t>
      </w:r>
    </w:p>
    <w:p w14:paraId="2ABB74FF" w14:textId="77777777" w:rsidR="00DB4BA2" w:rsidRPr="00DB4BA2" w:rsidRDefault="00DB4BA2" w:rsidP="00680E87">
      <w:pPr>
        <w:numPr>
          <w:ilvl w:val="0"/>
          <w:numId w:val="44"/>
        </w:numPr>
        <w:suppressAutoHyphens w:val="0"/>
        <w:spacing w:before="0" w:after="160" w:line="259" w:lineRule="auto"/>
        <w:jc w:val="both"/>
      </w:pPr>
      <w:r w:rsidRPr="00DB4BA2">
        <w:t xml:space="preserve">Ports </w:t>
      </w:r>
    </w:p>
    <w:p w14:paraId="74842D81" w14:textId="77777777" w:rsidR="00DB4BA2" w:rsidRPr="00DB4BA2" w:rsidRDefault="00DB4BA2" w:rsidP="00680E87">
      <w:pPr>
        <w:numPr>
          <w:ilvl w:val="0"/>
          <w:numId w:val="44"/>
        </w:numPr>
        <w:suppressAutoHyphens w:val="0"/>
        <w:spacing w:before="0" w:after="160" w:line="259" w:lineRule="auto"/>
        <w:jc w:val="both"/>
      </w:pPr>
      <w:r w:rsidRPr="00DB4BA2">
        <w:t xml:space="preserve">Railways </w:t>
      </w:r>
    </w:p>
    <w:p w14:paraId="05852215" w14:textId="30FA6DE3" w:rsidR="00286EAF" w:rsidRDefault="00DB4BA2" w:rsidP="00680E87">
      <w:pPr>
        <w:numPr>
          <w:ilvl w:val="0"/>
          <w:numId w:val="44"/>
        </w:numPr>
        <w:suppressAutoHyphens w:val="0"/>
        <w:spacing w:before="0" w:after="160" w:line="259" w:lineRule="auto"/>
        <w:jc w:val="both"/>
      </w:pPr>
      <w:r w:rsidRPr="00DB4BA2">
        <w:t>Road Safety</w:t>
      </w:r>
    </w:p>
    <w:p w14:paraId="7BF1ADF6" w14:textId="565AF9F9" w:rsidR="007028D3" w:rsidRDefault="007028D3" w:rsidP="00680E87">
      <w:pPr>
        <w:numPr>
          <w:ilvl w:val="0"/>
          <w:numId w:val="44"/>
        </w:numPr>
        <w:suppressAutoHyphens w:val="0"/>
        <w:spacing w:before="0" w:after="160" w:line="259" w:lineRule="auto"/>
        <w:jc w:val="both"/>
      </w:pPr>
      <w:r>
        <w:t>Transport Infrastr</w:t>
      </w:r>
      <w:r w:rsidR="001518FD">
        <w:t>ucture</w:t>
      </w:r>
    </w:p>
    <w:p w14:paraId="090E6763" w14:textId="5ADB94CC" w:rsidR="000762DF" w:rsidRDefault="000762DF" w:rsidP="00680E87">
      <w:pPr>
        <w:pStyle w:val="BodyText"/>
        <w:jc w:val="both"/>
      </w:pPr>
      <w:r w:rsidRPr="000762DF">
        <w:t xml:space="preserve">The primary intent of transport legislation is to improve the economic, trade and regional development performance of Queensland and the quality of life of Queenslanders, by strategic planning and management of transport resources to achieve the objectives of overall transport effectiveness and efficiency. </w:t>
      </w:r>
    </w:p>
    <w:p w14:paraId="0910CB76" w14:textId="77777777" w:rsidR="007543A8" w:rsidRPr="007543A8" w:rsidRDefault="007543A8" w:rsidP="00CF7718">
      <w:pPr>
        <w:pStyle w:val="BodyText"/>
        <w:jc w:val="both"/>
      </w:pPr>
    </w:p>
    <w:p w14:paraId="5FD89C83" w14:textId="6BDA6697" w:rsidR="000762DF" w:rsidRDefault="00E232D7" w:rsidP="00AF6A76">
      <w:pPr>
        <w:pStyle w:val="BodyText"/>
        <w:jc w:val="both"/>
      </w:pPr>
      <w:r>
        <w:t>Queensland’s t</w:t>
      </w:r>
      <w:r w:rsidR="000762DF" w:rsidRPr="000762DF">
        <w:t xml:space="preserve">ransport legislation establishes frameworks for planning and coordination, road safety, marine safety, marine pollution, passenger transport, waterways management, rail safety, aviation, and transport infrastructure to achieve these objectives. </w:t>
      </w:r>
    </w:p>
    <w:p w14:paraId="58DD7375" w14:textId="77777777" w:rsidR="000762DF" w:rsidRDefault="000762DF" w:rsidP="00AF6A76">
      <w:pPr>
        <w:pStyle w:val="BodyText"/>
        <w:jc w:val="both"/>
      </w:pPr>
    </w:p>
    <w:p w14:paraId="263BA29B" w14:textId="77777777" w:rsidR="000762DF" w:rsidRPr="000762DF" w:rsidRDefault="000762DF" w:rsidP="00AF6A76">
      <w:pPr>
        <w:pStyle w:val="BodyText"/>
        <w:jc w:val="both"/>
      </w:pPr>
      <w:r w:rsidRPr="000762DF">
        <w:t xml:space="preserve">To achieve regulatory settings that are proportionate to risk and avoid unnecessary burden, TMR develops regulation that is: </w:t>
      </w:r>
    </w:p>
    <w:p w14:paraId="58D9D3B2" w14:textId="77777777" w:rsidR="000762DF" w:rsidRPr="000762DF" w:rsidRDefault="000762DF" w:rsidP="00AF6A76">
      <w:pPr>
        <w:pStyle w:val="BodyText"/>
        <w:numPr>
          <w:ilvl w:val="0"/>
          <w:numId w:val="45"/>
        </w:numPr>
        <w:jc w:val="both"/>
      </w:pPr>
      <w:r w:rsidRPr="000762DF">
        <w:t xml:space="preserve">evidence based (using statistical data and other evidence) </w:t>
      </w:r>
    </w:p>
    <w:p w14:paraId="379B4721" w14:textId="77777777" w:rsidR="000762DF" w:rsidRPr="000762DF" w:rsidRDefault="000762DF" w:rsidP="00AF6A76">
      <w:pPr>
        <w:pStyle w:val="BodyText"/>
        <w:numPr>
          <w:ilvl w:val="0"/>
          <w:numId w:val="45"/>
        </w:numPr>
        <w:jc w:val="both"/>
      </w:pPr>
      <w:r w:rsidRPr="000762DF">
        <w:t xml:space="preserve">based on research and considered analysis, and </w:t>
      </w:r>
    </w:p>
    <w:p w14:paraId="5B04934E" w14:textId="77777777" w:rsidR="000762DF" w:rsidRPr="000762DF" w:rsidRDefault="000762DF" w:rsidP="00D23CB4">
      <w:pPr>
        <w:pStyle w:val="BodyText"/>
        <w:numPr>
          <w:ilvl w:val="0"/>
          <w:numId w:val="45"/>
        </w:numPr>
        <w:ind w:left="567" w:hanging="567"/>
        <w:jc w:val="both"/>
      </w:pPr>
      <w:r w:rsidRPr="000762DF">
        <w:t xml:space="preserve">developed in consultation with applicable government stakeholders, road user groups and transport industries. </w:t>
      </w:r>
    </w:p>
    <w:p w14:paraId="5993FAC4" w14:textId="77777777" w:rsidR="000762DF" w:rsidRPr="000762DF" w:rsidRDefault="000762DF" w:rsidP="000762DF">
      <w:pPr>
        <w:pStyle w:val="BodyText"/>
      </w:pPr>
    </w:p>
    <w:p w14:paraId="4492389E" w14:textId="49D4C4E5" w:rsidR="007A436D" w:rsidRDefault="000762DF" w:rsidP="008D1B5C">
      <w:pPr>
        <w:pStyle w:val="BodyText"/>
        <w:jc w:val="both"/>
      </w:pPr>
      <w:r w:rsidRPr="000762DF">
        <w:t>Rigorous policy analysis is undertaken to fully identify all policy options prior to advocating for, and progressing, legislative amendments. The level of analysis undertaken by TMR is commensurate with the complexity of the problems to be solved</w:t>
      </w:r>
      <w:r w:rsidR="00784A24">
        <w:t>. It</w:t>
      </w:r>
      <w:r w:rsidRPr="000762DF">
        <w:t xml:space="preserve"> includes systematic analysis of potential impacts on stakeholders</w:t>
      </w:r>
      <w:r w:rsidR="004D5904">
        <w:t>,</w:t>
      </w:r>
      <w:r w:rsidRPr="000762DF">
        <w:t xml:space="preserve"> including consideration of potential impacts on human rights that may arise from the regulatory activity</w:t>
      </w:r>
      <w:r w:rsidR="00784A24">
        <w:t>,</w:t>
      </w:r>
      <w:r w:rsidRPr="000762DF">
        <w:t xml:space="preserve"> and inclusion of appropriate safeguards to minimise these impacts. </w:t>
      </w:r>
    </w:p>
    <w:p w14:paraId="73B0BC8E" w14:textId="77777777" w:rsidR="007A436D" w:rsidRDefault="007A436D" w:rsidP="008D1B5C">
      <w:pPr>
        <w:pStyle w:val="BodyText"/>
        <w:jc w:val="both"/>
      </w:pPr>
    </w:p>
    <w:p w14:paraId="00CD833C" w14:textId="56B31F47" w:rsidR="004E17AF" w:rsidRDefault="000762DF" w:rsidP="008D1B5C">
      <w:pPr>
        <w:pStyle w:val="BodyText"/>
        <w:jc w:val="both"/>
      </w:pPr>
      <w:r w:rsidRPr="000762DF">
        <w:t xml:space="preserve">All amendments are informed by </w:t>
      </w:r>
      <w:r w:rsidR="005259DD">
        <w:t>targeted</w:t>
      </w:r>
      <w:r w:rsidRPr="000762DF">
        <w:t xml:space="preserve"> stakeholder consultation and, where possible, </w:t>
      </w:r>
      <w:r w:rsidR="00984949">
        <w:t xml:space="preserve">extensive </w:t>
      </w:r>
      <w:r w:rsidRPr="000762DF">
        <w:t>data analysis</w:t>
      </w:r>
      <w:r w:rsidR="00984949">
        <w:t xml:space="preserve"> to reach evidence based conclusions. </w:t>
      </w:r>
      <w:r w:rsidRPr="000762DF">
        <w:t xml:space="preserve">A wide range of activities are undertaken to achieve comprehensive and meaningful engagement with stakeholders </w:t>
      </w:r>
      <w:r w:rsidR="00936C16">
        <w:t>that</w:t>
      </w:r>
      <w:r w:rsidRPr="000762DF">
        <w:t xml:space="preserve"> assist</w:t>
      </w:r>
      <w:r w:rsidR="00936C16">
        <w:t>s</w:t>
      </w:r>
      <w:r w:rsidRPr="000762DF">
        <w:t xml:space="preserve"> them to understand regulatory compliance requirements. </w:t>
      </w:r>
    </w:p>
    <w:p w14:paraId="4459BFB2" w14:textId="77777777" w:rsidR="004E17AF" w:rsidRDefault="004E17AF" w:rsidP="008D1B5C">
      <w:pPr>
        <w:pStyle w:val="BodyText"/>
        <w:jc w:val="both"/>
      </w:pPr>
    </w:p>
    <w:p w14:paraId="565C68D2" w14:textId="673055D5" w:rsidR="00C45645" w:rsidRDefault="000762DF" w:rsidP="008D1B5C">
      <w:pPr>
        <w:pStyle w:val="BodyText"/>
        <w:jc w:val="both"/>
      </w:pPr>
      <w:r w:rsidRPr="000762DF">
        <w:t xml:space="preserve">Formal consultation mechanisms such as forums, industry groups, and national transport bodies cover both general transport matters and dedicated projects. Formal consultation plans are also developed as part of all proposed legislative amendments. </w:t>
      </w:r>
    </w:p>
    <w:p w14:paraId="2DA1B62E" w14:textId="77777777" w:rsidR="00C45645" w:rsidRDefault="00C45645" w:rsidP="000762DF">
      <w:pPr>
        <w:pStyle w:val="BodyText"/>
      </w:pPr>
    </w:p>
    <w:p w14:paraId="50BE6023" w14:textId="36D36D4F" w:rsidR="00C45645" w:rsidRDefault="00C45645" w:rsidP="00EC6B26">
      <w:pPr>
        <w:pStyle w:val="BodyText"/>
        <w:jc w:val="both"/>
      </w:pPr>
      <w:r w:rsidRPr="00C45645">
        <w:t>It must be acknowledged that TMR is a large and diverse department that operates across the breadth of transport functions throughout Queensland. By virtue of its size, the complexity of its service delivery obligations, and its reach across the State, its daily operation is subject to a multitude of legislative, regulatory and compliance requirements and obligations, to ensure transport services are delivered safely, efficiently, and effectively</w:t>
      </w:r>
      <w:r w:rsidR="00B258C3">
        <w:t xml:space="preserve"> for the benefit of all Queenslanders</w:t>
      </w:r>
      <w:r w:rsidRPr="00C45645">
        <w:t xml:space="preserve">. </w:t>
      </w:r>
    </w:p>
    <w:p w14:paraId="039D8EC8" w14:textId="77777777" w:rsidR="00EC6B26" w:rsidRDefault="00EC6B26" w:rsidP="00EC6B26">
      <w:pPr>
        <w:pStyle w:val="BodyText"/>
        <w:jc w:val="both"/>
      </w:pPr>
    </w:p>
    <w:p w14:paraId="327B0A03" w14:textId="02927211" w:rsidR="00C45645" w:rsidRDefault="00C45645" w:rsidP="00EC6B26">
      <w:pPr>
        <w:pStyle w:val="BodyText"/>
        <w:jc w:val="both"/>
      </w:pPr>
      <w:r w:rsidRPr="00C45645">
        <w:t xml:space="preserve">TMR is also a large Queensland Government employer, with </w:t>
      </w:r>
      <w:r w:rsidR="00497FDF" w:rsidRPr="00497FDF">
        <w:t>over</w:t>
      </w:r>
      <w:r w:rsidRPr="00497FDF">
        <w:t xml:space="preserve"> 10,000 </w:t>
      </w:r>
      <w:r w:rsidR="00523757">
        <w:t>workers</w:t>
      </w:r>
      <w:r w:rsidRPr="00C45645">
        <w:t xml:space="preserve"> employed across the State</w:t>
      </w:r>
      <w:r w:rsidR="00F11CE1">
        <w:t>. To</w:t>
      </w:r>
      <w:r w:rsidR="00212786">
        <w:t xml:space="preserve"> </w:t>
      </w:r>
      <w:r w:rsidR="00F11CE1">
        <w:t xml:space="preserve">support and </w:t>
      </w:r>
      <w:r w:rsidR="00212786">
        <w:t xml:space="preserve">protect the wellbeing of </w:t>
      </w:r>
      <w:r w:rsidR="00B76368">
        <w:t xml:space="preserve">this </w:t>
      </w:r>
      <w:r w:rsidR="00212786">
        <w:t>large an</w:t>
      </w:r>
      <w:r w:rsidR="00F11CE1">
        <w:t>d</w:t>
      </w:r>
      <w:r w:rsidR="00212786">
        <w:t xml:space="preserve"> diverse workforce</w:t>
      </w:r>
      <w:r w:rsidR="00F11CE1">
        <w:t>,</w:t>
      </w:r>
      <w:r w:rsidRPr="00C45645">
        <w:t xml:space="preserve"> </w:t>
      </w:r>
      <w:r w:rsidR="00E4234F">
        <w:t xml:space="preserve">the department </w:t>
      </w:r>
      <w:r w:rsidR="00F11CE1">
        <w:t>complies with</w:t>
      </w:r>
      <w:r w:rsidRPr="00C45645">
        <w:t xml:space="preserve"> extensive legislative, regulatory and industrial relations requirements</w:t>
      </w:r>
      <w:r w:rsidR="004D5904">
        <w:t>,</w:t>
      </w:r>
      <w:r w:rsidRPr="00C45645">
        <w:t xml:space="preserve"> and workplace health and safety obligations. </w:t>
      </w:r>
    </w:p>
    <w:p w14:paraId="58D72705" w14:textId="77777777" w:rsidR="00EC6B26" w:rsidRDefault="00EC6B26" w:rsidP="00EC6B26">
      <w:pPr>
        <w:pStyle w:val="BodyText"/>
        <w:jc w:val="both"/>
      </w:pPr>
    </w:p>
    <w:p w14:paraId="42F3D5E2" w14:textId="7587F68C" w:rsidR="004E17AF" w:rsidRDefault="00C45645" w:rsidP="00EC6B26">
      <w:pPr>
        <w:pStyle w:val="BodyText"/>
        <w:jc w:val="both"/>
      </w:pPr>
      <w:r w:rsidRPr="00C45645">
        <w:t xml:space="preserve">This report cannot cover all regulatory and compliance actions undertaken in a year by a department </w:t>
      </w:r>
      <w:r w:rsidR="004933F6">
        <w:t>the size of</w:t>
      </w:r>
      <w:r w:rsidRPr="00C45645">
        <w:t xml:space="preserve"> TMR, however it does provide representative examples of the breadth and diversity of regulatory compliance activities undertaken by TMR in the </w:t>
      </w:r>
      <w:r w:rsidR="002B6F1D">
        <w:t>2024-25</w:t>
      </w:r>
      <w:r w:rsidRPr="00C45645">
        <w:t xml:space="preserve"> financial year, focussing on those activities that </w:t>
      </w:r>
      <w:r w:rsidR="007A436D">
        <w:t xml:space="preserve">best </w:t>
      </w:r>
      <w:r w:rsidR="00CE2451">
        <w:t xml:space="preserve">reflect TMR’s contribution </w:t>
      </w:r>
      <w:r w:rsidRPr="00C45645">
        <w:t xml:space="preserve">to the five model practices of the Regulator Performance Framework. </w:t>
      </w:r>
    </w:p>
    <w:p w14:paraId="630E380C" w14:textId="5C45C1CD" w:rsidR="00C470A3" w:rsidRPr="00C470A3" w:rsidRDefault="00C470A3" w:rsidP="002814C9">
      <w:pPr>
        <w:pStyle w:val="Heading1"/>
      </w:pPr>
      <w:bookmarkStart w:id="7" w:name="_Toc217306334"/>
      <w:r w:rsidRPr="00C470A3">
        <w:lastRenderedPageBreak/>
        <w:t>Model Practice</w:t>
      </w:r>
      <w:r w:rsidR="006560E9">
        <w:t xml:space="preserve"> 1</w:t>
      </w:r>
      <w:bookmarkEnd w:id="7"/>
    </w:p>
    <w:p w14:paraId="2B6FA679" w14:textId="77777777" w:rsidR="00C470A3" w:rsidRPr="00C470A3" w:rsidRDefault="00C470A3" w:rsidP="00847FF6">
      <w:pPr>
        <w:pStyle w:val="Heading2"/>
        <w:jc w:val="both"/>
      </w:pPr>
      <w:bookmarkStart w:id="8" w:name="_Toc217306335"/>
      <w:r w:rsidRPr="00C470A3">
        <w:t>Ensure regulatory activity is proportionate to risk and minimises unnecessary burden</w:t>
      </w:r>
      <w:bookmarkEnd w:id="8"/>
    </w:p>
    <w:p w14:paraId="1A1B2FB2" w14:textId="77777777" w:rsidR="00941D23" w:rsidRPr="000B155F" w:rsidRDefault="00941D23" w:rsidP="000B155F">
      <w:pPr>
        <w:rPr>
          <w:b/>
          <w:i/>
          <w:color w:val="auto"/>
        </w:rPr>
      </w:pPr>
      <w:r w:rsidRPr="000B155F">
        <w:rPr>
          <w:b/>
          <w:i/>
          <w:color w:val="auto"/>
        </w:rPr>
        <w:t>Passenger Transport</w:t>
      </w:r>
    </w:p>
    <w:p w14:paraId="45E14993" w14:textId="6833F111" w:rsidR="00491E0D" w:rsidRDefault="004D5904" w:rsidP="00413E56">
      <w:pPr>
        <w:pStyle w:val="BodyText"/>
        <w:jc w:val="both"/>
        <w:rPr>
          <w:rFonts w:eastAsia="Arial"/>
          <w:color w:val="414141"/>
        </w:rPr>
      </w:pPr>
      <w:r>
        <w:t>T</w:t>
      </w:r>
      <w:r w:rsidR="00491E0D" w:rsidRPr="00AA74E5">
        <w:t xml:space="preserve">MR’s Transit Security, Safety </w:t>
      </w:r>
      <w:r w:rsidR="00B14D65">
        <w:t>and</w:t>
      </w:r>
      <w:r w:rsidR="00491E0D" w:rsidRPr="00AA74E5">
        <w:t xml:space="preserve"> Sustainability</w:t>
      </w:r>
      <w:r w:rsidR="00491E0D" w:rsidRPr="00AA74E5" w:rsidDel="00CB4638">
        <w:t xml:space="preserve"> </w:t>
      </w:r>
      <w:r w:rsidR="00491E0D" w:rsidRPr="00AA74E5">
        <w:t>team (TSSS) has restructured frontline deployments</w:t>
      </w:r>
      <w:r>
        <w:t>,</w:t>
      </w:r>
      <w:r w:rsidR="00491E0D" w:rsidRPr="00AA74E5">
        <w:t xml:space="preserve"> to prioritise the safety and security of passengers and public transport staff over fare compliance. This strategic shift acknowledges the increased importance of ensuring a safe public transport environment following the introduction of a reduced flat fare of 50 cents.</w:t>
      </w:r>
      <w:r w:rsidR="00491E0D" w:rsidRPr="00AA74E5">
        <w:rPr>
          <w:rFonts w:eastAsia="Arial"/>
          <w:color w:val="414141"/>
        </w:rPr>
        <w:t xml:space="preserve"> </w:t>
      </w:r>
      <w:r w:rsidR="00491E0D" w:rsidRPr="00B21382">
        <w:t>By focusing resources on deterring antisocial and unsafe behaviour across the public transport network, TMR ensured th</w:t>
      </w:r>
      <w:r w:rsidRPr="00B21382">
        <w:t>at</w:t>
      </w:r>
      <w:r w:rsidR="00491E0D" w:rsidRPr="00B21382">
        <w:t xml:space="preserve"> regulatory activity addresse</w:t>
      </w:r>
      <w:r w:rsidRPr="00B21382">
        <w:t>d</w:t>
      </w:r>
      <w:r w:rsidR="00491E0D" w:rsidRPr="00B21382">
        <w:t xml:space="preserve"> the highest-risk issues impacting the travelling public’s experience. This change minimised unnecessary enforcement burden while delivering greater public safety outcomes.</w:t>
      </w:r>
      <w:r w:rsidR="00491E0D" w:rsidRPr="00AA74E5">
        <w:rPr>
          <w:rFonts w:eastAsia="Arial"/>
          <w:color w:val="414141"/>
        </w:rPr>
        <w:t xml:space="preserve"> </w:t>
      </w:r>
    </w:p>
    <w:p w14:paraId="15770BCD" w14:textId="77777777" w:rsidR="0072255F" w:rsidRDefault="0072255F" w:rsidP="0072255F">
      <w:pPr>
        <w:rPr>
          <w:b/>
          <w:i/>
          <w:color w:val="auto"/>
        </w:rPr>
      </w:pPr>
      <w:r w:rsidRPr="002A278F">
        <w:rPr>
          <w:b/>
          <w:i/>
          <w:color w:val="auto"/>
        </w:rPr>
        <w:t>Rail Division</w:t>
      </w:r>
    </w:p>
    <w:p w14:paraId="130C68A1" w14:textId="70142288" w:rsidR="0072255F" w:rsidRPr="00FD60C8" w:rsidRDefault="0072255F" w:rsidP="0072255F">
      <w:pPr>
        <w:jc w:val="both"/>
        <w:rPr>
          <w:rFonts w:eastAsia="Arial"/>
          <w:color w:val="414141"/>
        </w:rPr>
      </w:pPr>
      <w:r w:rsidRPr="00B21382">
        <w:rPr>
          <w:color w:val="auto"/>
        </w:rPr>
        <w:t>TMR’s Rail Division was formally established during the 2024–25 financial year to strengthen governance and oversight of Queensland’s rail network. As a newly formed division, regulatory frameworks and operational processes are still under development. During this period, Rail Division focused on foundational activities, including scoping future regulatory responsibilities and identifying priority areas for risk-based oversight</w:t>
      </w:r>
      <w:r>
        <w:t>.</w:t>
      </w:r>
    </w:p>
    <w:p w14:paraId="0F6B3B69" w14:textId="153E3D2E" w:rsidR="00CC1990" w:rsidRPr="00957BB4" w:rsidRDefault="00CC1990" w:rsidP="00413E56">
      <w:pPr>
        <w:pStyle w:val="BodyText"/>
        <w:jc w:val="both"/>
        <w:rPr>
          <w:b/>
          <w:i/>
        </w:rPr>
      </w:pPr>
      <w:r w:rsidRPr="00957BB4">
        <w:rPr>
          <w:b/>
          <w:i/>
        </w:rPr>
        <w:t xml:space="preserve">Targeted </w:t>
      </w:r>
      <w:r w:rsidR="004D5904">
        <w:rPr>
          <w:b/>
          <w:i/>
        </w:rPr>
        <w:t>A</w:t>
      </w:r>
      <w:r w:rsidRPr="00957BB4">
        <w:rPr>
          <w:b/>
          <w:i/>
        </w:rPr>
        <w:t xml:space="preserve">pproved </w:t>
      </w:r>
      <w:r w:rsidR="004D5904">
        <w:rPr>
          <w:b/>
          <w:i/>
        </w:rPr>
        <w:t>I</w:t>
      </w:r>
      <w:r w:rsidRPr="00957BB4">
        <w:rPr>
          <w:b/>
          <w:i/>
        </w:rPr>
        <w:t xml:space="preserve">nspection </w:t>
      </w:r>
      <w:r w:rsidR="004D5904">
        <w:rPr>
          <w:b/>
          <w:i/>
        </w:rPr>
        <w:t>S</w:t>
      </w:r>
      <w:r w:rsidRPr="00957BB4">
        <w:rPr>
          <w:b/>
          <w:i/>
        </w:rPr>
        <w:t>tation compliance action</w:t>
      </w:r>
    </w:p>
    <w:p w14:paraId="71783937" w14:textId="77777777" w:rsidR="009104DF" w:rsidRDefault="00CC1990" w:rsidP="00B21382">
      <w:pPr>
        <w:jc w:val="both"/>
        <w:rPr>
          <w:rFonts w:eastAsia="Arial"/>
          <w:color w:val="414141"/>
        </w:rPr>
      </w:pPr>
      <w:r w:rsidRPr="00B21382">
        <w:rPr>
          <w:color w:val="auto"/>
        </w:rPr>
        <w:t>TMR strengthened its commitment to proportionate regulation by applying a risk-based approach to managing non-compliance within the Approved Inspection Station network. TMR utilised a structured framework that examined factors such as the volume and frequency of non-compliance, patterns of behaviour over time, the recency of issues, and the potential safety implications. This enabled early identification of high-risk non-compliance, which was prioritised for detailed investigation and regulatory action.</w:t>
      </w:r>
      <w:r w:rsidRPr="00C550D5">
        <w:rPr>
          <w:rFonts w:eastAsia="Arial"/>
          <w:color w:val="414141"/>
        </w:rPr>
        <w:t xml:space="preserve"> </w:t>
      </w:r>
    </w:p>
    <w:p w14:paraId="7715328B" w14:textId="4352E2F0" w:rsidR="00CC1990" w:rsidRPr="00B21382" w:rsidRDefault="00CC1990" w:rsidP="00B21382">
      <w:pPr>
        <w:jc w:val="both"/>
        <w:rPr>
          <w:color w:val="auto"/>
        </w:rPr>
      </w:pPr>
      <w:r w:rsidRPr="00B21382">
        <w:rPr>
          <w:color w:val="auto"/>
        </w:rPr>
        <w:t xml:space="preserve">Lower-risk or administrative non-compliance, where safety impacts were minimal, was instead addressed through targeted guidance and opportunities for operators to self-rectify. This approach ensured regulatory effort was focused where it delivered the greatest safety benefit, achieving an 87% reduction in non-compliance, while minimising unnecessary burden on </w:t>
      </w:r>
      <w:r w:rsidR="004D5904" w:rsidRPr="00B21382">
        <w:rPr>
          <w:color w:val="auto"/>
        </w:rPr>
        <w:t xml:space="preserve">those </w:t>
      </w:r>
      <w:r w:rsidRPr="00B21382">
        <w:rPr>
          <w:color w:val="auto"/>
        </w:rPr>
        <w:t>operators demonstrating responsible and responsive compliance behaviour.</w:t>
      </w:r>
    </w:p>
    <w:p w14:paraId="05D43D4B" w14:textId="7B28C7CF" w:rsidR="006560E9" w:rsidRPr="00C470A3" w:rsidRDefault="006560E9" w:rsidP="006560E9">
      <w:pPr>
        <w:pStyle w:val="Heading1"/>
      </w:pPr>
      <w:bookmarkStart w:id="9" w:name="_Toc217306336"/>
      <w:r w:rsidRPr="00C470A3">
        <w:lastRenderedPageBreak/>
        <w:t>Model Practice</w:t>
      </w:r>
      <w:r>
        <w:t xml:space="preserve"> 2</w:t>
      </w:r>
      <w:bookmarkEnd w:id="9"/>
    </w:p>
    <w:p w14:paraId="2FD28794" w14:textId="2EC42F66" w:rsidR="009E3A89" w:rsidRPr="004868A8" w:rsidRDefault="009E3A89" w:rsidP="00346EFE">
      <w:pPr>
        <w:pStyle w:val="Heading2"/>
        <w:rPr>
          <w:szCs w:val="44"/>
        </w:rPr>
      </w:pPr>
      <w:bookmarkStart w:id="10" w:name="_Toc217306337"/>
      <w:r w:rsidRPr="004868A8">
        <w:rPr>
          <w:szCs w:val="44"/>
        </w:rPr>
        <w:t>Consult and engage meaningfully with stakeholders</w:t>
      </w:r>
      <w:bookmarkEnd w:id="10"/>
    </w:p>
    <w:p w14:paraId="60F20B08" w14:textId="5BE1CFD3" w:rsidR="00C56287" w:rsidRDefault="00A861A4" w:rsidP="000B155F">
      <w:pPr>
        <w:pStyle w:val="BodyText"/>
        <w:rPr>
          <w:b/>
          <w:bCs/>
          <w:i/>
          <w:iCs/>
        </w:rPr>
      </w:pPr>
      <w:r w:rsidRPr="000B155F">
        <w:rPr>
          <w:b/>
          <w:bCs/>
          <w:i/>
          <w:iCs/>
        </w:rPr>
        <w:t>Passenger Transport</w:t>
      </w:r>
      <w:r w:rsidR="000B155F">
        <w:rPr>
          <w:b/>
          <w:bCs/>
          <w:i/>
          <w:iCs/>
        </w:rPr>
        <w:t xml:space="preserve"> </w:t>
      </w:r>
      <w:r w:rsidR="00A04494" w:rsidRPr="00C56287">
        <w:rPr>
          <w:b/>
          <w:bCs/>
          <w:i/>
          <w:iCs/>
        </w:rPr>
        <w:t>Contracts</w:t>
      </w:r>
    </w:p>
    <w:p w14:paraId="77B62666" w14:textId="77777777" w:rsidR="00C56287" w:rsidRPr="00C56287" w:rsidRDefault="00C56287" w:rsidP="00C56287">
      <w:pPr>
        <w:pStyle w:val="BodyText"/>
        <w:jc w:val="both"/>
      </w:pPr>
    </w:p>
    <w:p w14:paraId="3E3CCE51" w14:textId="1B20E68F" w:rsidR="0042040C" w:rsidRDefault="00CD178B" w:rsidP="00C56287">
      <w:pPr>
        <w:pStyle w:val="BodyText"/>
        <w:jc w:val="both"/>
      </w:pPr>
      <w:r>
        <w:t xml:space="preserve">The </w:t>
      </w:r>
      <w:r w:rsidR="001F1718" w:rsidRPr="007E0950">
        <w:t xml:space="preserve">Passenger Transport Contracts </w:t>
      </w:r>
      <w:r w:rsidRPr="007E0950">
        <w:t xml:space="preserve">section </w:t>
      </w:r>
      <w:r w:rsidR="001F1718" w:rsidRPr="007E0950">
        <w:t xml:space="preserve">(PTC) works closely with delivery partners in relation to the contractual framework. On occasion, PTC is the conduit to provide information to delivery partners at the request of other areas within TMR who are responsible for consulting and engaging on the regulatory framework. </w:t>
      </w:r>
    </w:p>
    <w:p w14:paraId="7BE3F935" w14:textId="0093B96A" w:rsidR="001F1718" w:rsidRPr="007E0950" w:rsidRDefault="001F1718" w:rsidP="00413E56">
      <w:pPr>
        <w:jc w:val="both"/>
        <w:rPr>
          <w:color w:val="auto"/>
        </w:rPr>
      </w:pPr>
      <w:r w:rsidRPr="007E0950">
        <w:rPr>
          <w:color w:val="auto"/>
        </w:rPr>
        <w:t>Should any amendments to regulations necessitate contractual amendments, PTC would then negotiate with delivery partners to ensure that any required contractual documentation is amended as needed (including the Operations Manual).</w:t>
      </w:r>
    </w:p>
    <w:p w14:paraId="1EAD6C5F" w14:textId="3B24F613" w:rsidR="0042040C" w:rsidRDefault="001F1718" w:rsidP="00413E56">
      <w:pPr>
        <w:suppressAutoHyphens w:val="0"/>
        <w:spacing w:before="0" w:after="160" w:line="259" w:lineRule="auto"/>
        <w:jc w:val="both"/>
        <w:rPr>
          <w:color w:val="auto"/>
        </w:rPr>
      </w:pPr>
      <w:r w:rsidRPr="007E0950">
        <w:rPr>
          <w:color w:val="auto"/>
        </w:rPr>
        <w:t xml:space="preserve">The Commercial Partnerships Team within </w:t>
      </w:r>
      <w:r w:rsidR="00CD178B">
        <w:rPr>
          <w:color w:val="auto"/>
        </w:rPr>
        <w:t xml:space="preserve">PTC </w:t>
      </w:r>
      <w:r w:rsidRPr="007E0950">
        <w:rPr>
          <w:color w:val="auto"/>
        </w:rPr>
        <w:t xml:space="preserve">engage heavily with external stakeholders in relation to the Aviation Service Contracts, the Transport for Brisbane Service Contract, and various procurements. </w:t>
      </w:r>
    </w:p>
    <w:p w14:paraId="73DC512C" w14:textId="3DC3E177" w:rsidR="001F1718" w:rsidRPr="007E0950" w:rsidRDefault="001F1718" w:rsidP="00413E56">
      <w:pPr>
        <w:suppressAutoHyphens w:val="0"/>
        <w:spacing w:before="0" w:after="160" w:line="259" w:lineRule="auto"/>
        <w:jc w:val="both"/>
        <w:rPr>
          <w:color w:val="auto"/>
        </w:rPr>
      </w:pPr>
      <w:r w:rsidRPr="007E0950">
        <w:rPr>
          <w:color w:val="auto"/>
        </w:rPr>
        <w:t>These stakeholders include:</w:t>
      </w:r>
    </w:p>
    <w:p w14:paraId="66230CFA"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0" w:after="0" w:line="277" w:lineRule="exact"/>
        <w:ind w:hanging="566"/>
        <w:contextualSpacing w:val="0"/>
        <w:jc w:val="both"/>
        <w:rPr>
          <w:color w:val="auto"/>
        </w:rPr>
      </w:pPr>
      <w:r w:rsidRPr="007E0950">
        <w:rPr>
          <w:color w:val="auto"/>
        </w:rPr>
        <w:t>passengers</w:t>
      </w:r>
    </w:p>
    <w:p w14:paraId="69B5C6BB"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26" w:after="0" w:line="240" w:lineRule="auto"/>
        <w:ind w:hanging="566"/>
        <w:contextualSpacing w:val="0"/>
        <w:jc w:val="both"/>
        <w:rPr>
          <w:color w:val="auto"/>
        </w:rPr>
      </w:pPr>
      <w:r w:rsidRPr="007E0950">
        <w:rPr>
          <w:color w:val="auto"/>
        </w:rPr>
        <w:t>metropolitan and regional councils</w:t>
      </w:r>
    </w:p>
    <w:p w14:paraId="7D95F40F"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28" w:after="0" w:line="240" w:lineRule="auto"/>
        <w:ind w:hanging="566"/>
        <w:contextualSpacing w:val="0"/>
        <w:jc w:val="both"/>
        <w:rPr>
          <w:color w:val="auto"/>
        </w:rPr>
      </w:pPr>
      <w:r w:rsidRPr="007E0950">
        <w:rPr>
          <w:color w:val="auto"/>
        </w:rPr>
        <w:t>service delivery partners</w:t>
      </w:r>
    </w:p>
    <w:p w14:paraId="7CC0D483"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25" w:after="0" w:line="240" w:lineRule="auto"/>
        <w:ind w:hanging="566"/>
        <w:contextualSpacing w:val="0"/>
        <w:jc w:val="both"/>
        <w:rPr>
          <w:color w:val="auto"/>
        </w:rPr>
      </w:pPr>
      <w:r w:rsidRPr="007E0950">
        <w:rPr>
          <w:color w:val="auto"/>
        </w:rPr>
        <w:t>industry and advocacy groups</w:t>
      </w:r>
    </w:p>
    <w:p w14:paraId="0CA5A98B"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25" w:after="0" w:line="276" w:lineRule="auto"/>
        <w:ind w:right="235"/>
        <w:contextualSpacing w:val="0"/>
        <w:jc w:val="both"/>
        <w:rPr>
          <w:color w:val="auto"/>
        </w:rPr>
      </w:pPr>
      <w:r w:rsidRPr="007E0950">
        <w:rPr>
          <w:color w:val="auto"/>
        </w:rPr>
        <w:t>organisations in the public transport procurement supply chain (manufacturers, energy providers, financial institutions)</w:t>
      </w:r>
    </w:p>
    <w:p w14:paraId="4A65E807"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0" w:after="0" w:line="273" w:lineRule="auto"/>
        <w:ind w:right="238"/>
        <w:contextualSpacing w:val="0"/>
        <w:jc w:val="both"/>
        <w:rPr>
          <w:color w:val="auto"/>
        </w:rPr>
      </w:pPr>
      <w:r w:rsidRPr="007E0950">
        <w:rPr>
          <w:color w:val="auto"/>
        </w:rPr>
        <w:t>other state and federal government departments and authorities (for example, the Civil Aviation Safety Authority).</w:t>
      </w:r>
    </w:p>
    <w:p w14:paraId="5A274320" w14:textId="77777777" w:rsidR="00D557AD" w:rsidRDefault="00D557AD" w:rsidP="00413E56">
      <w:pPr>
        <w:pStyle w:val="BodyText"/>
        <w:spacing w:before="1"/>
        <w:ind w:left="180"/>
        <w:jc w:val="both"/>
      </w:pPr>
    </w:p>
    <w:p w14:paraId="428326AA" w14:textId="219E8A2A" w:rsidR="001F1718" w:rsidRPr="00D557AD" w:rsidRDefault="001F1718" w:rsidP="00D557AD">
      <w:pPr>
        <w:suppressAutoHyphens w:val="0"/>
        <w:spacing w:before="0" w:after="160" w:line="259" w:lineRule="auto"/>
        <w:jc w:val="both"/>
        <w:rPr>
          <w:color w:val="auto"/>
        </w:rPr>
      </w:pPr>
      <w:r w:rsidRPr="00D557AD">
        <w:rPr>
          <w:color w:val="auto"/>
        </w:rPr>
        <w:t>Examples of engagement include:</w:t>
      </w:r>
    </w:p>
    <w:p w14:paraId="3C6F2498" w14:textId="094ACAEC" w:rsidR="001F1718" w:rsidRPr="00D557AD" w:rsidRDefault="001F1718" w:rsidP="00D557AD">
      <w:pPr>
        <w:pStyle w:val="ListParagraph"/>
        <w:widowControl w:val="0"/>
        <w:numPr>
          <w:ilvl w:val="0"/>
          <w:numId w:val="46"/>
        </w:numPr>
        <w:tabs>
          <w:tab w:val="left" w:pos="746"/>
        </w:tabs>
        <w:suppressAutoHyphens w:val="0"/>
        <w:autoSpaceDE w:val="0"/>
        <w:autoSpaceDN w:val="0"/>
        <w:spacing w:before="0" w:after="0" w:line="277" w:lineRule="exact"/>
        <w:ind w:hanging="566"/>
        <w:contextualSpacing w:val="0"/>
        <w:jc w:val="both"/>
        <w:rPr>
          <w:color w:val="auto"/>
        </w:rPr>
      </w:pPr>
      <w:r w:rsidRPr="00D557AD">
        <w:rPr>
          <w:color w:val="auto"/>
        </w:rPr>
        <w:t>annual Community Consultative Forums related to the Aviation Service Contracts</w:t>
      </w:r>
      <w:r w:rsidR="00CD178B" w:rsidRPr="00D557AD">
        <w:rPr>
          <w:color w:val="auto"/>
        </w:rPr>
        <w:t>.</w:t>
      </w:r>
    </w:p>
    <w:p w14:paraId="0EDBB716" w14:textId="15576EB8" w:rsidR="001F1718" w:rsidRPr="007E0950" w:rsidRDefault="001F1718" w:rsidP="00D557AD">
      <w:pPr>
        <w:pStyle w:val="ListParagraph"/>
        <w:widowControl w:val="0"/>
        <w:numPr>
          <w:ilvl w:val="0"/>
          <w:numId w:val="46"/>
        </w:numPr>
        <w:tabs>
          <w:tab w:val="left" w:pos="746"/>
        </w:tabs>
        <w:suppressAutoHyphens w:val="0"/>
        <w:autoSpaceDE w:val="0"/>
        <w:autoSpaceDN w:val="0"/>
        <w:spacing w:before="0" w:after="0" w:line="277" w:lineRule="exact"/>
        <w:ind w:hanging="566"/>
        <w:contextualSpacing w:val="0"/>
        <w:jc w:val="both"/>
        <w:rPr>
          <w:color w:val="auto"/>
        </w:rPr>
      </w:pPr>
      <w:r w:rsidRPr="007E0950">
        <w:rPr>
          <w:color w:val="auto"/>
        </w:rPr>
        <w:t>contract sub-committee meetings, joint working groups</w:t>
      </w:r>
      <w:r w:rsidR="00CD178B">
        <w:rPr>
          <w:color w:val="auto"/>
        </w:rPr>
        <w:t>,</w:t>
      </w:r>
      <w:r w:rsidRPr="007E0950">
        <w:rPr>
          <w:color w:val="auto"/>
        </w:rPr>
        <w:t xml:space="preserve"> and other meetings between </w:t>
      </w:r>
      <w:r w:rsidR="000F4920">
        <w:rPr>
          <w:color w:val="auto"/>
        </w:rPr>
        <w:t xml:space="preserve">TMR </w:t>
      </w:r>
      <w:r w:rsidRPr="007E0950">
        <w:rPr>
          <w:color w:val="auto"/>
        </w:rPr>
        <w:t>and Transport for Brisbane</w:t>
      </w:r>
      <w:r w:rsidR="00CD178B">
        <w:rPr>
          <w:color w:val="auto"/>
        </w:rPr>
        <w:t>.</w:t>
      </w:r>
    </w:p>
    <w:p w14:paraId="13A0494B" w14:textId="77777777" w:rsidR="001F1718" w:rsidRPr="007E0950" w:rsidRDefault="001F1718" w:rsidP="00413E56">
      <w:pPr>
        <w:pStyle w:val="ListParagraph"/>
        <w:widowControl w:val="0"/>
        <w:numPr>
          <w:ilvl w:val="0"/>
          <w:numId w:val="46"/>
        </w:numPr>
        <w:tabs>
          <w:tab w:val="left" w:pos="746"/>
        </w:tabs>
        <w:suppressAutoHyphens w:val="0"/>
        <w:autoSpaceDE w:val="0"/>
        <w:autoSpaceDN w:val="0"/>
        <w:spacing w:before="0" w:after="0" w:line="273" w:lineRule="auto"/>
        <w:ind w:right="238"/>
        <w:contextualSpacing w:val="0"/>
        <w:jc w:val="both"/>
        <w:rPr>
          <w:color w:val="auto"/>
        </w:rPr>
      </w:pPr>
      <w:r w:rsidRPr="007E0950">
        <w:rPr>
          <w:color w:val="auto"/>
        </w:rPr>
        <w:t>interjurisdictional working groups on matters such as the implementation of zero and low emission buses across the eastern states.</w:t>
      </w:r>
    </w:p>
    <w:p w14:paraId="63B22192" w14:textId="05DEE392" w:rsidR="005B1CE4" w:rsidRDefault="005B1CE4" w:rsidP="00413E56">
      <w:pPr>
        <w:pStyle w:val="BodyText"/>
        <w:numPr>
          <w:ilvl w:val="0"/>
          <w:numId w:val="46"/>
        </w:numPr>
        <w:jc w:val="both"/>
      </w:pPr>
      <w:r w:rsidRPr="00FA1968">
        <w:t>TMR’s TSSS recently completed a community information and educational marketing program to engage with customers through social media channels.</w:t>
      </w:r>
    </w:p>
    <w:p w14:paraId="51C36A52" w14:textId="77777777" w:rsidR="00C56287" w:rsidRDefault="00C56287" w:rsidP="00C56287"/>
    <w:p w14:paraId="119440AA" w14:textId="77777777" w:rsidR="004868A8" w:rsidRDefault="004868A8" w:rsidP="00C56287"/>
    <w:p w14:paraId="3650FCC3" w14:textId="49E1888A" w:rsidR="000744BB" w:rsidRPr="00957BB4" w:rsidRDefault="000744BB" w:rsidP="0042040C">
      <w:pPr>
        <w:pStyle w:val="BodyText"/>
        <w:jc w:val="both"/>
        <w:rPr>
          <w:b/>
          <w:i/>
          <w:szCs w:val="24"/>
        </w:rPr>
      </w:pPr>
      <w:r w:rsidRPr="00957BB4">
        <w:rPr>
          <w:b/>
          <w:bCs/>
          <w:i/>
          <w:iCs/>
          <w:szCs w:val="24"/>
        </w:rPr>
        <w:lastRenderedPageBreak/>
        <w:t>Accessibility Reference Group</w:t>
      </w:r>
    </w:p>
    <w:p w14:paraId="4AAEDE88" w14:textId="77777777" w:rsidR="00AA74E5" w:rsidRDefault="00AA74E5" w:rsidP="00AA74E5">
      <w:pPr>
        <w:pStyle w:val="BodyText"/>
        <w:jc w:val="both"/>
        <w:rPr>
          <w:szCs w:val="24"/>
        </w:rPr>
      </w:pPr>
    </w:p>
    <w:p w14:paraId="5BFD8A12" w14:textId="51310C18" w:rsidR="000744BB" w:rsidRPr="00957BB4" w:rsidRDefault="000744BB" w:rsidP="00413E56">
      <w:pPr>
        <w:pStyle w:val="BodyText"/>
        <w:jc w:val="both"/>
        <w:rPr>
          <w:szCs w:val="24"/>
        </w:rPr>
      </w:pPr>
      <w:r w:rsidRPr="00957BB4">
        <w:rPr>
          <w:szCs w:val="24"/>
        </w:rPr>
        <w:t xml:space="preserve">The TMR Accessibility Reference Group (ARG) is a consultative forum </w:t>
      </w:r>
      <w:r w:rsidRPr="00957BB4">
        <w:rPr>
          <w:bCs/>
          <w:iCs/>
          <w:szCs w:val="24"/>
        </w:rPr>
        <w:t xml:space="preserve">facilitating meaningful engagement </w:t>
      </w:r>
      <w:r w:rsidRPr="00957BB4">
        <w:rPr>
          <w:szCs w:val="24"/>
        </w:rPr>
        <w:t>for government, industry stakeholders</w:t>
      </w:r>
      <w:r w:rsidR="00F375D6">
        <w:rPr>
          <w:szCs w:val="24"/>
        </w:rPr>
        <w:t>,</w:t>
      </w:r>
      <w:r w:rsidRPr="00957BB4">
        <w:rPr>
          <w:szCs w:val="24"/>
        </w:rPr>
        <w:t xml:space="preserve"> and disability sector representatives</w:t>
      </w:r>
      <w:r w:rsidR="00874C99">
        <w:rPr>
          <w:szCs w:val="24"/>
        </w:rPr>
        <w:t>,</w:t>
      </w:r>
      <w:r w:rsidRPr="00957BB4">
        <w:rPr>
          <w:szCs w:val="24"/>
        </w:rPr>
        <w:t xml:space="preserve"> to discuss matters regarding the accessibility of the Queensland passenger transport network for people with disability. Representation is diverse</w:t>
      </w:r>
      <w:r w:rsidR="00090463">
        <w:rPr>
          <w:szCs w:val="24"/>
        </w:rPr>
        <w:t>,</w:t>
      </w:r>
      <w:r w:rsidRPr="00957BB4">
        <w:rPr>
          <w:szCs w:val="24"/>
        </w:rPr>
        <w:t xml:space="preserve"> with 12 disability sector organisations represented including peak bodies and people with lived experience. </w:t>
      </w:r>
    </w:p>
    <w:p w14:paraId="482B04BD" w14:textId="77777777" w:rsidR="0042040C" w:rsidRDefault="0042040C" w:rsidP="00413E56">
      <w:pPr>
        <w:pStyle w:val="BodyText"/>
        <w:jc w:val="both"/>
        <w:rPr>
          <w:szCs w:val="24"/>
        </w:rPr>
      </w:pPr>
    </w:p>
    <w:p w14:paraId="28A6CE73" w14:textId="6405A8D6" w:rsidR="000744BB" w:rsidRDefault="000744BB" w:rsidP="00413E56">
      <w:pPr>
        <w:pStyle w:val="BodyText"/>
        <w:jc w:val="both"/>
        <w:rPr>
          <w:szCs w:val="24"/>
        </w:rPr>
      </w:pPr>
      <w:r w:rsidRPr="00957BB4">
        <w:rPr>
          <w:szCs w:val="24"/>
        </w:rPr>
        <w:t>Consultation spans across bus, rail, ferry, taxi and rideshare services. This includes seeking feedback and input on policy issues, new technology, and designs for new and upgraded vehicles, stations and precincts.</w:t>
      </w:r>
    </w:p>
    <w:p w14:paraId="0E750D0C" w14:textId="77777777" w:rsidR="008C37FE" w:rsidRPr="008C37FE" w:rsidRDefault="008C37FE" w:rsidP="00413E56">
      <w:pPr>
        <w:pStyle w:val="BodyText"/>
        <w:jc w:val="both"/>
        <w:rPr>
          <w:szCs w:val="24"/>
        </w:rPr>
      </w:pPr>
    </w:p>
    <w:p w14:paraId="224AD990" w14:textId="039FE5BA" w:rsidR="000744BB" w:rsidRPr="004868A8" w:rsidRDefault="000744BB" w:rsidP="004868A8">
      <w:pPr>
        <w:suppressAutoHyphens w:val="0"/>
        <w:spacing w:before="0" w:after="160" w:line="259" w:lineRule="auto"/>
        <w:jc w:val="both"/>
        <w:rPr>
          <w:color w:val="auto"/>
        </w:rPr>
      </w:pPr>
      <w:r w:rsidRPr="004868A8">
        <w:rPr>
          <w:color w:val="auto"/>
        </w:rPr>
        <w:t>The ARG met four times in 2024-25. Some examples of topics discussed include:</w:t>
      </w:r>
    </w:p>
    <w:p w14:paraId="2C891D3D" w14:textId="7F8A86D2" w:rsidR="000744BB" w:rsidRPr="004868A8" w:rsidRDefault="000744BB" w:rsidP="004868A8">
      <w:pPr>
        <w:pStyle w:val="BodyText"/>
        <w:numPr>
          <w:ilvl w:val="0"/>
          <w:numId w:val="48"/>
        </w:numPr>
        <w:spacing w:after="120" w:line="300" w:lineRule="atLeast"/>
        <w:jc w:val="both"/>
        <w:rPr>
          <w:szCs w:val="24"/>
        </w:rPr>
      </w:pPr>
      <w:r w:rsidRPr="004868A8">
        <w:rPr>
          <w:szCs w:val="24"/>
        </w:rPr>
        <w:t>Co-design of the new Disability Action Plan for passenger transport services 2025–28</w:t>
      </w:r>
    </w:p>
    <w:p w14:paraId="23338248" w14:textId="77777777" w:rsidR="000744BB" w:rsidRPr="00957BB4" w:rsidRDefault="000744BB" w:rsidP="00413E56">
      <w:pPr>
        <w:pStyle w:val="BodyText"/>
        <w:numPr>
          <w:ilvl w:val="0"/>
          <w:numId w:val="48"/>
        </w:numPr>
        <w:spacing w:after="120" w:line="300" w:lineRule="atLeast"/>
        <w:jc w:val="both"/>
        <w:rPr>
          <w:szCs w:val="24"/>
        </w:rPr>
      </w:pPr>
      <w:r w:rsidRPr="00957BB4">
        <w:rPr>
          <w:szCs w:val="24"/>
        </w:rPr>
        <w:t>The Wave rail project</w:t>
      </w:r>
    </w:p>
    <w:p w14:paraId="0A19C4D3" w14:textId="77777777" w:rsidR="000744BB" w:rsidRPr="00957BB4" w:rsidRDefault="000744BB" w:rsidP="00413E56">
      <w:pPr>
        <w:pStyle w:val="BodyText"/>
        <w:numPr>
          <w:ilvl w:val="0"/>
          <w:numId w:val="48"/>
        </w:numPr>
        <w:spacing w:after="120" w:line="300" w:lineRule="atLeast"/>
        <w:jc w:val="both"/>
        <w:rPr>
          <w:szCs w:val="24"/>
        </w:rPr>
      </w:pPr>
      <w:r w:rsidRPr="00957BB4">
        <w:rPr>
          <w:szCs w:val="24"/>
        </w:rPr>
        <w:t>Zero Emissions Bus program</w:t>
      </w:r>
    </w:p>
    <w:p w14:paraId="19A07CC4" w14:textId="77777777" w:rsidR="000744BB" w:rsidRPr="00957BB4" w:rsidRDefault="000744BB" w:rsidP="00413E56">
      <w:pPr>
        <w:pStyle w:val="BodyText"/>
        <w:numPr>
          <w:ilvl w:val="0"/>
          <w:numId w:val="48"/>
        </w:numPr>
        <w:spacing w:after="120" w:line="300" w:lineRule="atLeast"/>
        <w:jc w:val="both"/>
        <w:rPr>
          <w:szCs w:val="24"/>
        </w:rPr>
      </w:pPr>
      <w:r w:rsidRPr="00957BB4">
        <w:rPr>
          <w:szCs w:val="24"/>
        </w:rPr>
        <w:t>New Translink App</w:t>
      </w:r>
    </w:p>
    <w:p w14:paraId="3CDF21D4" w14:textId="77777777" w:rsidR="000744BB" w:rsidRPr="00957BB4" w:rsidRDefault="000744BB" w:rsidP="00413E56">
      <w:pPr>
        <w:pStyle w:val="BodyText"/>
        <w:numPr>
          <w:ilvl w:val="0"/>
          <w:numId w:val="48"/>
        </w:numPr>
        <w:spacing w:after="120" w:line="300" w:lineRule="atLeast"/>
        <w:jc w:val="both"/>
        <w:rPr>
          <w:szCs w:val="24"/>
        </w:rPr>
      </w:pPr>
      <w:r w:rsidRPr="00957BB4">
        <w:rPr>
          <w:szCs w:val="24"/>
        </w:rPr>
        <w:t>Queensland Train Manufacturing Program</w:t>
      </w:r>
    </w:p>
    <w:p w14:paraId="3C0978E6" w14:textId="3BD71C20" w:rsidR="000744BB" w:rsidRDefault="000744BB" w:rsidP="0042040C">
      <w:pPr>
        <w:pStyle w:val="BodyText"/>
        <w:numPr>
          <w:ilvl w:val="0"/>
          <w:numId w:val="48"/>
        </w:numPr>
        <w:spacing w:after="120" w:line="300" w:lineRule="atLeast"/>
        <w:jc w:val="both"/>
        <w:rPr>
          <w:szCs w:val="24"/>
        </w:rPr>
      </w:pPr>
      <w:r w:rsidRPr="00957BB4">
        <w:rPr>
          <w:szCs w:val="24"/>
        </w:rPr>
        <w:t>New Albion Station</w:t>
      </w:r>
      <w:r w:rsidR="00F60449">
        <w:rPr>
          <w:szCs w:val="24"/>
        </w:rPr>
        <w:t xml:space="preserve"> </w:t>
      </w:r>
    </w:p>
    <w:p w14:paraId="58367A43" w14:textId="66D0B428" w:rsidR="00346EFE" w:rsidRPr="00346EFE" w:rsidRDefault="00346EFE" w:rsidP="00346EFE">
      <w:pPr>
        <w:rPr>
          <w:b/>
          <w:bCs/>
          <w:i/>
          <w:iCs/>
          <w:color w:val="auto"/>
        </w:rPr>
      </w:pPr>
      <w:r w:rsidRPr="00346EFE">
        <w:rPr>
          <w:b/>
          <w:bCs/>
          <w:i/>
          <w:iCs/>
          <w:color w:val="auto"/>
        </w:rPr>
        <w:t>Rail Division</w:t>
      </w:r>
    </w:p>
    <w:p w14:paraId="1B3E0DF9" w14:textId="1B5AB55C" w:rsidR="00346EFE" w:rsidRPr="00346EFE" w:rsidRDefault="00346EFE" w:rsidP="00346EFE">
      <w:pPr>
        <w:jc w:val="both"/>
      </w:pPr>
      <w:r w:rsidRPr="00B21382">
        <w:rPr>
          <w:color w:val="auto"/>
          <w:szCs w:val="24"/>
        </w:rPr>
        <w:t>Rail Division was established during the 2024–25 financial year to strengthen governance and oversight of Queensland’s rail network. As a newly formed division, regulatory frameworks and operational processes are still under development. Initial engagement occurred with internal stakeholders and key rail industry representatives to inform the development of Rail Division’s governance approach. Broader consultation will be implemented as regulatory frameworks progress</w:t>
      </w:r>
      <w:r w:rsidRPr="00346EFE">
        <w:t>.</w:t>
      </w:r>
    </w:p>
    <w:p w14:paraId="428900AB" w14:textId="6E5EFFE9" w:rsidR="00346EFE" w:rsidRPr="00346EFE" w:rsidRDefault="00346EFE" w:rsidP="00346EFE">
      <w:pPr>
        <w:rPr>
          <w:b/>
          <w:bCs/>
          <w:i/>
          <w:iCs/>
        </w:rPr>
      </w:pPr>
      <w:r w:rsidRPr="00346EFE">
        <w:rPr>
          <w:b/>
          <w:bCs/>
          <w:i/>
          <w:iCs/>
        </w:rPr>
        <w:t xml:space="preserve">Transport Operations (Marine Safety) Legislation Amendment Regulation 2024 </w:t>
      </w:r>
    </w:p>
    <w:p w14:paraId="12E8EA91" w14:textId="77777777" w:rsidR="00346EFE" w:rsidRPr="00B21382" w:rsidRDefault="00346EFE" w:rsidP="00346EFE">
      <w:pPr>
        <w:jc w:val="both"/>
        <w:rPr>
          <w:color w:val="auto"/>
          <w:szCs w:val="24"/>
        </w:rPr>
      </w:pPr>
      <w:r w:rsidRPr="00B21382">
        <w:rPr>
          <w:color w:val="auto"/>
          <w:szCs w:val="24"/>
        </w:rPr>
        <w:t xml:space="preserve">In implementing mandated lifejacket-wearing during specific high-risk boating activities, as introduced in the </w:t>
      </w:r>
      <w:r w:rsidRPr="007B1B75">
        <w:rPr>
          <w:i/>
          <w:iCs/>
          <w:color w:val="auto"/>
          <w:szCs w:val="24"/>
        </w:rPr>
        <w:t>Transport Operations (Marine Safety) Legislation Amendment Regulation 2024</w:t>
      </w:r>
      <w:r w:rsidRPr="00B21382">
        <w:rPr>
          <w:color w:val="auto"/>
          <w:szCs w:val="24"/>
        </w:rPr>
        <w:t xml:space="preserve">, TMR’s Maritime Safety Queensland (MSQ) engaged meaningfully with stakeholders by delaying enforcement, establishing a long education-first grace period from 1 December 2024 to 1 July 2025. This extensive period was utilised to work directly with the boating community, ensuring they had sufficient time to understand the transition to the new life-saving standards before any penalties for non-compliance commenced. </w:t>
      </w:r>
    </w:p>
    <w:p w14:paraId="76092CDD" w14:textId="77777777" w:rsidR="00D23CB4" w:rsidRDefault="00D23CB4" w:rsidP="00346EFE">
      <w:pPr>
        <w:rPr>
          <w:b/>
          <w:bCs/>
          <w:i/>
          <w:iCs/>
        </w:rPr>
      </w:pPr>
    </w:p>
    <w:p w14:paraId="526FED84" w14:textId="1E2B1674" w:rsidR="000744BB" w:rsidRPr="00346EFE" w:rsidRDefault="00D557AD" w:rsidP="00346EFE">
      <w:pPr>
        <w:rPr>
          <w:b/>
          <w:bCs/>
          <w:i/>
          <w:iCs/>
        </w:rPr>
      </w:pPr>
      <w:r>
        <w:rPr>
          <w:b/>
          <w:bCs/>
          <w:i/>
          <w:iCs/>
        </w:rPr>
        <w:lastRenderedPageBreak/>
        <w:t xml:space="preserve">The </w:t>
      </w:r>
      <w:r w:rsidR="000744BB" w:rsidRPr="00346EFE">
        <w:rPr>
          <w:b/>
          <w:bCs/>
          <w:i/>
          <w:iCs/>
        </w:rPr>
        <w:t xml:space="preserve">Noosa River </w:t>
      </w:r>
      <w:r w:rsidR="00D34B35">
        <w:rPr>
          <w:b/>
          <w:bCs/>
          <w:i/>
          <w:iCs/>
        </w:rPr>
        <w:t xml:space="preserve">Management </w:t>
      </w:r>
      <w:r w:rsidR="000744BB" w:rsidRPr="00346EFE">
        <w:rPr>
          <w:b/>
          <w:bCs/>
          <w:i/>
          <w:iCs/>
        </w:rPr>
        <w:t>Plan</w:t>
      </w:r>
    </w:p>
    <w:p w14:paraId="6A34A4E1" w14:textId="77777777" w:rsidR="00D557AD" w:rsidRPr="00B21382" w:rsidRDefault="000744BB" w:rsidP="00346EFE">
      <w:pPr>
        <w:jc w:val="both"/>
      </w:pPr>
      <w:r w:rsidRPr="00346EFE">
        <w:t>MSQ conducted extensive engagement and consultation processes from 2021 onwards</w:t>
      </w:r>
      <w:r w:rsidR="003A6901" w:rsidRPr="00346EFE">
        <w:t>,</w:t>
      </w:r>
      <w:r w:rsidRPr="00346EFE">
        <w:t xml:space="preserve"> to develop a plan</w:t>
      </w:r>
      <w:r w:rsidRPr="00B21382">
        <w:t xml:space="preserve"> to address safety, access and environmental issues resulting from congestion in the Noosa River. This included an extended period of broad stakeholder consultation through the locally based Noosa River Stakeholder Advisory Committee (NRSAC). </w:t>
      </w:r>
    </w:p>
    <w:p w14:paraId="0529C055" w14:textId="6C310B18" w:rsidR="00D557AD" w:rsidRDefault="000744BB" w:rsidP="00346EFE">
      <w:pPr>
        <w:jc w:val="both"/>
        <w:rPr>
          <w:szCs w:val="24"/>
        </w:rPr>
      </w:pPr>
      <w:r w:rsidRPr="00B21382">
        <w:t>The NRSAC was co-chaired by the General Manager MSQ and the Chief Executive Officer</w:t>
      </w:r>
      <w:r w:rsidR="00D557AD" w:rsidRPr="00B21382">
        <w:t>, N</w:t>
      </w:r>
      <w:r w:rsidRPr="00B21382">
        <w:t>oosa Shire Council</w:t>
      </w:r>
      <w:r w:rsidR="00F375D6" w:rsidRPr="00B21382">
        <w:t>,</w:t>
      </w:r>
      <w:r w:rsidRPr="00B21382">
        <w:t xml:space="preserve"> </w:t>
      </w:r>
      <w:r w:rsidR="00D557AD" w:rsidRPr="00B21382">
        <w:t>with</w:t>
      </w:r>
      <w:r w:rsidRPr="00B21382">
        <w:t xml:space="preserve"> membership </w:t>
      </w:r>
      <w:r w:rsidR="00D557AD" w:rsidRPr="00B21382">
        <w:t>that included</w:t>
      </w:r>
      <w:r w:rsidRPr="00B21382">
        <w:t xml:space="preserve"> key community representatives across sectors of river use including community, recreational boating, commercial operators, fishing, tourism and the environment.</w:t>
      </w:r>
      <w:r w:rsidRPr="008337BC">
        <w:rPr>
          <w:szCs w:val="24"/>
        </w:rPr>
        <w:t xml:space="preserve"> </w:t>
      </w:r>
    </w:p>
    <w:p w14:paraId="3DCF76D1" w14:textId="00A64174" w:rsidR="008C37FE" w:rsidRDefault="000744BB" w:rsidP="00346EFE">
      <w:pPr>
        <w:jc w:val="both"/>
        <w:rPr>
          <w:szCs w:val="24"/>
        </w:rPr>
      </w:pPr>
      <w:r w:rsidRPr="00B21382">
        <w:t>Following the comprehensive options development process, the NRSAC endorsed MSQ’s proposed reforms which were then submitted for public consultation during December 2022 and January 2023 over a six-week period.</w:t>
      </w:r>
      <w:r w:rsidRPr="008337BC">
        <w:rPr>
          <w:szCs w:val="24"/>
        </w:rPr>
        <w:t xml:space="preserve"> </w:t>
      </w:r>
    </w:p>
    <w:p w14:paraId="2AF7B240" w14:textId="5B0E0857" w:rsidR="000744BB" w:rsidRPr="008337BC" w:rsidRDefault="000744BB" w:rsidP="00346EFE">
      <w:pPr>
        <w:pStyle w:val="BodyText"/>
        <w:jc w:val="both"/>
        <w:rPr>
          <w:szCs w:val="24"/>
        </w:rPr>
      </w:pPr>
      <w:r w:rsidRPr="008337BC">
        <w:rPr>
          <w:szCs w:val="24"/>
        </w:rPr>
        <w:t xml:space="preserve">The results of the consultation informed the development of the Noosa River Management Plan (the Noosa River Plan). </w:t>
      </w:r>
    </w:p>
    <w:p w14:paraId="7B7E1E28" w14:textId="77777777" w:rsidR="000744BB" w:rsidRPr="008337BC" w:rsidRDefault="000744BB" w:rsidP="00346EFE">
      <w:pPr>
        <w:pStyle w:val="BodyText"/>
        <w:jc w:val="both"/>
        <w:rPr>
          <w:szCs w:val="24"/>
        </w:rPr>
      </w:pPr>
    </w:p>
    <w:p w14:paraId="12F69894" w14:textId="411FB985" w:rsidR="008C37FE" w:rsidRDefault="000744BB" w:rsidP="00346EFE">
      <w:pPr>
        <w:pStyle w:val="BodyText"/>
        <w:jc w:val="both"/>
        <w:rPr>
          <w:szCs w:val="24"/>
        </w:rPr>
      </w:pPr>
      <w:r w:rsidRPr="008337BC">
        <w:rPr>
          <w:szCs w:val="24"/>
        </w:rPr>
        <w:t>The roll out of the Noosa River Plan commenced in 2023</w:t>
      </w:r>
      <w:r w:rsidR="00742954">
        <w:rPr>
          <w:szCs w:val="24"/>
        </w:rPr>
        <w:t>,</w:t>
      </w:r>
      <w:r w:rsidRPr="008337BC">
        <w:rPr>
          <w:szCs w:val="24"/>
        </w:rPr>
        <w:t xml:space="preserve"> with priority initiatives to lay the groundwork for upcoming legislative changes</w:t>
      </w:r>
      <w:r w:rsidR="005419D5">
        <w:rPr>
          <w:szCs w:val="24"/>
        </w:rPr>
        <w:t>,</w:t>
      </w:r>
      <w:r w:rsidRPr="008337BC">
        <w:rPr>
          <w:szCs w:val="24"/>
        </w:rPr>
        <w:t xml:space="preserve"> and included reduced speed limit zones, anchored vessels safety risk surveys and ship-sourced pollution audits. The implementation of anchoring restrictions, introduced under the </w:t>
      </w:r>
      <w:r w:rsidRPr="0042040C">
        <w:rPr>
          <w:i/>
          <w:iCs/>
          <w:szCs w:val="24"/>
        </w:rPr>
        <w:t>Transport Operations (Marine Safety) Regulation 2012</w:t>
      </w:r>
      <w:r w:rsidRPr="008337BC">
        <w:rPr>
          <w:szCs w:val="24"/>
        </w:rPr>
        <w:t xml:space="preserve">, commenced in July 2024. </w:t>
      </w:r>
    </w:p>
    <w:p w14:paraId="0027F83D" w14:textId="77777777" w:rsidR="008C37FE" w:rsidRDefault="008C37FE" w:rsidP="00346EFE">
      <w:pPr>
        <w:pStyle w:val="BodyText"/>
        <w:jc w:val="both"/>
        <w:rPr>
          <w:szCs w:val="24"/>
        </w:rPr>
      </w:pPr>
    </w:p>
    <w:p w14:paraId="44706D01" w14:textId="2FB0835E" w:rsidR="008C37FE" w:rsidRDefault="000744BB" w:rsidP="00346EFE">
      <w:pPr>
        <w:pStyle w:val="BodyText"/>
        <w:jc w:val="both"/>
        <w:rPr>
          <w:szCs w:val="24"/>
        </w:rPr>
      </w:pPr>
      <w:r w:rsidRPr="008337BC">
        <w:rPr>
          <w:szCs w:val="24"/>
        </w:rPr>
        <w:t>The staged approach to delivery provided an extended period for stakeholders to prepare for changes. MSQ actively listened to the Noosa community and made targeted adjustments during the implementation of the Noosa River Plan</w:t>
      </w:r>
      <w:r w:rsidR="00F375D6">
        <w:rPr>
          <w:szCs w:val="24"/>
        </w:rPr>
        <w:t>,</w:t>
      </w:r>
      <w:r w:rsidRPr="008337BC">
        <w:rPr>
          <w:szCs w:val="24"/>
        </w:rPr>
        <w:t xml:space="preserve"> based on consultation with local residents and stakeholders. </w:t>
      </w:r>
    </w:p>
    <w:p w14:paraId="6C6F72DA" w14:textId="77777777" w:rsidR="008C37FE" w:rsidRDefault="008C37FE" w:rsidP="00346EFE">
      <w:pPr>
        <w:pStyle w:val="BodyText"/>
        <w:jc w:val="both"/>
        <w:rPr>
          <w:szCs w:val="24"/>
        </w:rPr>
      </w:pPr>
    </w:p>
    <w:p w14:paraId="5AF0A0F2" w14:textId="28129874" w:rsidR="008C37FE" w:rsidRDefault="000744BB" w:rsidP="00346EFE">
      <w:pPr>
        <w:pStyle w:val="BodyText"/>
        <w:jc w:val="both"/>
        <w:rPr>
          <w:szCs w:val="24"/>
        </w:rPr>
      </w:pPr>
      <w:r w:rsidRPr="008337BC">
        <w:rPr>
          <w:szCs w:val="24"/>
        </w:rPr>
        <w:t>The final stage of the Noosa River Plan will introduce 28-day anchoring restrictions in any financial year</w:t>
      </w:r>
      <w:r w:rsidR="00867BF6">
        <w:rPr>
          <w:szCs w:val="24"/>
        </w:rPr>
        <w:t>,</w:t>
      </w:r>
      <w:r w:rsidRPr="008337BC">
        <w:rPr>
          <w:szCs w:val="24"/>
        </w:rPr>
        <w:t xml:space="preserve"> to ensure the longer-term management of boating activities in the Noosa River. </w:t>
      </w:r>
    </w:p>
    <w:p w14:paraId="35087B91" w14:textId="77777777" w:rsidR="008C37FE" w:rsidRDefault="008C37FE" w:rsidP="00413E56">
      <w:pPr>
        <w:pStyle w:val="BodyText"/>
        <w:jc w:val="both"/>
        <w:rPr>
          <w:szCs w:val="24"/>
        </w:rPr>
      </w:pPr>
    </w:p>
    <w:p w14:paraId="3057EDBA" w14:textId="5EDA270D" w:rsidR="008C37FE" w:rsidRDefault="000744BB" w:rsidP="00413E56">
      <w:pPr>
        <w:pStyle w:val="BodyText"/>
        <w:jc w:val="both"/>
        <w:rPr>
          <w:szCs w:val="24"/>
        </w:rPr>
      </w:pPr>
      <w:r w:rsidRPr="008337BC">
        <w:rPr>
          <w:szCs w:val="24"/>
        </w:rPr>
        <w:t>Communication with the public has been an important part of the roll</w:t>
      </w:r>
      <w:r w:rsidR="00867BF6">
        <w:rPr>
          <w:szCs w:val="24"/>
        </w:rPr>
        <w:t>-</w:t>
      </w:r>
      <w:r w:rsidRPr="008337BC">
        <w:rPr>
          <w:szCs w:val="24"/>
        </w:rPr>
        <w:t>out of the Noosa River Plan</w:t>
      </w:r>
      <w:r w:rsidR="00867BF6">
        <w:rPr>
          <w:szCs w:val="24"/>
        </w:rPr>
        <w:t>,</w:t>
      </w:r>
      <w:r w:rsidRPr="008337BC">
        <w:rPr>
          <w:szCs w:val="24"/>
        </w:rPr>
        <w:t xml:space="preserve"> with each stage supported by media releases, social media</w:t>
      </w:r>
      <w:r w:rsidR="00867BF6">
        <w:rPr>
          <w:szCs w:val="24"/>
        </w:rPr>
        <w:t>,</w:t>
      </w:r>
      <w:r w:rsidRPr="008337BC">
        <w:rPr>
          <w:szCs w:val="24"/>
        </w:rPr>
        <w:t xml:space="preserve"> and regular updates on MSQ’s website, including development </w:t>
      </w:r>
      <w:r w:rsidR="00805627">
        <w:rPr>
          <w:szCs w:val="24"/>
        </w:rPr>
        <w:t xml:space="preserve">of, </w:t>
      </w:r>
      <w:r w:rsidRPr="008337BC">
        <w:rPr>
          <w:szCs w:val="24"/>
        </w:rPr>
        <w:t>and public access to</w:t>
      </w:r>
      <w:r w:rsidR="00805627">
        <w:rPr>
          <w:szCs w:val="24"/>
        </w:rPr>
        <w:t>,</w:t>
      </w:r>
      <w:r w:rsidRPr="008337BC">
        <w:rPr>
          <w:szCs w:val="24"/>
        </w:rPr>
        <w:t xml:space="preserve"> maps</w:t>
      </w:r>
      <w:r w:rsidR="00805627">
        <w:rPr>
          <w:szCs w:val="24"/>
        </w:rPr>
        <w:t>,</w:t>
      </w:r>
      <w:r w:rsidRPr="008337BC">
        <w:rPr>
          <w:szCs w:val="24"/>
        </w:rPr>
        <w:t xml:space="preserve"> as stages were being implemented.</w:t>
      </w:r>
    </w:p>
    <w:p w14:paraId="7218F9CF" w14:textId="77777777" w:rsidR="008C37FE" w:rsidRDefault="008C37FE" w:rsidP="00413E56">
      <w:pPr>
        <w:suppressAutoHyphens w:val="0"/>
        <w:spacing w:before="0" w:after="160" w:line="259" w:lineRule="auto"/>
        <w:jc w:val="both"/>
        <w:rPr>
          <w:color w:val="auto"/>
          <w:szCs w:val="24"/>
        </w:rPr>
      </w:pPr>
      <w:r>
        <w:rPr>
          <w:szCs w:val="24"/>
        </w:rPr>
        <w:br w:type="page"/>
      </w:r>
    </w:p>
    <w:p w14:paraId="31EC987F" w14:textId="3161C455" w:rsidR="006560E9" w:rsidRPr="00C470A3" w:rsidRDefault="006560E9" w:rsidP="00B44A70">
      <w:pPr>
        <w:pStyle w:val="Heading1"/>
      </w:pPr>
      <w:bookmarkStart w:id="11" w:name="_Toc217306338"/>
      <w:r w:rsidRPr="00C470A3">
        <w:lastRenderedPageBreak/>
        <w:t>Model Practice</w:t>
      </w:r>
      <w:r>
        <w:t xml:space="preserve"> 3</w:t>
      </w:r>
      <w:bookmarkEnd w:id="11"/>
    </w:p>
    <w:p w14:paraId="26D3D12F" w14:textId="77777777" w:rsidR="00AC31A8" w:rsidRPr="00AC31A8" w:rsidRDefault="00AC31A8" w:rsidP="00847FF6">
      <w:pPr>
        <w:pStyle w:val="Heading2"/>
        <w:jc w:val="both"/>
      </w:pPr>
      <w:bookmarkStart w:id="12" w:name="_Toc217306339"/>
      <w:r w:rsidRPr="00AC31A8">
        <w:t>Provide appropriate information and support to assist compliance</w:t>
      </w:r>
      <w:bookmarkEnd w:id="12"/>
    </w:p>
    <w:p w14:paraId="5328E250" w14:textId="40B3F77F" w:rsidR="001C07DB" w:rsidRPr="0073294A" w:rsidRDefault="001C07DB" w:rsidP="001C07DB">
      <w:pPr>
        <w:pStyle w:val="BodyText"/>
        <w:rPr>
          <w:b/>
          <w:bCs/>
          <w:i/>
          <w:iCs/>
          <w:color w:val="2F2F2F" w:themeColor="text1" w:themeTint="E6"/>
        </w:rPr>
      </w:pPr>
      <w:r w:rsidRPr="0073294A">
        <w:rPr>
          <w:b/>
          <w:bCs/>
          <w:i/>
          <w:iCs/>
          <w:color w:val="2F2F2F" w:themeColor="text1" w:themeTint="E6"/>
        </w:rPr>
        <w:t>Passenger Transport</w:t>
      </w:r>
    </w:p>
    <w:p w14:paraId="357A0E64" w14:textId="77777777" w:rsidR="00363A53" w:rsidRDefault="00363A53" w:rsidP="00C56287">
      <w:pPr>
        <w:pStyle w:val="BodyText"/>
        <w:ind w:right="238"/>
        <w:jc w:val="both"/>
      </w:pPr>
    </w:p>
    <w:p w14:paraId="7F18FC7D" w14:textId="5A1B3CFC" w:rsidR="001C07DB" w:rsidRPr="00B44A70" w:rsidRDefault="001C07DB" w:rsidP="009104DF">
      <w:pPr>
        <w:pStyle w:val="BodyText"/>
        <w:jc w:val="both"/>
        <w:rPr>
          <w:szCs w:val="24"/>
        </w:rPr>
      </w:pPr>
      <w:r w:rsidRPr="00B44A70">
        <w:rPr>
          <w:szCs w:val="24"/>
        </w:rPr>
        <w:t>Translink Customer Liaison Officers, Busway Safety Officers, and Senior Network Officers</w:t>
      </w:r>
      <w:r w:rsidR="00325A91">
        <w:rPr>
          <w:szCs w:val="24"/>
        </w:rPr>
        <w:t>,</w:t>
      </w:r>
      <w:r w:rsidRPr="00B44A70">
        <w:rPr>
          <w:szCs w:val="24"/>
        </w:rPr>
        <w:t xml:space="preserve"> are on the ground with </w:t>
      </w:r>
      <w:r w:rsidR="00BA1270" w:rsidRPr="00B44A70">
        <w:rPr>
          <w:szCs w:val="24"/>
        </w:rPr>
        <w:t>TMR’s</w:t>
      </w:r>
      <w:r w:rsidRPr="00B44A70">
        <w:rPr>
          <w:szCs w:val="24"/>
        </w:rPr>
        <w:t xml:space="preserve"> customers actively supporting them with service information and ensuring safety and ticketing compliance.</w:t>
      </w:r>
      <w:r w:rsidR="00346EFE">
        <w:rPr>
          <w:szCs w:val="24"/>
        </w:rPr>
        <w:t xml:space="preserve"> </w:t>
      </w:r>
      <w:r w:rsidR="003D2DB7" w:rsidRPr="00B44A70">
        <w:rPr>
          <w:szCs w:val="24"/>
        </w:rPr>
        <w:t>TMR</w:t>
      </w:r>
      <w:r w:rsidRPr="00B44A70">
        <w:rPr>
          <w:szCs w:val="24"/>
        </w:rPr>
        <w:t xml:space="preserve"> issue</w:t>
      </w:r>
      <w:r w:rsidR="003D2DB7" w:rsidRPr="00B44A70">
        <w:rPr>
          <w:szCs w:val="24"/>
        </w:rPr>
        <w:t>s</w:t>
      </w:r>
      <w:r w:rsidRPr="00B44A70">
        <w:rPr>
          <w:szCs w:val="24"/>
        </w:rPr>
        <w:t xml:space="preserve"> warning notices to first time offenders as an educational tool so that passengers can understand requirements when using the public transport network.</w:t>
      </w:r>
    </w:p>
    <w:p w14:paraId="6F5144B4" w14:textId="77777777" w:rsidR="00FE0C2F" w:rsidRPr="00B44A70" w:rsidRDefault="00FE0C2F" w:rsidP="009104DF">
      <w:pPr>
        <w:pStyle w:val="BodyText"/>
        <w:jc w:val="both"/>
        <w:rPr>
          <w:szCs w:val="24"/>
        </w:rPr>
      </w:pPr>
    </w:p>
    <w:p w14:paraId="69E97CDE" w14:textId="39A03708" w:rsidR="001C07DB" w:rsidRPr="00B44A70" w:rsidRDefault="001C07DB" w:rsidP="009104DF">
      <w:pPr>
        <w:pStyle w:val="BodyText"/>
        <w:jc w:val="both"/>
        <w:rPr>
          <w:szCs w:val="24"/>
        </w:rPr>
      </w:pPr>
      <w:r w:rsidRPr="00B44A70">
        <w:rPr>
          <w:szCs w:val="24"/>
        </w:rPr>
        <w:t>TMR’s TSSS team engages with schools and community groups through educational programs to ensure opportunities for a two-way flow of information</w:t>
      </w:r>
      <w:r w:rsidR="00325A91">
        <w:rPr>
          <w:szCs w:val="24"/>
        </w:rPr>
        <w:t>,</w:t>
      </w:r>
      <w:r w:rsidRPr="00B44A70">
        <w:rPr>
          <w:szCs w:val="24"/>
        </w:rPr>
        <w:t xml:space="preserve"> including feedback on how revenue protection is managed by </w:t>
      </w:r>
      <w:r w:rsidR="00AD39A6">
        <w:rPr>
          <w:szCs w:val="24"/>
        </w:rPr>
        <w:t>TMR</w:t>
      </w:r>
      <w:r w:rsidRPr="00B44A70">
        <w:rPr>
          <w:szCs w:val="24"/>
        </w:rPr>
        <w:t>. TSSS recently completed a community information and educational marketing program to engage with customers through social media channels.</w:t>
      </w:r>
    </w:p>
    <w:p w14:paraId="7E13603F" w14:textId="764970BD" w:rsidR="00346EFE" w:rsidRPr="00346EFE" w:rsidRDefault="00346EFE" w:rsidP="00346EFE">
      <w:r>
        <w:rPr>
          <w:b/>
          <w:bCs/>
          <w:i/>
          <w:iCs/>
        </w:rPr>
        <w:t>Rail Division</w:t>
      </w:r>
    </w:p>
    <w:p w14:paraId="2895CA19" w14:textId="1F80B0B0" w:rsidR="00346EFE" w:rsidRPr="00346EFE" w:rsidRDefault="00346EFE" w:rsidP="00346EFE">
      <w:pPr>
        <w:jc w:val="both"/>
      </w:pPr>
      <w:r w:rsidRPr="00B21382">
        <w:rPr>
          <w:color w:val="auto"/>
          <w:szCs w:val="24"/>
        </w:rPr>
        <w:t>Rail Division was established during the 2024–25 financial year to strengthen governance and oversight of Queensland’s rail network</w:t>
      </w:r>
      <w:r w:rsidR="000B155F" w:rsidRPr="00B21382">
        <w:rPr>
          <w:color w:val="auto"/>
          <w:szCs w:val="24"/>
        </w:rPr>
        <w:t>, with</w:t>
      </w:r>
      <w:r w:rsidRPr="00B21382">
        <w:rPr>
          <w:color w:val="auto"/>
          <w:szCs w:val="24"/>
        </w:rPr>
        <w:t xml:space="preserve"> regulatory frameworks and operational processes still under development. No compliance activities were required in 2024–25. Planning is underway to establish clear guidance and support mechanisms for regulated entities in future years</w:t>
      </w:r>
      <w:r w:rsidRPr="00346EFE">
        <w:t>.</w:t>
      </w:r>
    </w:p>
    <w:p w14:paraId="1803DF46" w14:textId="61FF6ABC" w:rsidR="00DC007B" w:rsidRPr="009104DF" w:rsidRDefault="00DC007B" w:rsidP="009104DF">
      <w:pPr>
        <w:pStyle w:val="BodyText"/>
        <w:jc w:val="both"/>
        <w:rPr>
          <w:b/>
          <w:bCs/>
          <w:i/>
          <w:iCs/>
          <w:szCs w:val="24"/>
        </w:rPr>
      </w:pPr>
      <w:r w:rsidRPr="009104DF">
        <w:rPr>
          <w:b/>
          <w:bCs/>
          <w:i/>
          <w:iCs/>
          <w:szCs w:val="24"/>
        </w:rPr>
        <w:t xml:space="preserve">Online </w:t>
      </w:r>
      <w:r w:rsidR="001116F8" w:rsidRPr="009104DF">
        <w:rPr>
          <w:b/>
          <w:bCs/>
          <w:i/>
          <w:iCs/>
          <w:szCs w:val="24"/>
        </w:rPr>
        <w:t>t</w:t>
      </w:r>
      <w:r w:rsidRPr="009104DF">
        <w:rPr>
          <w:b/>
          <w:bCs/>
          <w:i/>
          <w:iCs/>
          <w:szCs w:val="24"/>
        </w:rPr>
        <w:t xml:space="preserve">raining for </w:t>
      </w:r>
      <w:r w:rsidR="00325A91">
        <w:rPr>
          <w:b/>
          <w:bCs/>
          <w:i/>
          <w:iCs/>
          <w:szCs w:val="24"/>
        </w:rPr>
        <w:t>A</w:t>
      </w:r>
      <w:r w:rsidRPr="009104DF">
        <w:rPr>
          <w:b/>
          <w:bCs/>
          <w:i/>
          <w:iCs/>
          <w:szCs w:val="24"/>
        </w:rPr>
        <w:t xml:space="preserve">pproved </w:t>
      </w:r>
      <w:r w:rsidR="00325A91">
        <w:rPr>
          <w:b/>
          <w:bCs/>
          <w:i/>
          <w:iCs/>
          <w:szCs w:val="24"/>
        </w:rPr>
        <w:t>I</w:t>
      </w:r>
      <w:r w:rsidRPr="009104DF">
        <w:rPr>
          <w:b/>
          <w:bCs/>
          <w:i/>
          <w:iCs/>
          <w:szCs w:val="24"/>
        </w:rPr>
        <w:t xml:space="preserve">nspection </w:t>
      </w:r>
      <w:r w:rsidR="00325A91">
        <w:rPr>
          <w:b/>
          <w:bCs/>
          <w:i/>
          <w:iCs/>
          <w:szCs w:val="24"/>
        </w:rPr>
        <w:t>S</w:t>
      </w:r>
      <w:r w:rsidRPr="009104DF">
        <w:rPr>
          <w:b/>
          <w:bCs/>
          <w:i/>
          <w:iCs/>
          <w:szCs w:val="24"/>
        </w:rPr>
        <w:t>tation industry participants</w:t>
      </w:r>
    </w:p>
    <w:p w14:paraId="4BAAFB1F" w14:textId="77777777" w:rsidR="008C37FE" w:rsidRPr="008C37FE" w:rsidRDefault="008C37FE" w:rsidP="00C56287">
      <w:pPr>
        <w:pStyle w:val="BodyText"/>
        <w:jc w:val="both"/>
        <w:rPr>
          <w:szCs w:val="24"/>
        </w:rPr>
      </w:pPr>
    </w:p>
    <w:p w14:paraId="63A0E254" w14:textId="33CD5A49" w:rsidR="008C37FE" w:rsidRDefault="00DC007B" w:rsidP="009104DF">
      <w:pPr>
        <w:pStyle w:val="BodyText"/>
        <w:jc w:val="both"/>
        <w:rPr>
          <w:szCs w:val="24"/>
        </w:rPr>
      </w:pPr>
      <w:r w:rsidRPr="000C4276">
        <w:rPr>
          <w:szCs w:val="24"/>
        </w:rPr>
        <w:t xml:space="preserve">To enhance understanding and compliance with legislative obligations for </w:t>
      </w:r>
      <w:r w:rsidR="00325A91">
        <w:rPr>
          <w:szCs w:val="24"/>
        </w:rPr>
        <w:t>A</w:t>
      </w:r>
      <w:r w:rsidRPr="000C4276">
        <w:rPr>
          <w:szCs w:val="24"/>
        </w:rPr>
        <w:t xml:space="preserve">pproved </w:t>
      </w:r>
      <w:r w:rsidR="00325A91">
        <w:rPr>
          <w:szCs w:val="24"/>
        </w:rPr>
        <w:t>I</w:t>
      </w:r>
      <w:r w:rsidRPr="000C4276">
        <w:rPr>
          <w:szCs w:val="24"/>
        </w:rPr>
        <w:t xml:space="preserve">nspection </w:t>
      </w:r>
      <w:r w:rsidR="00325A91">
        <w:rPr>
          <w:szCs w:val="24"/>
        </w:rPr>
        <w:t>S</w:t>
      </w:r>
      <w:r w:rsidRPr="000C4276">
        <w:rPr>
          <w:szCs w:val="24"/>
        </w:rPr>
        <w:t xml:space="preserve">tation industry participants, TMR partnered with TAFE Queensland to implement a comprehensive training reform. This was an evidence-based intervention, responding to non-compliance trends in audits and a high volume of complaints. To assist compliance without imposing immediate costs the training was fully subsidised for existing industry participants who were given 6 months to complete the training. </w:t>
      </w:r>
    </w:p>
    <w:p w14:paraId="5B739094" w14:textId="77777777" w:rsidR="008C37FE" w:rsidRDefault="008C37FE" w:rsidP="009104DF">
      <w:pPr>
        <w:pStyle w:val="BodyText"/>
        <w:jc w:val="both"/>
        <w:rPr>
          <w:szCs w:val="24"/>
        </w:rPr>
      </w:pPr>
    </w:p>
    <w:p w14:paraId="679948F5" w14:textId="697EF6F5" w:rsidR="00DC007B" w:rsidRPr="000C4276" w:rsidRDefault="00325A91" w:rsidP="009104DF">
      <w:pPr>
        <w:pStyle w:val="BodyText"/>
        <w:jc w:val="both"/>
        <w:rPr>
          <w:szCs w:val="24"/>
        </w:rPr>
      </w:pPr>
      <w:r>
        <w:rPr>
          <w:szCs w:val="24"/>
        </w:rPr>
        <w:t>I</w:t>
      </w:r>
      <w:r w:rsidRPr="000C4276">
        <w:rPr>
          <w:szCs w:val="24"/>
        </w:rPr>
        <w:t>n September 2024</w:t>
      </w:r>
      <w:r>
        <w:rPr>
          <w:szCs w:val="24"/>
        </w:rPr>
        <w:t xml:space="preserve"> t</w:t>
      </w:r>
      <w:r w:rsidR="00DC007B" w:rsidRPr="000C4276">
        <w:rPr>
          <w:szCs w:val="24"/>
        </w:rPr>
        <w:t xml:space="preserve">he </w:t>
      </w:r>
      <w:r w:rsidR="00DC007B" w:rsidRPr="00325A91">
        <w:rPr>
          <w:i/>
          <w:iCs/>
          <w:szCs w:val="24"/>
        </w:rPr>
        <w:t>Transport Operations (Road Use Management— Accreditation and Other Provisions) (AIS approvals) Amendment Regulation 2024</w:t>
      </w:r>
      <w:r w:rsidR="00DC007B" w:rsidRPr="000C4276">
        <w:rPr>
          <w:szCs w:val="24"/>
        </w:rPr>
        <w:t xml:space="preserve"> mandated th</w:t>
      </w:r>
      <w:r>
        <w:rPr>
          <w:szCs w:val="24"/>
        </w:rPr>
        <w:t>is</w:t>
      </w:r>
      <w:r w:rsidR="00DC007B" w:rsidRPr="000C4276">
        <w:rPr>
          <w:szCs w:val="24"/>
        </w:rPr>
        <w:t xml:space="preserve"> training. The introduction of this training enhanced the information </w:t>
      </w:r>
      <w:r>
        <w:rPr>
          <w:szCs w:val="24"/>
        </w:rPr>
        <w:t>given</w:t>
      </w:r>
      <w:r w:rsidR="00DC007B" w:rsidRPr="000C4276">
        <w:rPr>
          <w:szCs w:val="24"/>
        </w:rPr>
        <w:t xml:space="preserve"> to industry</w:t>
      </w:r>
      <w:r>
        <w:rPr>
          <w:szCs w:val="24"/>
        </w:rPr>
        <w:t>,</w:t>
      </w:r>
      <w:r w:rsidR="00DC007B" w:rsidRPr="000C4276">
        <w:rPr>
          <w:szCs w:val="24"/>
        </w:rPr>
        <w:t xml:space="preserve"> to directly assist compliance. The training received strong industry engagement and has been completed by over 6,000 industry participants.</w:t>
      </w:r>
    </w:p>
    <w:p w14:paraId="286D3064" w14:textId="77777777" w:rsidR="008C37FE" w:rsidRDefault="008C37FE" w:rsidP="00DC007B">
      <w:pPr>
        <w:pStyle w:val="BodyText"/>
        <w:rPr>
          <w:b/>
          <w:bCs/>
          <w:i/>
          <w:iCs/>
          <w:szCs w:val="24"/>
        </w:rPr>
      </w:pPr>
    </w:p>
    <w:p w14:paraId="7E90D89C" w14:textId="20D7737A" w:rsidR="00DC007B" w:rsidRDefault="00DC007B" w:rsidP="00413E56">
      <w:pPr>
        <w:pStyle w:val="BodyText"/>
        <w:jc w:val="both"/>
        <w:rPr>
          <w:b/>
          <w:bCs/>
          <w:i/>
          <w:iCs/>
          <w:szCs w:val="24"/>
        </w:rPr>
      </w:pPr>
      <w:r w:rsidRPr="00957BB4">
        <w:rPr>
          <w:b/>
          <w:bCs/>
          <w:i/>
          <w:iCs/>
          <w:szCs w:val="24"/>
        </w:rPr>
        <w:lastRenderedPageBreak/>
        <w:t xml:space="preserve">Road </w:t>
      </w:r>
      <w:r w:rsidR="0073294A">
        <w:rPr>
          <w:b/>
          <w:bCs/>
          <w:i/>
          <w:iCs/>
          <w:szCs w:val="24"/>
        </w:rPr>
        <w:t>s</w:t>
      </w:r>
      <w:r w:rsidRPr="00957BB4">
        <w:rPr>
          <w:b/>
          <w:bCs/>
          <w:i/>
          <w:iCs/>
          <w:szCs w:val="24"/>
        </w:rPr>
        <w:t xml:space="preserve">afety </w:t>
      </w:r>
      <w:r w:rsidR="0073294A">
        <w:rPr>
          <w:b/>
          <w:bCs/>
          <w:i/>
          <w:iCs/>
          <w:szCs w:val="24"/>
        </w:rPr>
        <w:t>ca</w:t>
      </w:r>
      <w:r w:rsidRPr="00957BB4">
        <w:rPr>
          <w:b/>
          <w:bCs/>
          <w:i/>
          <w:iCs/>
          <w:szCs w:val="24"/>
        </w:rPr>
        <w:t>mpaigns</w:t>
      </w:r>
    </w:p>
    <w:p w14:paraId="5450B8E5" w14:textId="77777777" w:rsidR="00413E56" w:rsidRPr="00413E56" w:rsidRDefault="00413E56" w:rsidP="00413E56">
      <w:pPr>
        <w:pStyle w:val="BodyText"/>
        <w:jc w:val="both"/>
        <w:rPr>
          <w:b/>
          <w:bCs/>
          <w:i/>
          <w:iCs/>
          <w:szCs w:val="24"/>
        </w:rPr>
      </w:pPr>
    </w:p>
    <w:p w14:paraId="2DF502DC" w14:textId="77777777" w:rsidR="00413E56" w:rsidRDefault="00DC007B" w:rsidP="00911CB2">
      <w:pPr>
        <w:pStyle w:val="BodyText"/>
        <w:jc w:val="both"/>
        <w:rPr>
          <w:szCs w:val="24"/>
        </w:rPr>
      </w:pPr>
      <w:r w:rsidRPr="00F420F9">
        <w:rPr>
          <w:szCs w:val="24"/>
        </w:rPr>
        <w:t xml:space="preserve">The StreetSmarts program, which includes advertising campaigns, sponsorships and engagement, uses an evidence-based approach to find ways to educate the community to make safer decisions on Queensland roads. </w:t>
      </w:r>
    </w:p>
    <w:p w14:paraId="3AD92A1A" w14:textId="77777777" w:rsidR="00413E56" w:rsidRDefault="00413E56" w:rsidP="00911CB2">
      <w:pPr>
        <w:pStyle w:val="BodyText"/>
        <w:jc w:val="both"/>
        <w:rPr>
          <w:szCs w:val="24"/>
        </w:rPr>
      </w:pPr>
    </w:p>
    <w:p w14:paraId="79E7E62D" w14:textId="2B7B78E1" w:rsidR="000C4276" w:rsidRDefault="00DC007B" w:rsidP="00911CB2">
      <w:pPr>
        <w:pStyle w:val="BodyText"/>
        <w:jc w:val="both"/>
        <w:rPr>
          <w:szCs w:val="24"/>
        </w:rPr>
      </w:pPr>
      <w:r w:rsidRPr="00F420F9">
        <w:rPr>
          <w:szCs w:val="24"/>
        </w:rPr>
        <w:t>Mass social marketing campaigns are designed to inform and educate all road users on important road safety issues, improve compliance, and ultimately reduce crashes and road trauma in Queensland.</w:t>
      </w:r>
    </w:p>
    <w:p w14:paraId="65B6EB24" w14:textId="77777777" w:rsidR="000C4276" w:rsidRDefault="000C4276" w:rsidP="00911CB2">
      <w:pPr>
        <w:pStyle w:val="BodyText"/>
        <w:jc w:val="both"/>
        <w:rPr>
          <w:szCs w:val="24"/>
        </w:rPr>
      </w:pPr>
    </w:p>
    <w:p w14:paraId="382DD67F" w14:textId="046C54A3" w:rsidR="000C4276" w:rsidRDefault="00DC007B" w:rsidP="00911CB2">
      <w:pPr>
        <w:pStyle w:val="BodyText"/>
        <w:jc w:val="both"/>
        <w:rPr>
          <w:szCs w:val="24"/>
        </w:rPr>
      </w:pPr>
      <w:r w:rsidRPr="00F420F9">
        <w:rPr>
          <w:szCs w:val="24"/>
        </w:rPr>
        <w:t xml:space="preserve">The ‘No excuse for speeding’ campaign was developed to tackle dangerous misconceptions and frivolous excuses for speeding by highlighting </w:t>
      </w:r>
      <w:r w:rsidR="00911CB2">
        <w:rPr>
          <w:szCs w:val="24"/>
        </w:rPr>
        <w:t>its</w:t>
      </w:r>
      <w:r w:rsidRPr="00F420F9">
        <w:rPr>
          <w:szCs w:val="24"/>
        </w:rPr>
        <w:t xml:space="preserve"> negative consequences</w:t>
      </w:r>
      <w:r w:rsidR="00911CB2">
        <w:rPr>
          <w:szCs w:val="24"/>
        </w:rPr>
        <w:t>,</w:t>
      </w:r>
      <w:r w:rsidRPr="00F420F9">
        <w:rPr>
          <w:szCs w:val="24"/>
        </w:rPr>
        <w:t xml:space="preserve"> and </w:t>
      </w:r>
      <w:r w:rsidR="00911CB2">
        <w:rPr>
          <w:szCs w:val="24"/>
        </w:rPr>
        <w:t xml:space="preserve">to </w:t>
      </w:r>
      <w:r w:rsidRPr="00F420F9">
        <w:rPr>
          <w:szCs w:val="24"/>
        </w:rPr>
        <w:t>discourag</w:t>
      </w:r>
      <w:r w:rsidR="00911CB2">
        <w:rPr>
          <w:szCs w:val="24"/>
        </w:rPr>
        <w:t>e</w:t>
      </w:r>
      <w:r w:rsidRPr="00F420F9">
        <w:rPr>
          <w:szCs w:val="24"/>
        </w:rPr>
        <w:t xml:space="preserve"> dangerous driving, particularly among risk-taking young male drivers in regional Queensland. </w:t>
      </w:r>
    </w:p>
    <w:p w14:paraId="4B92E93D" w14:textId="77777777" w:rsidR="000C4276" w:rsidRDefault="000C4276" w:rsidP="00911CB2">
      <w:pPr>
        <w:pStyle w:val="BodyText"/>
        <w:jc w:val="both"/>
        <w:rPr>
          <w:szCs w:val="24"/>
        </w:rPr>
      </w:pPr>
    </w:p>
    <w:p w14:paraId="5EA73EF6" w14:textId="77777777" w:rsidR="000C4276" w:rsidRDefault="00DC007B" w:rsidP="00911CB2">
      <w:pPr>
        <w:pStyle w:val="BodyText"/>
        <w:jc w:val="both"/>
        <w:rPr>
          <w:szCs w:val="24"/>
        </w:rPr>
      </w:pPr>
      <w:r w:rsidRPr="00F420F9">
        <w:rPr>
          <w:szCs w:val="24"/>
        </w:rPr>
        <w:t>The ‘In your hands’ drink-driving campaign was re-run to remind Queenslanders never to drive if they have been drinking.</w:t>
      </w:r>
    </w:p>
    <w:p w14:paraId="6C6EE8E0" w14:textId="77777777" w:rsidR="000C4276" w:rsidRDefault="000C4276" w:rsidP="00911CB2">
      <w:pPr>
        <w:pStyle w:val="BodyText"/>
        <w:jc w:val="both"/>
        <w:rPr>
          <w:szCs w:val="24"/>
        </w:rPr>
      </w:pPr>
    </w:p>
    <w:p w14:paraId="4CCBA747" w14:textId="51275183" w:rsidR="00DC007B" w:rsidRPr="00F420F9" w:rsidRDefault="00DC007B" w:rsidP="00911CB2">
      <w:pPr>
        <w:pStyle w:val="BodyText"/>
        <w:jc w:val="both"/>
        <w:rPr>
          <w:szCs w:val="24"/>
        </w:rPr>
      </w:pPr>
      <w:r w:rsidRPr="00F420F9">
        <w:rPr>
          <w:szCs w:val="24"/>
        </w:rPr>
        <w:t xml:space="preserve">To reach motorcyclists, StreetSmarts ran the </w:t>
      </w:r>
      <w:r w:rsidRPr="001116F8">
        <w:rPr>
          <w:szCs w:val="24"/>
        </w:rPr>
        <w:t>‘</w:t>
      </w:r>
      <w:r w:rsidRPr="00F420F9">
        <w:rPr>
          <w:szCs w:val="24"/>
        </w:rPr>
        <w:t>How’s your ride craft</w:t>
      </w:r>
      <w:r w:rsidRPr="001116F8">
        <w:rPr>
          <w:szCs w:val="24"/>
        </w:rPr>
        <w:t>?’</w:t>
      </w:r>
      <w:r w:rsidRPr="00F420F9">
        <w:rPr>
          <w:szCs w:val="24"/>
        </w:rPr>
        <w:t xml:space="preserve"> campaign, educating this vulnerable cohort to hone their motorcycle safety knowledge.</w:t>
      </w:r>
    </w:p>
    <w:p w14:paraId="0039572E" w14:textId="77777777" w:rsidR="00413E56" w:rsidRDefault="00413E56" w:rsidP="00911CB2">
      <w:pPr>
        <w:pStyle w:val="BodyText"/>
        <w:jc w:val="both"/>
        <w:rPr>
          <w:szCs w:val="24"/>
        </w:rPr>
      </w:pPr>
    </w:p>
    <w:p w14:paraId="3BDD25B6" w14:textId="3C5411BD" w:rsidR="00DC007B" w:rsidRDefault="00DC007B" w:rsidP="00911CB2">
      <w:pPr>
        <w:pStyle w:val="BodyText"/>
        <w:jc w:val="both"/>
        <w:rPr>
          <w:szCs w:val="24"/>
        </w:rPr>
      </w:pPr>
      <w:r w:rsidRPr="00F420F9">
        <w:rPr>
          <w:szCs w:val="24"/>
        </w:rPr>
        <w:t xml:space="preserve">StreetSmarts’ </w:t>
      </w:r>
      <w:r w:rsidRPr="001116F8">
        <w:rPr>
          <w:szCs w:val="24"/>
        </w:rPr>
        <w:t>‘</w:t>
      </w:r>
      <w:r w:rsidRPr="00F420F9">
        <w:rPr>
          <w:szCs w:val="24"/>
        </w:rPr>
        <w:t xml:space="preserve">Always On Social </w:t>
      </w:r>
      <w:r w:rsidRPr="001116F8">
        <w:rPr>
          <w:szCs w:val="24"/>
        </w:rPr>
        <w:t>Media’</w:t>
      </w:r>
      <w:r w:rsidRPr="00F420F9">
        <w:rPr>
          <w:szCs w:val="24"/>
        </w:rPr>
        <w:t xml:space="preserve"> campaign promoted road safety and compliance messaging to Queenslanders, particularly young people, throughout the year. </w:t>
      </w:r>
    </w:p>
    <w:p w14:paraId="45E87FC4" w14:textId="77777777" w:rsidR="00413E56" w:rsidRPr="00413E56" w:rsidRDefault="00413E56" w:rsidP="00911CB2">
      <w:pPr>
        <w:pStyle w:val="BodyText"/>
        <w:jc w:val="both"/>
        <w:rPr>
          <w:szCs w:val="24"/>
        </w:rPr>
      </w:pPr>
    </w:p>
    <w:p w14:paraId="2DFC8592" w14:textId="1C27CCF0" w:rsidR="00DC007B" w:rsidRPr="00F420F9" w:rsidRDefault="00DC007B" w:rsidP="00911CB2">
      <w:pPr>
        <w:pStyle w:val="BodyText"/>
        <w:jc w:val="both"/>
        <w:rPr>
          <w:szCs w:val="24"/>
        </w:rPr>
      </w:pPr>
      <w:r w:rsidRPr="00F420F9">
        <w:rPr>
          <w:szCs w:val="24"/>
        </w:rPr>
        <w:t>The ‘Always-on’ outdoor road safety campaign aimed to discourage dangerous driving behaviours by providing localised road safety reminders and solutions to Queensland road users while in their vehicle</w:t>
      </w:r>
      <w:r w:rsidR="00911CB2">
        <w:rPr>
          <w:szCs w:val="24"/>
        </w:rPr>
        <w:t>s</w:t>
      </w:r>
      <w:r w:rsidRPr="00F420F9">
        <w:rPr>
          <w:szCs w:val="24"/>
        </w:rPr>
        <w:t>, on the road.</w:t>
      </w:r>
    </w:p>
    <w:p w14:paraId="75FEB60E" w14:textId="77777777" w:rsidR="00F420F9" w:rsidRDefault="00DC007B" w:rsidP="00911CB2">
      <w:pPr>
        <w:pStyle w:val="Heading1"/>
        <w:jc w:val="both"/>
      </w:pPr>
      <w:r w:rsidRPr="00BD333A">
        <w:rPr>
          <w:sz w:val="24"/>
          <w:szCs w:val="24"/>
        </w:rPr>
        <w:br w:type="page"/>
      </w:r>
      <w:bookmarkStart w:id="13" w:name="_Toc217306340"/>
      <w:r w:rsidR="006560E9" w:rsidRPr="00C470A3">
        <w:lastRenderedPageBreak/>
        <w:t>Model Practice</w:t>
      </w:r>
      <w:r w:rsidR="006560E9">
        <w:t xml:space="preserve"> 4</w:t>
      </w:r>
      <w:bookmarkEnd w:id="13"/>
    </w:p>
    <w:p w14:paraId="2246D2A0" w14:textId="5C990918" w:rsidR="00C33E09" w:rsidRDefault="00C33E09" w:rsidP="008424DC">
      <w:pPr>
        <w:pStyle w:val="Heading2"/>
      </w:pPr>
      <w:bookmarkStart w:id="14" w:name="_Toc217306341"/>
      <w:r w:rsidRPr="002F072D">
        <w:t>Commit to continuous improvement</w:t>
      </w:r>
      <w:bookmarkEnd w:id="14"/>
    </w:p>
    <w:p w14:paraId="091C9142" w14:textId="0B8BC48F" w:rsidR="005A5B95" w:rsidRPr="001148DD" w:rsidRDefault="00F420F9" w:rsidP="001148DD">
      <w:pPr>
        <w:pStyle w:val="BodyText"/>
        <w:rPr>
          <w:b/>
          <w:bCs/>
          <w:i/>
          <w:iCs/>
          <w:szCs w:val="24"/>
        </w:rPr>
      </w:pPr>
      <w:r w:rsidRPr="00E95424">
        <w:rPr>
          <w:b/>
          <w:bCs/>
          <w:i/>
          <w:iCs/>
          <w:szCs w:val="24"/>
        </w:rPr>
        <w:t>Passenger Transport</w:t>
      </w:r>
      <w:r w:rsidR="00E95424">
        <w:rPr>
          <w:b/>
          <w:bCs/>
          <w:i/>
          <w:iCs/>
          <w:szCs w:val="24"/>
        </w:rPr>
        <w:t xml:space="preserve"> - </w:t>
      </w:r>
      <w:r w:rsidR="005A5B95" w:rsidRPr="001148DD">
        <w:rPr>
          <w:b/>
          <w:bCs/>
          <w:i/>
          <w:iCs/>
          <w:szCs w:val="24"/>
        </w:rPr>
        <w:t>Translink's public face – Customer Liaison Officers, Busway Safety Officers, and Senior Network Officers</w:t>
      </w:r>
    </w:p>
    <w:p w14:paraId="3000A084" w14:textId="77777777" w:rsidR="00900617" w:rsidRPr="00C56287" w:rsidRDefault="00900617" w:rsidP="00C56287">
      <w:pPr>
        <w:pStyle w:val="BodyText"/>
        <w:jc w:val="both"/>
        <w:rPr>
          <w:i/>
          <w:iCs/>
          <w:szCs w:val="24"/>
        </w:rPr>
      </w:pPr>
    </w:p>
    <w:p w14:paraId="27FD46C7" w14:textId="20C83C60" w:rsidR="005A5B95" w:rsidRPr="004868A8" w:rsidRDefault="005A5B95" w:rsidP="004868A8">
      <w:pPr>
        <w:suppressAutoHyphens w:val="0"/>
        <w:spacing w:before="0" w:after="160" w:line="259" w:lineRule="auto"/>
        <w:jc w:val="both"/>
        <w:rPr>
          <w:color w:val="auto"/>
        </w:rPr>
      </w:pPr>
      <w:r w:rsidRPr="004868A8">
        <w:rPr>
          <w:color w:val="auto"/>
        </w:rPr>
        <w:t>As part of staff induction processes</w:t>
      </w:r>
      <w:r w:rsidR="00BD333A" w:rsidRPr="004868A8">
        <w:rPr>
          <w:color w:val="auto"/>
        </w:rPr>
        <w:t>,</w:t>
      </w:r>
      <w:r w:rsidRPr="004868A8">
        <w:rPr>
          <w:color w:val="auto"/>
        </w:rPr>
        <w:t xml:space="preserve"> officers are trained in, and receive documentation </w:t>
      </w:r>
      <w:r w:rsidR="00BD333A" w:rsidRPr="004868A8">
        <w:rPr>
          <w:color w:val="auto"/>
        </w:rPr>
        <w:t>about</w:t>
      </w:r>
      <w:r w:rsidR="00625CE5" w:rsidRPr="004868A8">
        <w:rPr>
          <w:color w:val="auto"/>
        </w:rPr>
        <w:t>,</w:t>
      </w:r>
      <w:r w:rsidRPr="004868A8">
        <w:rPr>
          <w:color w:val="auto"/>
        </w:rPr>
        <w:t xml:space="preserve"> safe working practices and procedures including:</w:t>
      </w:r>
    </w:p>
    <w:p w14:paraId="3A9103CE" w14:textId="77777777" w:rsidR="005A5B95" w:rsidRDefault="005A5B95" w:rsidP="004868A8">
      <w:pPr>
        <w:pStyle w:val="ListParagraph"/>
        <w:numPr>
          <w:ilvl w:val="0"/>
          <w:numId w:val="47"/>
        </w:numPr>
        <w:suppressAutoHyphens w:val="0"/>
        <w:spacing w:before="0" w:after="160" w:line="259" w:lineRule="auto"/>
        <w:jc w:val="both"/>
      </w:pPr>
      <w:r w:rsidRPr="00B21382">
        <w:rPr>
          <w:color w:val="191919" w:themeColor="text1"/>
        </w:rPr>
        <w:t>standard operating procedures to provide detailed</w:t>
      </w:r>
      <w:r w:rsidRPr="00B21382">
        <w:rPr>
          <w:color w:val="191919" w:themeColor="text1"/>
          <w:spacing w:val="11"/>
        </w:rPr>
        <w:t xml:space="preserve"> </w:t>
      </w:r>
      <w:r w:rsidRPr="00B21382">
        <w:rPr>
          <w:color w:val="191919" w:themeColor="text1"/>
        </w:rPr>
        <w:t>information</w:t>
      </w:r>
      <w:r w:rsidRPr="00B21382">
        <w:rPr>
          <w:color w:val="191919" w:themeColor="text1"/>
          <w:spacing w:val="11"/>
        </w:rPr>
        <w:t xml:space="preserve"> </w:t>
      </w:r>
      <w:r w:rsidRPr="00B21382">
        <w:rPr>
          <w:color w:val="191919" w:themeColor="text1"/>
        </w:rPr>
        <w:t>to</w:t>
      </w:r>
      <w:r w:rsidRPr="00B21382">
        <w:rPr>
          <w:color w:val="191919" w:themeColor="text1"/>
          <w:spacing w:val="11"/>
        </w:rPr>
        <w:t xml:space="preserve"> </w:t>
      </w:r>
      <w:r w:rsidRPr="00B21382">
        <w:rPr>
          <w:color w:val="191919" w:themeColor="text1"/>
        </w:rPr>
        <w:t>assist</w:t>
      </w:r>
      <w:r w:rsidRPr="00B21382">
        <w:rPr>
          <w:color w:val="191919" w:themeColor="text1"/>
          <w:spacing w:val="10"/>
        </w:rPr>
        <w:t xml:space="preserve"> </w:t>
      </w:r>
      <w:r w:rsidRPr="00B21382">
        <w:rPr>
          <w:color w:val="191919" w:themeColor="text1"/>
        </w:rPr>
        <w:t>staff</w:t>
      </w:r>
      <w:r w:rsidRPr="00B21382">
        <w:rPr>
          <w:color w:val="191919" w:themeColor="text1"/>
          <w:spacing w:val="12"/>
        </w:rPr>
        <w:t xml:space="preserve"> </w:t>
      </w:r>
      <w:r w:rsidRPr="00B21382">
        <w:rPr>
          <w:color w:val="191919" w:themeColor="text1"/>
          <w:spacing w:val="-5"/>
        </w:rPr>
        <w:t xml:space="preserve">on </w:t>
      </w:r>
      <w:r w:rsidRPr="00B21382">
        <w:rPr>
          <w:color w:val="191919" w:themeColor="text1"/>
        </w:rPr>
        <w:t>their</w:t>
      </w:r>
      <w:r w:rsidRPr="00B21382">
        <w:rPr>
          <w:color w:val="191919" w:themeColor="text1"/>
          <w:spacing w:val="-6"/>
        </w:rPr>
        <w:t xml:space="preserve"> </w:t>
      </w:r>
      <w:r w:rsidRPr="00B21382">
        <w:rPr>
          <w:color w:val="191919" w:themeColor="text1"/>
        </w:rPr>
        <w:t>shift</w:t>
      </w:r>
      <w:r w:rsidRPr="00B21382">
        <w:rPr>
          <w:color w:val="191919" w:themeColor="text1"/>
          <w:spacing w:val="-2"/>
        </w:rPr>
        <w:t xml:space="preserve"> </w:t>
      </w:r>
      <w:r w:rsidRPr="00B21382">
        <w:rPr>
          <w:color w:val="191919" w:themeColor="text1"/>
        </w:rPr>
        <w:t>to</w:t>
      </w:r>
      <w:r w:rsidRPr="00B21382">
        <w:rPr>
          <w:color w:val="191919" w:themeColor="text1"/>
          <w:spacing w:val="-2"/>
        </w:rPr>
        <w:t xml:space="preserve"> </w:t>
      </w:r>
      <w:r w:rsidRPr="00B21382">
        <w:rPr>
          <w:color w:val="191919" w:themeColor="text1"/>
        </w:rPr>
        <w:t>ensure</w:t>
      </w:r>
      <w:r w:rsidRPr="00B21382">
        <w:rPr>
          <w:color w:val="191919" w:themeColor="text1"/>
          <w:spacing w:val="-2"/>
        </w:rPr>
        <w:t xml:space="preserve"> </w:t>
      </w:r>
      <w:r w:rsidRPr="00B21382">
        <w:rPr>
          <w:color w:val="191919" w:themeColor="text1"/>
        </w:rPr>
        <w:t>the</w:t>
      </w:r>
      <w:r w:rsidRPr="00B21382">
        <w:rPr>
          <w:color w:val="191919" w:themeColor="text1"/>
          <w:spacing w:val="-3"/>
        </w:rPr>
        <w:t xml:space="preserve"> </w:t>
      </w:r>
      <w:r w:rsidRPr="00B21382">
        <w:rPr>
          <w:color w:val="191919" w:themeColor="text1"/>
        </w:rPr>
        <w:t>safety</w:t>
      </w:r>
      <w:r w:rsidRPr="00B21382">
        <w:rPr>
          <w:color w:val="191919" w:themeColor="text1"/>
          <w:spacing w:val="-3"/>
        </w:rPr>
        <w:t xml:space="preserve"> </w:t>
      </w:r>
      <w:r w:rsidRPr="00B21382">
        <w:rPr>
          <w:color w:val="191919" w:themeColor="text1"/>
        </w:rPr>
        <w:t>of</w:t>
      </w:r>
      <w:r w:rsidRPr="00B21382">
        <w:rPr>
          <w:color w:val="191919" w:themeColor="text1"/>
          <w:spacing w:val="-4"/>
        </w:rPr>
        <w:t xml:space="preserve"> </w:t>
      </w:r>
      <w:r w:rsidRPr="00B21382">
        <w:rPr>
          <w:color w:val="191919" w:themeColor="text1"/>
        </w:rPr>
        <w:t>themselves</w:t>
      </w:r>
      <w:r w:rsidRPr="00B21382">
        <w:rPr>
          <w:color w:val="191919" w:themeColor="text1"/>
          <w:spacing w:val="-1"/>
        </w:rPr>
        <w:t xml:space="preserve"> </w:t>
      </w:r>
      <w:r w:rsidRPr="00B21382">
        <w:rPr>
          <w:color w:val="191919" w:themeColor="text1"/>
        </w:rPr>
        <w:t>and</w:t>
      </w:r>
      <w:r w:rsidRPr="00B21382">
        <w:rPr>
          <w:color w:val="191919" w:themeColor="text1"/>
          <w:spacing w:val="-1"/>
        </w:rPr>
        <w:t xml:space="preserve"> </w:t>
      </w:r>
      <w:r w:rsidRPr="00B21382">
        <w:rPr>
          <w:color w:val="191919" w:themeColor="text1"/>
        </w:rPr>
        <w:t>network</w:t>
      </w:r>
      <w:r w:rsidRPr="00B21382">
        <w:rPr>
          <w:color w:val="191919" w:themeColor="text1"/>
          <w:spacing w:val="-1"/>
        </w:rPr>
        <w:t xml:space="preserve"> </w:t>
      </w:r>
      <w:r w:rsidRPr="00B21382">
        <w:rPr>
          <w:color w:val="191919" w:themeColor="text1"/>
          <w:spacing w:val="-2"/>
        </w:rPr>
        <w:t>customers</w:t>
      </w:r>
    </w:p>
    <w:p w14:paraId="684BC28F" w14:textId="6BA11562" w:rsidR="005A5B95" w:rsidRPr="00B21382" w:rsidRDefault="005A5B95" w:rsidP="009C6E15">
      <w:pPr>
        <w:pStyle w:val="ListParagraph"/>
        <w:widowControl w:val="0"/>
        <w:numPr>
          <w:ilvl w:val="0"/>
          <w:numId w:val="47"/>
        </w:numPr>
        <w:tabs>
          <w:tab w:val="left" w:pos="744"/>
          <w:tab w:val="left" w:pos="746"/>
        </w:tabs>
        <w:suppressAutoHyphens w:val="0"/>
        <w:autoSpaceDE w:val="0"/>
        <w:autoSpaceDN w:val="0"/>
        <w:spacing w:before="29" w:after="0" w:line="276" w:lineRule="auto"/>
        <w:ind w:right="236"/>
        <w:contextualSpacing w:val="0"/>
        <w:jc w:val="both"/>
        <w:rPr>
          <w:color w:val="191919" w:themeColor="text1"/>
        </w:rPr>
      </w:pPr>
      <w:r w:rsidRPr="00B21382">
        <w:rPr>
          <w:color w:val="191919" w:themeColor="text1"/>
        </w:rPr>
        <w:t xml:space="preserve">shift instructions provided to staff, particularly for locations with service changes or for focus areas including </w:t>
      </w:r>
      <w:r w:rsidR="00BD333A" w:rsidRPr="00B21382">
        <w:rPr>
          <w:color w:val="191919" w:themeColor="text1"/>
        </w:rPr>
        <w:t xml:space="preserve">the </w:t>
      </w:r>
      <w:r w:rsidRPr="00B21382">
        <w:rPr>
          <w:color w:val="191919" w:themeColor="text1"/>
        </w:rPr>
        <w:t xml:space="preserve">Cultural Centre and Queen Street Busway stations </w:t>
      </w:r>
    </w:p>
    <w:p w14:paraId="3D73E827" w14:textId="46FC245D" w:rsidR="005A5B95" w:rsidRPr="00B21382" w:rsidRDefault="005A5B95" w:rsidP="009C6E15">
      <w:pPr>
        <w:pStyle w:val="ListParagraph"/>
        <w:widowControl w:val="0"/>
        <w:numPr>
          <w:ilvl w:val="0"/>
          <w:numId w:val="47"/>
        </w:numPr>
        <w:tabs>
          <w:tab w:val="left" w:pos="744"/>
          <w:tab w:val="left" w:pos="746"/>
        </w:tabs>
        <w:suppressAutoHyphens w:val="0"/>
        <w:autoSpaceDE w:val="0"/>
        <w:autoSpaceDN w:val="0"/>
        <w:spacing w:before="0" w:after="0" w:line="273" w:lineRule="auto"/>
        <w:ind w:right="238"/>
        <w:contextualSpacing w:val="0"/>
        <w:jc w:val="both"/>
        <w:rPr>
          <w:color w:val="191919" w:themeColor="text1"/>
        </w:rPr>
      </w:pPr>
      <w:r w:rsidRPr="00B21382">
        <w:rPr>
          <w:color w:val="191919" w:themeColor="text1"/>
        </w:rPr>
        <w:t xml:space="preserve">situational awareness training for the Busway team as part of ongoing personal safety training, reviewed and improved yearly </w:t>
      </w:r>
    </w:p>
    <w:p w14:paraId="229DF1D8" w14:textId="77777777" w:rsidR="005A5B95" w:rsidRPr="00B21382" w:rsidRDefault="005A5B95" w:rsidP="009C6E15">
      <w:pPr>
        <w:pStyle w:val="ListParagraph"/>
        <w:widowControl w:val="0"/>
        <w:numPr>
          <w:ilvl w:val="0"/>
          <w:numId w:val="47"/>
        </w:numPr>
        <w:tabs>
          <w:tab w:val="left" w:pos="744"/>
          <w:tab w:val="left" w:pos="746"/>
        </w:tabs>
        <w:suppressAutoHyphens w:val="0"/>
        <w:autoSpaceDE w:val="0"/>
        <w:autoSpaceDN w:val="0"/>
        <w:spacing w:before="0" w:after="0" w:line="276" w:lineRule="auto"/>
        <w:ind w:right="237"/>
        <w:contextualSpacing w:val="0"/>
        <w:jc w:val="both"/>
        <w:rPr>
          <w:color w:val="191919" w:themeColor="text1"/>
        </w:rPr>
      </w:pPr>
      <w:r w:rsidRPr="00B21382">
        <w:rPr>
          <w:color w:val="191919" w:themeColor="text1"/>
        </w:rPr>
        <w:t>reporting</w:t>
      </w:r>
      <w:r w:rsidRPr="00B21382">
        <w:rPr>
          <w:color w:val="191919" w:themeColor="text1"/>
          <w:spacing w:val="-5"/>
        </w:rPr>
        <w:t xml:space="preserve"> </w:t>
      </w:r>
      <w:r w:rsidRPr="00B21382">
        <w:rPr>
          <w:color w:val="191919" w:themeColor="text1"/>
        </w:rPr>
        <w:t>protocols</w:t>
      </w:r>
      <w:r w:rsidRPr="00B21382">
        <w:rPr>
          <w:color w:val="191919" w:themeColor="text1"/>
          <w:spacing w:val="-3"/>
        </w:rPr>
        <w:t xml:space="preserve"> </w:t>
      </w:r>
      <w:r w:rsidRPr="00B21382">
        <w:rPr>
          <w:color w:val="191919" w:themeColor="text1"/>
        </w:rPr>
        <w:t>for</w:t>
      </w:r>
      <w:r w:rsidRPr="00B21382">
        <w:rPr>
          <w:color w:val="191919" w:themeColor="text1"/>
          <w:spacing w:val="-3"/>
        </w:rPr>
        <w:t xml:space="preserve"> </w:t>
      </w:r>
      <w:r w:rsidRPr="00B21382">
        <w:rPr>
          <w:color w:val="191919" w:themeColor="text1"/>
        </w:rPr>
        <w:t>conflict</w:t>
      </w:r>
      <w:r w:rsidRPr="00B21382">
        <w:rPr>
          <w:color w:val="191919" w:themeColor="text1"/>
          <w:spacing w:val="-3"/>
        </w:rPr>
        <w:t xml:space="preserve"> </w:t>
      </w:r>
      <w:r w:rsidRPr="00B21382">
        <w:rPr>
          <w:color w:val="191919" w:themeColor="text1"/>
        </w:rPr>
        <w:t>escalation</w:t>
      </w:r>
      <w:r w:rsidRPr="00B21382">
        <w:rPr>
          <w:color w:val="191919" w:themeColor="text1"/>
          <w:spacing w:val="-5"/>
        </w:rPr>
        <w:t xml:space="preserve"> </w:t>
      </w:r>
      <w:r w:rsidRPr="00B21382">
        <w:rPr>
          <w:color w:val="191919" w:themeColor="text1"/>
        </w:rPr>
        <w:t>points</w:t>
      </w:r>
      <w:r w:rsidRPr="00B21382">
        <w:rPr>
          <w:color w:val="191919" w:themeColor="text1"/>
          <w:spacing w:val="-3"/>
        </w:rPr>
        <w:t xml:space="preserve"> </w:t>
      </w:r>
      <w:r w:rsidRPr="00B21382">
        <w:rPr>
          <w:color w:val="191919" w:themeColor="text1"/>
        </w:rPr>
        <w:t>with</w:t>
      </w:r>
      <w:r w:rsidRPr="00B21382">
        <w:rPr>
          <w:color w:val="191919" w:themeColor="text1"/>
          <w:spacing w:val="-2"/>
        </w:rPr>
        <w:t xml:space="preserve"> </w:t>
      </w:r>
      <w:r w:rsidRPr="00B21382">
        <w:rPr>
          <w:color w:val="191919" w:themeColor="text1"/>
        </w:rPr>
        <w:t>Busways</w:t>
      </w:r>
      <w:r w:rsidRPr="00B21382">
        <w:rPr>
          <w:color w:val="191919" w:themeColor="text1"/>
          <w:spacing w:val="-3"/>
        </w:rPr>
        <w:t xml:space="preserve"> </w:t>
      </w:r>
      <w:r w:rsidRPr="00B21382">
        <w:rPr>
          <w:color w:val="191919" w:themeColor="text1"/>
        </w:rPr>
        <w:t>Operation</w:t>
      </w:r>
      <w:r w:rsidRPr="00B21382">
        <w:rPr>
          <w:color w:val="191919" w:themeColor="text1"/>
          <w:spacing w:val="-3"/>
        </w:rPr>
        <w:t xml:space="preserve"> </w:t>
      </w:r>
      <w:r w:rsidRPr="00B21382">
        <w:rPr>
          <w:color w:val="191919" w:themeColor="text1"/>
        </w:rPr>
        <w:t>Centre, the QPS and duty managers</w:t>
      </w:r>
    </w:p>
    <w:p w14:paraId="20539E7F" w14:textId="320DC7D8" w:rsidR="005A5B95" w:rsidRPr="00B21382" w:rsidRDefault="005A5B95" w:rsidP="009C6E15">
      <w:pPr>
        <w:pStyle w:val="ListParagraph"/>
        <w:widowControl w:val="0"/>
        <w:numPr>
          <w:ilvl w:val="0"/>
          <w:numId w:val="47"/>
        </w:numPr>
        <w:tabs>
          <w:tab w:val="left" w:pos="745"/>
        </w:tabs>
        <w:suppressAutoHyphens w:val="0"/>
        <w:autoSpaceDE w:val="0"/>
        <w:autoSpaceDN w:val="0"/>
        <w:spacing w:before="0" w:after="0" w:line="279" w:lineRule="exact"/>
        <w:ind w:left="745" w:hanging="565"/>
        <w:contextualSpacing w:val="0"/>
        <w:jc w:val="both"/>
        <w:rPr>
          <w:color w:val="191919" w:themeColor="text1"/>
        </w:rPr>
      </w:pPr>
      <w:r w:rsidRPr="00B21382">
        <w:rPr>
          <w:color w:val="191919" w:themeColor="text1"/>
        </w:rPr>
        <w:t>information</w:t>
      </w:r>
      <w:r w:rsidRPr="00B21382">
        <w:rPr>
          <w:color w:val="191919" w:themeColor="text1"/>
          <w:spacing w:val="-5"/>
        </w:rPr>
        <w:t xml:space="preserve"> </w:t>
      </w:r>
      <w:r w:rsidR="00E763AB">
        <w:rPr>
          <w:color w:val="191919" w:themeColor="text1"/>
          <w:spacing w:val="-5"/>
        </w:rPr>
        <w:t>about</w:t>
      </w:r>
      <w:r w:rsidRPr="00B21382">
        <w:rPr>
          <w:color w:val="191919" w:themeColor="text1"/>
          <w:spacing w:val="-4"/>
        </w:rPr>
        <w:t xml:space="preserve"> </w:t>
      </w:r>
      <w:r w:rsidRPr="00B21382">
        <w:rPr>
          <w:color w:val="191919" w:themeColor="text1"/>
        </w:rPr>
        <w:t>Employee</w:t>
      </w:r>
      <w:r w:rsidRPr="00B21382">
        <w:rPr>
          <w:color w:val="191919" w:themeColor="text1"/>
          <w:spacing w:val="-6"/>
        </w:rPr>
        <w:t xml:space="preserve"> </w:t>
      </w:r>
      <w:r w:rsidRPr="00B21382">
        <w:rPr>
          <w:color w:val="191919" w:themeColor="text1"/>
        </w:rPr>
        <w:t>Assistance</w:t>
      </w:r>
      <w:r w:rsidRPr="00B21382">
        <w:rPr>
          <w:color w:val="191919" w:themeColor="text1"/>
          <w:spacing w:val="-5"/>
        </w:rPr>
        <w:t xml:space="preserve"> </w:t>
      </w:r>
      <w:r w:rsidRPr="00B21382">
        <w:rPr>
          <w:color w:val="191919" w:themeColor="text1"/>
        </w:rPr>
        <w:t>Services,</w:t>
      </w:r>
      <w:r w:rsidRPr="00B21382">
        <w:rPr>
          <w:color w:val="191919" w:themeColor="text1"/>
          <w:spacing w:val="-2"/>
        </w:rPr>
        <w:t xml:space="preserve"> </w:t>
      </w:r>
      <w:r w:rsidRPr="00B21382">
        <w:rPr>
          <w:color w:val="191919" w:themeColor="text1"/>
          <w:spacing w:val="-5"/>
        </w:rPr>
        <w:t xml:space="preserve">and </w:t>
      </w:r>
      <w:r w:rsidRPr="00B21382">
        <w:rPr>
          <w:color w:val="191919" w:themeColor="text1"/>
          <w:szCs w:val="24"/>
        </w:rPr>
        <w:t>the</w:t>
      </w:r>
      <w:r w:rsidRPr="00B21382">
        <w:rPr>
          <w:color w:val="191919" w:themeColor="text1"/>
          <w:spacing w:val="-3"/>
          <w:szCs w:val="24"/>
        </w:rPr>
        <w:t xml:space="preserve"> </w:t>
      </w:r>
      <w:r w:rsidRPr="00B21382">
        <w:rPr>
          <w:color w:val="191919" w:themeColor="text1"/>
          <w:szCs w:val="24"/>
        </w:rPr>
        <w:t>Code</w:t>
      </w:r>
      <w:r w:rsidRPr="00B21382">
        <w:rPr>
          <w:color w:val="191919" w:themeColor="text1"/>
          <w:spacing w:val="-4"/>
          <w:szCs w:val="24"/>
        </w:rPr>
        <w:t xml:space="preserve"> </w:t>
      </w:r>
      <w:r w:rsidRPr="00B21382">
        <w:rPr>
          <w:color w:val="191919" w:themeColor="text1"/>
          <w:szCs w:val="24"/>
        </w:rPr>
        <w:t>of</w:t>
      </w:r>
      <w:r w:rsidRPr="00B21382">
        <w:rPr>
          <w:color w:val="191919" w:themeColor="text1"/>
          <w:spacing w:val="-3"/>
          <w:szCs w:val="24"/>
        </w:rPr>
        <w:t xml:space="preserve"> </w:t>
      </w:r>
      <w:r w:rsidRPr="00B21382">
        <w:rPr>
          <w:color w:val="191919" w:themeColor="text1"/>
          <w:szCs w:val="24"/>
        </w:rPr>
        <w:t>Conduct</w:t>
      </w:r>
      <w:r w:rsidRPr="00B21382">
        <w:rPr>
          <w:color w:val="191919" w:themeColor="text1"/>
          <w:spacing w:val="-3"/>
          <w:szCs w:val="24"/>
        </w:rPr>
        <w:t xml:space="preserve"> </w:t>
      </w:r>
      <w:r w:rsidRPr="00B21382">
        <w:rPr>
          <w:color w:val="191919" w:themeColor="text1"/>
          <w:szCs w:val="24"/>
        </w:rPr>
        <w:t>and</w:t>
      </w:r>
      <w:r w:rsidRPr="00B21382">
        <w:rPr>
          <w:color w:val="191919" w:themeColor="text1"/>
          <w:spacing w:val="-2"/>
          <w:szCs w:val="24"/>
        </w:rPr>
        <w:t xml:space="preserve"> </w:t>
      </w:r>
      <w:r w:rsidRPr="00B21382">
        <w:rPr>
          <w:color w:val="191919" w:themeColor="text1"/>
          <w:szCs w:val="24"/>
        </w:rPr>
        <w:t>how</w:t>
      </w:r>
      <w:r w:rsidRPr="00B21382">
        <w:rPr>
          <w:color w:val="191919" w:themeColor="text1"/>
          <w:spacing w:val="-3"/>
          <w:szCs w:val="24"/>
        </w:rPr>
        <w:t xml:space="preserve"> </w:t>
      </w:r>
      <w:r w:rsidRPr="00B21382">
        <w:rPr>
          <w:color w:val="191919" w:themeColor="text1"/>
          <w:szCs w:val="24"/>
        </w:rPr>
        <w:t>it</w:t>
      </w:r>
      <w:r w:rsidRPr="00B21382">
        <w:rPr>
          <w:color w:val="191919" w:themeColor="text1"/>
          <w:spacing w:val="-2"/>
          <w:szCs w:val="24"/>
        </w:rPr>
        <w:t xml:space="preserve"> </w:t>
      </w:r>
      <w:r w:rsidRPr="00B21382">
        <w:rPr>
          <w:color w:val="191919" w:themeColor="text1"/>
          <w:szCs w:val="24"/>
        </w:rPr>
        <w:t>relates</w:t>
      </w:r>
      <w:r w:rsidRPr="00B21382">
        <w:rPr>
          <w:color w:val="191919" w:themeColor="text1"/>
          <w:spacing w:val="-3"/>
          <w:szCs w:val="24"/>
        </w:rPr>
        <w:t xml:space="preserve"> </w:t>
      </w:r>
      <w:r w:rsidRPr="00B21382">
        <w:rPr>
          <w:color w:val="191919" w:themeColor="text1"/>
          <w:szCs w:val="24"/>
        </w:rPr>
        <w:t>to</w:t>
      </w:r>
      <w:r w:rsidRPr="00B21382">
        <w:rPr>
          <w:color w:val="191919" w:themeColor="text1"/>
          <w:spacing w:val="-2"/>
          <w:szCs w:val="24"/>
        </w:rPr>
        <w:t xml:space="preserve"> </w:t>
      </w:r>
      <w:r w:rsidRPr="00B21382">
        <w:rPr>
          <w:color w:val="191919" w:themeColor="text1"/>
          <w:szCs w:val="24"/>
        </w:rPr>
        <w:t>staff</w:t>
      </w:r>
      <w:r w:rsidRPr="00B21382">
        <w:rPr>
          <w:color w:val="191919" w:themeColor="text1"/>
          <w:spacing w:val="-3"/>
          <w:szCs w:val="24"/>
        </w:rPr>
        <w:t xml:space="preserve"> </w:t>
      </w:r>
      <w:r w:rsidRPr="00B21382">
        <w:rPr>
          <w:color w:val="191919" w:themeColor="text1"/>
          <w:szCs w:val="24"/>
        </w:rPr>
        <w:t>and</w:t>
      </w:r>
      <w:r w:rsidRPr="00B21382">
        <w:rPr>
          <w:color w:val="191919" w:themeColor="text1"/>
          <w:spacing w:val="-2"/>
          <w:szCs w:val="24"/>
        </w:rPr>
        <w:t xml:space="preserve"> </w:t>
      </w:r>
      <w:r w:rsidRPr="00B21382">
        <w:rPr>
          <w:color w:val="191919" w:themeColor="text1"/>
          <w:szCs w:val="24"/>
        </w:rPr>
        <w:t>their</w:t>
      </w:r>
      <w:r w:rsidRPr="00B21382">
        <w:rPr>
          <w:color w:val="191919" w:themeColor="text1"/>
          <w:spacing w:val="-5"/>
          <w:szCs w:val="24"/>
        </w:rPr>
        <w:t xml:space="preserve"> </w:t>
      </w:r>
      <w:r w:rsidRPr="00B21382">
        <w:rPr>
          <w:color w:val="191919" w:themeColor="text1"/>
          <w:spacing w:val="-2"/>
          <w:szCs w:val="24"/>
        </w:rPr>
        <w:t>roles.</w:t>
      </w:r>
    </w:p>
    <w:p w14:paraId="42F43C5D" w14:textId="77777777" w:rsidR="005A5B95" w:rsidRPr="00B21382" w:rsidRDefault="005A5B95" w:rsidP="005A5B95">
      <w:pPr>
        <w:pStyle w:val="BodyText"/>
        <w:rPr>
          <w:b/>
          <w:bCs/>
          <w:i/>
          <w:iCs/>
          <w:color w:val="191919" w:themeColor="text1"/>
          <w:szCs w:val="24"/>
          <w:highlight w:val="cyan"/>
        </w:rPr>
      </w:pPr>
    </w:p>
    <w:p w14:paraId="2EBC878A" w14:textId="7D373BDF" w:rsidR="005A5B95" w:rsidRDefault="005A5B95" w:rsidP="00900617">
      <w:pPr>
        <w:pStyle w:val="BodyText"/>
        <w:jc w:val="both"/>
        <w:rPr>
          <w:b/>
          <w:bCs/>
          <w:i/>
          <w:iCs/>
          <w:szCs w:val="24"/>
        </w:rPr>
      </w:pPr>
      <w:r w:rsidRPr="00BF1B6B">
        <w:rPr>
          <w:b/>
          <w:bCs/>
          <w:i/>
          <w:iCs/>
          <w:szCs w:val="24"/>
        </w:rPr>
        <w:t xml:space="preserve">Transit Security, Safety </w:t>
      </w:r>
      <w:r w:rsidR="00B14D65">
        <w:rPr>
          <w:b/>
          <w:bCs/>
          <w:i/>
          <w:iCs/>
          <w:szCs w:val="24"/>
        </w:rPr>
        <w:t>and</w:t>
      </w:r>
      <w:r w:rsidRPr="00BF1B6B">
        <w:rPr>
          <w:b/>
          <w:bCs/>
          <w:i/>
          <w:iCs/>
          <w:szCs w:val="24"/>
        </w:rPr>
        <w:t xml:space="preserve"> Sustainability</w:t>
      </w:r>
      <w:r w:rsidRPr="00BF1B6B" w:rsidDel="00654DA6">
        <w:rPr>
          <w:b/>
          <w:bCs/>
          <w:i/>
          <w:iCs/>
          <w:szCs w:val="24"/>
        </w:rPr>
        <w:t xml:space="preserve"> </w:t>
      </w:r>
      <w:r w:rsidRPr="00BF1B6B">
        <w:rPr>
          <w:b/>
          <w:bCs/>
          <w:i/>
          <w:iCs/>
          <w:szCs w:val="24"/>
        </w:rPr>
        <w:t>(TSSS) Unit</w:t>
      </w:r>
    </w:p>
    <w:p w14:paraId="3A51733D" w14:textId="77777777" w:rsidR="00900617" w:rsidRPr="00900617" w:rsidRDefault="00900617" w:rsidP="00900617">
      <w:pPr>
        <w:pStyle w:val="BodyText"/>
        <w:jc w:val="both"/>
        <w:rPr>
          <w:b/>
          <w:bCs/>
          <w:i/>
          <w:iCs/>
          <w:szCs w:val="24"/>
        </w:rPr>
      </w:pPr>
    </w:p>
    <w:p w14:paraId="100952E8" w14:textId="7BC9A153" w:rsidR="00900617" w:rsidRDefault="001B6D9C" w:rsidP="002435C9">
      <w:pPr>
        <w:pStyle w:val="BodyText"/>
        <w:jc w:val="both"/>
      </w:pPr>
      <w:r>
        <w:rPr>
          <w:szCs w:val="24"/>
        </w:rPr>
        <w:t>TMR’s</w:t>
      </w:r>
      <w:r w:rsidR="005A5B95" w:rsidRPr="00900617">
        <w:rPr>
          <w:szCs w:val="24"/>
        </w:rPr>
        <w:t xml:space="preserve"> TSSS team regularly meets with other agencies including </w:t>
      </w:r>
      <w:r w:rsidR="00900617">
        <w:rPr>
          <w:szCs w:val="24"/>
        </w:rPr>
        <w:t xml:space="preserve">the </w:t>
      </w:r>
      <w:r w:rsidR="005A5B95" w:rsidRPr="00900617">
        <w:rPr>
          <w:szCs w:val="24"/>
        </w:rPr>
        <w:t>Queensland Police Service (QPS</w:t>
      </w:r>
      <w:r w:rsidR="005A5B95" w:rsidRPr="00900617">
        <w:t>), Queensland Rail enforcement, and interstate jurisdictions responsible for enforcement</w:t>
      </w:r>
      <w:r w:rsidR="005A5B95" w:rsidRPr="00FA1968">
        <w:t xml:space="preserve"> of passenger transport legislation.</w:t>
      </w:r>
    </w:p>
    <w:p w14:paraId="2D91854A" w14:textId="77777777" w:rsidR="00900617" w:rsidRDefault="00900617" w:rsidP="002435C9">
      <w:pPr>
        <w:pStyle w:val="BodyText"/>
        <w:jc w:val="both"/>
      </w:pPr>
    </w:p>
    <w:p w14:paraId="7B96419A" w14:textId="20FC3BE0" w:rsidR="005A5B95" w:rsidRPr="00900617" w:rsidRDefault="003108D6" w:rsidP="002435C9">
      <w:pPr>
        <w:pStyle w:val="BodyText"/>
        <w:jc w:val="both"/>
        <w:rPr>
          <w:b/>
          <w:bCs/>
          <w:i/>
          <w:iCs/>
          <w:szCs w:val="24"/>
        </w:rPr>
      </w:pPr>
      <w:r>
        <w:t>TMR</w:t>
      </w:r>
      <w:r w:rsidR="005A5B95" w:rsidRPr="00FA1968">
        <w:t xml:space="preserve"> has engaged in a joint training program with QPS to ensure that contemporary methodologies are utilised when conducting enforcement activities</w:t>
      </w:r>
      <w:r w:rsidR="005A5B95">
        <w:t>.</w:t>
      </w:r>
      <w:r w:rsidR="005A5B95" w:rsidRPr="00FA1968">
        <w:t xml:space="preserve">TSSS conducts multiple joint deployments and operations with all regulatory agencies </w:t>
      </w:r>
      <w:r w:rsidR="005A5B95" w:rsidRPr="00900617">
        <w:rPr>
          <w:szCs w:val="24"/>
        </w:rPr>
        <w:t>responsible for enforcement of passenger transport legislation</w:t>
      </w:r>
      <w:r w:rsidR="005A5B95" w:rsidRPr="00900617">
        <w:rPr>
          <w:b/>
          <w:bCs/>
          <w:i/>
          <w:iCs/>
          <w:szCs w:val="24"/>
        </w:rPr>
        <w:t>.</w:t>
      </w:r>
    </w:p>
    <w:p w14:paraId="5FE3AADE" w14:textId="77777777" w:rsidR="00900617" w:rsidRDefault="00900617" w:rsidP="00900617">
      <w:pPr>
        <w:pStyle w:val="BodyText"/>
        <w:jc w:val="both"/>
        <w:rPr>
          <w:b/>
          <w:bCs/>
          <w:i/>
          <w:iCs/>
          <w:szCs w:val="24"/>
        </w:rPr>
      </w:pPr>
    </w:p>
    <w:p w14:paraId="1435C99E" w14:textId="07906F0D" w:rsidR="00E35FC8" w:rsidRDefault="005A5B95" w:rsidP="002435C9">
      <w:pPr>
        <w:pStyle w:val="BodyText"/>
        <w:jc w:val="both"/>
        <w:rPr>
          <w:b/>
          <w:bCs/>
          <w:i/>
          <w:iCs/>
          <w:szCs w:val="24"/>
        </w:rPr>
      </w:pPr>
      <w:r w:rsidRPr="00BF1B6B">
        <w:rPr>
          <w:b/>
          <w:bCs/>
          <w:i/>
          <w:iCs/>
          <w:szCs w:val="24"/>
        </w:rPr>
        <w:t xml:space="preserve">Safety </w:t>
      </w:r>
      <w:r w:rsidR="00B14D65">
        <w:rPr>
          <w:b/>
          <w:bCs/>
          <w:i/>
          <w:iCs/>
          <w:szCs w:val="24"/>
        </w:rPr>
        <w:t>and</w:t>
      </w:r>
      <w:r w:rsidRPr="00BF1B6B">
        <w:rPr>
          <w:b/>
          <w:bCs/>
          <w:i/>
          <w:iCs/>
          <w:szCs w:val="24"/>
        </w:rPr>
        <w:t xml:space="preserve"> Compliance</w:t>
      </w:r>
    </w:p>
    <w:p w14:paraId="6B3ED1C6" w14:textId="77777777" w:rsidR="00E35FC8" w:rsidRDefault="00E35FC8" w:rsidP="002435C9">
      <w:pPr>
        <w:pStyle w:val="BodyText"/>
        <w:jc w:val="both"/>
        <w:rPr>
          <w:b/>
          <w:bCs/>
          <w:i/>
          <w:iCs/>
          <w:szCs w:val="24"/>
        </w:rPr>
      </w:pPr>
    </w:p>
    <w:p w14:paraId="673C968F" w14:textId="7BC6BB58" w:rsidR="00994B24" w:rsidRDefault="001B6D9C" w:rsidP="002435C9">
      <w:pPr>
        <w:pStyle w:val="BodyText"/>
        <w:jc w:val="both"/>
      </w:pPr>
      <w:r>
        <w:rPr>
          <w:szCs w:val="24"/>
        </w:rPr>
        <w:t>The</w:t>
      </w:r>
      <w:r w:rsidR="005A5B95" w:rsidRPr="00900617">
        <w:rPr>
          <w:szCs w:val="24"/>
        </w:rPr>
        <w:t xml:space="preserve"> Safety</w:t>
      </w:r>
      <w:r w:rsidR="005A5B95" w:rsidRPr="006B02E2">
        <w:t xml:space="preserve"> </w:t>
      </w:r>
      <w:r w:rsidR="00B14D65">
        <w:t>and</w:t>
      </w:r>
      <w:r w:rsidR="005A5B95" w:rsidRPr="006B02E2">
        <w:t xml:space="preserve"> Compliance </w:t>
      </w:r>
      <w:r w:rsidR="005A5B95">
        <w:t>s</w:t>
      </w:r>
      <w:r w:rsidR="005A5B95" w:rsidRPr="006B02E2">
        <w:t xml:space="preserve">ection is dedicated to ensuring Queensland’s transport network remains safe, fair, and efficient for all users. </w:t>
      </w:r>
      <w:r>
        <w:t>Its</w:t>
      </w:r>
      <w:r w:rsidR="005A5B95" w:rsidRPr="006B02E2">
        <w:t xml:space="preserve"> approach to compliance and enforcement in light vehicle and passenger transport is guided by the compliance </w:t>
      </w:r>
      <w:r w:rsidR="005A5B95">
        <w:t>and</w:t>
      </w:r>
      <w:r w:rsidR="005A5B95" w:rsidRPr="006B02E2">
        <w:t xml:space="preserve"> enforcement framework: Inform, Check, Help, Enforce. </w:t>
      </w:r>
    </w:p>
    <w:p w14:paraId="458BED99" w14:textId="77777777" w:rsidR="00994B24" w:rsidRDefault="00994B24" w:rsidP="002435C9">
      <w:pPr>
        <w:pStyle w:val="BodyText"/>
        <w:jc w:val="both"/>
      </w:pPr>
    </w:p>
    <w:p w14:paraId="477AD7CB" w14:textId="409770E5" w:rsidR="005A5B95" w:rsidRDefault="005A5B95" w:rsidP="002435C9">
      <w:pPr>
        <w:pStyle w:val="BodyText"/>
        <w:jc w:val="both"/>
      </w:pPr>
      <w:r w:rsidRPr="006B02E2">
        <w:t xml:space="preserve">Safety </w:t>
      </w:r>
      <w:r w:rsidR="00B14D65">
        <w:t>and</w:t>
      </w:r>
      <w:r w:rsidRPr="006B02E2">
        <w:t xml:space="preserve"> Compliance deliver statewide regulatory and operational compliance activities through a modern, risk-based framework that leverages data analysis, </w:t>
      </w:r>
      <w:r w:rsidRPr="006B02E2">
        <w:lastRenderedPageBreak/>
        <w:t xml:space="preserve">intelligence, investigations, and targeted on-road operations. </w:t>
      </w:r>
      <w:r w:rsidR="001B6D9C">
        <w:t>Its</w:t>
      </w:r>
      <w:r w:rsidRPr="006B02E2">
        <w:t xml:space="preserve"> core responsibilities include administering key TMR schemes and legislation through activities such as local and state-wide light and passenger transport vehicle operations, auditing accredited operators, investigating complaints and referred matters from stakeholders, and promoting education and engagement through industry events. This integrated focus ensures that scheme administration aligns with </w:t>
      </w:r>
      <w:r w:rsidR="003034B9">
        <w:t>TMR’s</w:t>
      </w:r>
      <w:r w:rsidRPr="006B02E2">
        <w:t xml:space="preserve"> commitment to safety and compliance across Queensland’s transport network.</w:t>
      </w:r>
    </w:p>
    <w:p w14:paraId="758F279B" w14:textId="1788AB97" w:rsidR="00E95424" w:rsidRPr="00E95424" w:rsidRDefault="00E95424" w:rsidP="00E95424">
      <w:pPr>
        <w:rPr>
          <w:b/>
          <w:bCs/>
          <w:i/>
          <w:iCs/>
        </w:rPr>
      </w:pPr>
      <w:r w:rsidRPr="00E95424">
        <w:rPr>
          <w:b/>
          <w:bCs/>
          <w:i/>
          <w:iCs/>
        </w:rPr>
        <w:t>Rail Division</w:t>
      </w:r>
    </w:p>
    <w:p w14:paraId="7E8FE8DE" w14:textId="12D5DBFC" w:rsidR="007B6854" w:rsidRPr="00B21382" w:rsidRDefault="007B6854" w:rsidP="007B6854">
      <w:pPr>
        <w:jc w:val="both"/>
        <w:rPr>
          <w:color w:val="191919" w:themeColor="text1"/>
        </w:rPr>
      </w:pPr>
      <w:r w:rsidRPr="00B21382">
        <w:rPr>
          <w:color w:val="191919" w:themeColor="text1"/>
        </w:rPr>
        <w:t>Rail Division was formally established during the 2024–25 financial year to strengthen governance and oversight of Queensland’s rail network. As a newly formed division, regulatory frameworks and operational processes are still under development. Rail Division is prioritising the development of systems and processes that align with best practice regulatory principles. Continuous improvement will be embedded as part of future operational planning.</w:t>
      </w:r>
    </w:p>
    <w:p w14:paraId="4037EAFA" w14:textId="42855F63" w:rsidR="00153620" w:rsidRDefault="00A64C65" w:rsidP="00A64C65">
      <w:pPr>
        <w:pStyle w:val="BodyText"/>
        <w:rPr>
          <w:b/>
          <w:bCs/>
          <w:i/>
          <w:iCs/>
          <w:szCs w:val="24"/>
        </w:rPr>
      </w:pPr>
      <w:r w:rsidRPr="00957BB4">
        <w:rPr>
          <w:b/>
          <w:bCs/>
          <w:i/>
          <w:iCs/>
          <w:szCs w:val="24"/>
        </w:rPr>
        <w:t xml:space="preserve">Disability </w:t>
      </w:r>
      <w:r>
        <w:rPr>
          <w:b/>
          <w:bCs/>
          <w:i/>
          <w:iCs/>
          <w:szCs w:val="24"/>
        </w:rPr>
        <w:t>p</w:t>
      </w:r>
      <w:r w:rsidRPr="00957BB4">
        <w:rPr>
          <w:b/>
          <w:bCs/>
          <w:i/>
          <w:iCs/>
          <w:szCs w:val="24"/>
        </w:rPr>
        <w:t xml:space="preserve">arking </w:t>
      </w:r>
      <w:r>
        <w:rPr>
          <w:b/>
          <w:bCs/>
          <w:i/>
          <w:iCs/>
          <w:szCs w:val="24"/>
        </w:rPr>
        <w:t>p</w:t>
      </w:r>
      <w:r w:rsidRPr="00957BB4">
        <w:rPr>
          <w:b/>
          <w:bCs/>
          <w:i/>
          <w:iCs/>
          <w:szCs w:val="24"/>
        </w:rPr>
        <w:t xml:space="preserve">ermit </w:t>
      </w:r>
      <w:r>
        <w:rPr>
          <w:b/>
          <w:bCs/>
          <w:i/>
          <w:iCs/>
          <w:szCs w:val="24"/>
        </w:rPr>
        <w:t>r</w:t>
      </w:r>
      <w:r w:rsidRPr="00957BB4">
        <w:rPr>
          <w:b/>
          <w:bCs/>
          <w:i/>
          <w:iCs/>
          <w:szCs w:val="24"/>
        </w:rPr>
        <w:t>eform</w:t>
      </w:r>
    </w:p>
    <w:p w14:paraId="1C141E80" w14:textId="77777777" w:rsidR="00C56287" w:rsidRDefault="00C56287" w:rsidP="00153620">
      <w:pPr>
        <w:pStyle w:val="BodyText"/>
        <w:jc w:val="both"/>
        <w:rPr>
          <w:szCs w:val="24"/>
        </w:rPr>
      </w:pPr>
    </w:p>
    <w:p w14:paraId="347D99D6" w14:textId="77777777" w:rsidR="007B6854" w:rsidRPr="00B21382" w:rsidRDefault="00A64C65" w:rsidP="00153620">
      <w:pPr>
        <w:pStyle w:val="BodyText"/>
        <w:jc w:val="both"/>
        <w:rPr>
          <w:color w:val="191919" w:themeColor="text1"/>
          <w:szCs w:val="24"/>
        </w:rPr>
      </w:pPr>
      <w:r w:rsidRPr="00B21382">
        <w:rPr>
          <w:color w:val="191919" w:themeColor="text1"/>
          <w:szCs w:val="24"/>
        </w:rPr>
        <w:t xml:space="preserve">TMR advanced a key accessibility policy by delivering on a 2024 election commitment to make disability parking permits free. This initiative was implemented through the </w:t>
      </w:r>
      <w:r w:rsidRPr="00B21382">
        <w:rPr>
          <w:i/>
          <w:iCs/>
          <w:color w:val="191919" w:themeColor="text1"/>
          <w:szCs w:val="24"/>
        </w:rPr>
        <w:t>Transport Legislation (Fees) Amendment Regulation 2025</w:t>
      </w:r>
      <w:r w:rsidRPr="00B21382">
        <w:rPr>
          <w:color w:val="191919" w:themeColor="text1"/>
          <w:szCs w:val="24"/>
        </w:rPr>
        <w:t>, made by Governor in Council in May 2025</w:t>
      </w:r>
      <w:r w:rsidR="003034B9" w:rsidRPr="00B21382">
        <w:rPr>
          <w:color w:val="191919" w:themeColor="text1"/>
          <w:szCs w:val="24"/>
        </w:rPr>
        <w:t>,</w:t>
      </w:r>
      <w:r w:rsidRPr="00B21382">
        <w:rPr>
          <w:color w:val="191919" w:themeColor="text1"/>
          <w:szCs w:val="24"/>
        </w:rPr>
        <w:t xml:space="preserve"> </w:t>
      </w:r>
      <w:r w:rsidR="003034B9" w:rsidRPr="00B21382">
        <w:rPr>
          <w:color w:val="191919" w:themeColor="text1"/>
          <w:szCs w:val="24"/>
        </w:rPr>
        <w:t xml:space="preserve">which </w:t>
      </w:r>
      <w:r w:rsidRPr="00B21382">
        <w:rPr>
          <w:color w:val="191919" w:themeColor="text1"/>
          <w:szCs w:val="24"/>
        </w:rPr>
        <w:t xml:space="preserve">removed the application fee </w:t>
      </w:r>
      <w:r w:rsidR="003034B9" w:rsidRPr="00B21382">
        <w:rPr>
          <w:color w:val="191919" w:themeColor="text1"/>
          <w:szCs w:val="24"/>
        </w:rPr>
        <w:t xml:space="preserve">for a disability parking permit </w:t>
      </w:r>
      <w:r w:rsidRPr="00B21382">
        <w:rPr>
          <w:color w:val="191919" w:themeColor="text1"/>
          <w:szCs w:val="24"/>
        </w:rPr>
        <w:t xml:space="preserve">under the </w:t>
      </w:r>
      <w:r w:rsidRPr="00B21382">
        <w:rPr>
          <w:i/>
          <w:color w:val="191919" w:themeColor="text1"/>
          <w:szCs w:val="24"/>
        </w:rPr>
        <w:t>Traffic Regulation 1962</w:t>
      </w:r>
      <w:r w:rsidRPr="00B21382">
        <w:rPr>
          <w:color w:val="191919" w:themeColor="text1"/>
          <w:szCs w:val="24"/>
        </w:rPr>
        <w:t xml:space="preserve"> from 1 July 2025. </w:t>
      </w:r>
    </w:p>
    <w:p w14:paraId="3DCE9B75" w14:textId="77777777" w:rsidR="007B6854" w:rsidRPr="00B21382" w:rsidRDefault="007B6854" w:rsidP="00153620">
      <w:pPr>
        <w:pStyle w:val="BodyText"/>
        <w:jc w:val="both"/>
        <w:rPr>
          <w:color w:val="191919" w:themeColor="text1"/>
          <w:szCs w:val="24"/>
        </w:rPr>
      </w:pPr>
    </w:p>
    <w:p w14:paraId="344E7046" w14:textId="51838693" w:rsidR="00A64C65" w:rsidRPr="00B21382" w:rsidRDefault="00A64C65" w:rsidP="00153620">
      <w:pPr>
        <w:pStyle w:val="BodyText"/>
        <w:jc w:val="both"/>
        <w:rPr>
          <w:color w:val="191919" w:themeColor="text1"/>
          <w:szCs w:val="24"/>
        </w:rPr>
      </w:pPr>
      <w:r w:rsidRPr="00B21382">
        <w:rPr>
          <w:color w:val="191919" w:themeColor="text1"/>
          <w:szCs w:val="24"/>
        </w:rPr>
        <w:t>The reform reflects TMR’s commitment to continuous improvement by reducing financial barriers and supporting equitable access to essential transport services for Queenslanders with disabilities. This reform saved Queenslanders over $250,000 in the first four months of operation.</w:t>
      </w:r>
    </w:p>
    <w:p w14:paraId="16D14BDB" w14:textId="77777777" w:rsidR="00153620" w:rsidRDefault="00153620" w:rsidP="00153620">
      <w:pPr>
        <w:pStyle w:val="BodyText"/>
        <w:jc w:val="both"/>
        <w:rPr>
          <w:b/>
          <w:bCs/>
          <w:i/>
          <w:iCs/>
          <w:szCs w:val="24"/>
        </w:rPr>
      </w:pPr>
    </w:p>
    <w:p w14:paraId="4035F2BD" w14:textId="5B66EE50" w:rsidR="00A64C65" w:rsidRDefault="00A64C65" w:rsidP="00153620">
      <w:pPr>
        <w:pStyle w:val="BodyText"/>
        <w:jc w:val="both"/>
        <w:rPr>
          <w:b/>
          <w:bCs/>
          <w:i/>
          <w:iCs/>
          <w:szCs w:val="24"/>
        </w:rPr>
      </w:pPr>
      <w:r w:rsidRPr="00957BB4">
        <w:rPr>
          <w:b/>
          <w:bCs/>
          <w:i/>
          <w:iCs/>
          <w:szCs w:val="24"/>
        </w:rPr>
        <w:t>Tow Truck Regulation 2024</w:t>
      </w:r>
    </w:p>
    <w:p w14:paraId="216FAEC7" w14:textId="77777777" w:rsidR="00153620" w:rsidRPr="00153620" w:rsidRDefault="00153620" w:rsidP="00153620">
      <w:pPr>
        <w:pStyle w:val="BodyText"/>
        <w:jc w:val="both"/>
        <w:rPr>
          <w:b/>
          <w:bCs/>
          <w:i/>
          <w:iCs/>
          <w:szCs w:val="24"/>
        </w:rPr>
      </w:pPr>
    </w:p>
    <w:p w14:paraId="0B9F261D" w14:textId="77777777" w:rsidR="007B6854" w:rsidRPr="00B21382" w:rsidRDefault="00A64C65" w:rsidP="00153620">
      <w:pPr>
        <w:pStyle w:val="BodyText"/>
        <w:jc w:val="both"/>
        <w:rPr>
          <w:color w:val="191919" w:themeColor="text1"/>
          <w:szCs w:val="24"/>
        </w:rPr>
      </w:pPr>
      <w:r w:rsidRPr="00B21382">
        <w:rPr>
          <w:color w:val="191919" w:themeColor="text1"/>
          <w:szCs w:val="24"/>
        </w:rPr>
        <w:t xml:space="preserve">To embed continuous improvement in regulatory practice, TMR used the statutory remake of the expiring </w:t>
      </w:r>
      <w:r w:rsidRPr="00B21382">
        <w:rPr>
          <w:i/>
          <w:color w:val="191919" w:themeColor="text1"/>
          <w:szCs w:val="24"/>
        </w:rPr>
        <w:t>Tow Truck Regulation 2009</w:t>
      </w:r>
      <w:r w:rsidRPr="00B21382">
        <w:rPr>
          <w:color w:val="191919" w:themeColor="text1"/>
          <w:szCs w:val="24"/>
        </w:rPr>
        <w:t xml:space="preserve"> as an opportunity to modernise requirements and reduce unnecessary complexity. </w:t>
      </w:r>
    </w:p>
    <w:p w14:paraId="7234694F" w14:textId="77777777" w:rsidR="007B6854" w:rsidRPr="00B21382" w:rsidRDefault="007B6854" w:rsidP="00153620">
      <w:pPr>
        <w:pStyle w:val="BodyText"/>
        <w:jc w:val="both"/>
        <w:rPr>
          <w:color w:val="191919" w:themeColor="text1"/>
          <w:szCs w:val="24"/>
        </w:rPr>
      </w:pPr>
    </w:p>
    <w:p w14:paraId="559C2A90" w14:textId="77777777" w:rsidR="007B6854" w:rsidRPr="00B21382" w:rsidRDefault="00A64C65" w:rsidP="00153620">
      <w:pPr>
        <w:pStyle w:val="BodyText"/>
        <w:jc w:val="both"/>
        <w:rPr>
          <w:color w:val="191919" w:themeColor="text1"/>
          <w:szCs w:val="24"/>
        </w:rPr>
      </w:pPr>
      <w:r w:rsidRPr="00B21382">
        <w:rPr>
          <w:color w:val="191919" w:themeColor="text1"/>
          <w:szCs w:val="24"/>
        </w:rPr>
        <w:t xml:space="preserve">The review process identified areas where rules could better reflect contemporary industry operations and address stakeholder feedback. As part of this improvement, the new </w:t>
      </w:r>
      <w:r w:rsidRPr="00B21382">
        <w:rPr>
          <w:i/>
          <w:color w:val="191919" w:themeColor="text1"/>
          <w:szCs w:val="24"/>
        </w:rPr>
        <w:t>Tow Truck Regulation 2024</w:t>
      </w:r>
      <w:r w:rsidRPr="00B21382">
        <w:rPr>
          <w:color w:val="191919" w:themeColor="text1"/>
          <w:szCs w:val="24"/>
        </w:rPr>
        <w:t xml:space="preserve"> introduced provisions for electronic record keeping and removed restrictive ownership requirements for holding yards</w:t>
      </w:r>
      <w:r w:rsidR="003034B9" w:rsidRPr="00B21382">
        <w:rPr>
          <w:color w:val="191919" w:themeColor="text1"/>
          <w:szCs w:val="24"/>
        </w:rPr>
        <w:t>,</w:t>
      </w:r>
      <w:r w:rsidRPr="00B21382">
        <w:rPr>
          <w:color w:val="191919" w:themeColor="text1"/>
          <w:szCs w:val="24"/>
        </w:rPr>
        <w:t xml:space="preserve"> enabling more flexible business arrangements. </w:t>
      </w:r>
    </w:p>
    <w:p w14:paraId="6BD53658" w14:textId="77777777" w:rsidR="007B6854" w:rsidRPr="00B21382" w:rsidRDefault="007B6854" w:rsidP="00153620">
      <w:pPr>
        <w:pStyle w:val="BodyText"/>
        <w:jc w:val="both"/>
        <w:rPr>
          <w:color w:val="191919" w:themeColor="text1"/>
          <w:szCs w:val="24"/>
        </w:rPr>
      </w:pPr>
    </w:p>
    <w:p w14:paraId="218A4C53" w14:textId="7CCF88DC" w:rsidR="005A5B95" w:rsidRPr="00B21382" w:rsidRDefault="00A64C65" w:rsidP="007B6854">
      <w:pPr>
        <w:pStyle w:val="BodyText"/>
        <w:jc w:val="both"/>
        <w:rPr>
          <w:color w:val="191919" w:themeColor="text1"/>
        </w:rPr>
      </w:pPr>
      <w:r w:rsidRPr="00B21382">
        <w:rPr>
          <w:color w:val="191919" w:themeColor="text1"/>
          <w:szCs w:val="24"/>
        </w:rPr>
        <w:t>These changes demonstrate TMR’s commitment to refining regulatory frameworks to remain efficient, proportionate to risk</w:t>
      </w:r>
      <w:r w:rsidR="00785188" w:rsidRPr="00B21382">
        <w:rPr>
          <w:color w:val="191919" w:themeColor="text1"/>
          <w:szCs w:val="24"/>
        </w:rPr>
        <w:t>,</w:t>
      </w:r>
      <w:r w:rsidRPr="00B21382">
        <w:rPr>
          <w:color w:val="191919" w:themeColor="text1"/>
          <w:szCs w:val="24"/>
        </w:rPr>
        <w:t xml:space="preserve"> and responsive to evolving industry needs.</w:t>
      </w:r>
    </w:p>
    <w:p w14:paraId="639CCCFB" w14:textId="79869C59" w:rsidR="00C33E09" w:rsidRDefault="00C33E09">
      <w:pPr>
        <w:suppressAutoHyphens w:val="0"/>
        <w:spacing w:before="0" w:after="160" w:line="259" w:lineRule="auto"/>
      </w:pPr>
      <w:r>
        <w:br w:type="page"/>
      </w:r>
    </w:p>
    <w:p w14:paraId="6FA1780C" w14:textId="7C5C7A56" w:rsidR="006560E9" w:rsidRPr="00C470A3" w:rsidRDefault="006560E9" w:rsidP="006560E9">
      <w:pPr>
        <w:pStyle w:val="Heading1"/>
      </w:pPr>
      <w:bookmarkStart w:id="15" w:name="_Toc217306342"/>
      <w:r w:rsidRPr="00C470A3">
        <w:lastRenderedPageBreak/>
        <w:t>Model Practice</w:t>
      </w:r>
      <w:r>
        <w:t xml:space="preserve"> 5</w:t>
      </w:r>
      <w:bookmarkEnd w:id="15"/>
    </w:p>
    <w:p w14:paraId="3BB2FE04" w14:textId="77777777" w:rsidR="00405FA0" w:rsidRDefault="00405FA0" w:rsidP="003034B9">
      <w:pPr>
        <w:pStyle w:val="Heading2"/>
        <w:jc w:val="both"/>
      </w:pPr>
      <w:bookmarkStart w:id="16" w:name="_Toc217306343"/>
      <w:r w:rsidRPr="00405FA0">
        <w:t>Be transparent and accountable in actions</w:t>
      </w:r>
      <w:bookmarkEnd w:id="16"/>
    </w:p>
    <w:p w14:paraId="1069D212" w14:textId="644E3752" w:rsidR="00614ADC" w:rsidRDefault="00614ADC" w:rsidP="00614ADC">
      <w:pPr>
        <w:pStyle w:val="BodyText"/>
        <w:rPr>
          <w:b/>
          <w:bCs/>
          <w:i/>
          <w:iCs/>
          <w:szCs w:val="24"/>
        </w:rPr>
      </w:pPr>
      <w:r w:rsidRPr="007B6854">
        <w:rPr>
          <w:b/>
          <w:bCs/>
          <w:i/>
          <w:iCs/>
          <w:szCs w:val="24"/>
        </w:rPr>
        <w:t>Passenger Transport</w:t>
      </w:r>
      <w:r w:rsidR="007B6854">
        <w:rPr>
          <w:b/>
          <w:bCs/>
          <w:i/>
          <w:iCs/>
          <w:szCs w:val="24"/>
        </w:rPr>
        <w:t xml:space="preserve"> - </w:t>
      </w:r>
      <w:r w:rsidRPr="00153620">
        <w:rPr>
          <w:b/>
          <w:bCs/>
          <w:i/>
          <w:iCs/>
          <w:szCs w:val="24"/>
        </w:rPr>
        <w:t>Personalised</w:t>
      </w:r>
      <w:r w:rsidRPr="007F69BA">
        <w:rPr>
          <w:b/>
          <w:bCs/>
          <w:i/>
          <w:iCs/>
          <w:szCs w:val="24"/>
        </w:rPr>
        <w:t xml:space="preserve"> transport services</w:t>
      </w:r>
    </w:p>
    <w:p w14:paraId="1B723D88" w14:textId="77777777" w:rsidR="00153620" w:rsidRPr="00153620" w:rsidRDefault="00153620" w:rsidP="00153620">
      <w:pPr>
        <w:pStyle w:val="BodyText"/>
        <w:rPr>
          <w:b/>
          <w:bCs/>
          <w:i/>
          <w:iCs/>
          <w:szCs w:val="24"/>
        </w:rPr>
      </w:pPr>
    </w:p>
    <w:p w14:paraId="46ACB316" w14:textId="5B24F943" w:rsidR="00614ADC" w:rsidRPr="00B21382" w:rsidRDefault="00614ADC" w:rsidP="00153620">
      <w:pPr>
        <w:pStyle w:val="BodyText"/>
        <w:jc w:val="both"/>
        <w:rPr>
          <w:color w:val="191919" w:themeColor="text1"/>
        </w:rPr>
      </w:pPr>
      <w:r w:rsidRPr="00B21382">
        <w:rPr>
          <w:color w:val="191919" w:themeColor="text1"/>
          <w:szCs w:val="24"/>
        </w:rPr>
        <w:t>Regulation notices</w:t>
      </w:r>
      <w:r w:rsidR="00725C8F" w:rsidRPr="00B21382">
        <w:rPr>
          <w:color w:val="191919" w:themeColor="text1"/>
        </w:rPr>
        <w:t>,</w:t>
      </w:r>
      <w:r w:rsidRPr="00B21382">
        <w:rPr>
          <w:color w:val="191919" w:themeColor="text1"/>
          <w:spacing w:val="-3"/>
        </w:rPr>
        <w:t xml:space="preserve"> </w:t>
      </w:r>
      <w:r w:rsidRPr="00B21382">
        <w:rPr>
          <w:color w:val="191919" w:themeColor="text1"/>
        </w:rPr>
        <w:t>issued</w:t>
      </w:r>
      <w:r w:rsidRPr="00B21382">
        <w:rPr>
          <w:color w:val="191919" w:themeColor="text1"/>
          <w:spacing w:val="-2"/>
        </w:rPr>
        <w:t xml:space="preserve"> </w:t>
      </w:r>
      <w:r w:rsidRPr="00B21382">
        <w:rPr>
          <w:color w:val="191919" w:themeColor="text1"/>
        </w:rPr>
        <w:t>by</w:t>
      </w:r>
      <w:r w:rsidRPr="00B21382">
        <w:rPr>
          <w:color w:val="191919" w:themeColor="text1"/>
          <w:spacing w:val="-1"/>
        </w:rPr>
        <w:t xml:space="preserve"> </w:t>
      </w:r>
      <w:r w:rsidRPr="00B21382">
        <w:rPr>
          <w:color w:val="191919" w:themeColor="text1"/>
        </w:rPr>
        <w:t>TMR’s</w:t>
      </w:r>
      <w:r w:rsidRPr="00B21382">
        <w:rPr>
          <w:color w:val="191919" w:themeColor="text1"/>
          <w:spacing w:val="-2"/>
        </w:rPr>
        <w:t xml:space="preserve"> </w:t>
      </w:r>
      <w:r w:rsidRPr="00B21382">
        <w:rPr>
          <w:color w:val="191919" w:themeColor="text1"/>
        </w:rPr>
        <w:t>Taxi</w:t>
      </w:r>
      <w:r w:rsidRPr="00B21382">
        <w:rPr>
          <w:color w:val="191919" w:themeColor="text1"/>
          <w:spacing w:val="-1"/>
        </w:rPr>
        <w:t xml:space="preserve"> </w:t>
      </w:r>
      <w:r w:rsidRPr="00B21382">
        <w:rPr>
          <w:color w:val="191919" w:themeColor="text1"/>
        </w:rPr>
        <w:t>Subsidy Scheme</w:t>
      </w:r>
      <w:r w:rsidRPr="00B21382">
        <w:rPr>
          <w:color w:val="191919" w:themeColor="text1"/>
          <w:spacing w:val="-4"/>
        </w:rPr>
        <w:t xml:space="preserve"> </w:t>
      </w:r>
      <w:r w:rsidRPr="00B21382">
        <w:rPr>
          <w:color w:val="191919" w:themeColor="text1"/>
        </w:rPr>
        <w:t>unit</w:t>
      </w:r>
      <w:r w:rsidRPr="00B21382">
        <w:rPr>
          <w:color w:val="191919" w:themeColor="text1"/>
          <w:spacing w:val="-2"/>
        </w:rPr>
        <w:t xml:space="preserve"> </w:t>
      </w:r>
      <w:r w:rsidRPr="00B21382">
        <w:rPr>
          <w:color w:val="191919" w:themeColor="text1"/>
        </w:rPr>
        <w:t>as</w:t>
      </w:r>
      <w:r w:rsidRPr="00B21382">
        <w:rPr>
          <w:color w:val="191919" w:themeColor="text1"/>
          <w:spacing w:val="-1"/>
        </w:rPr>
        <w:t xml:space="preserve"> </w:t>
      </w:r>
      <w:r w:rsidRPr="00B21382">
        <w:rPr>
          <w:color w:val="191919" w:themeColor="text1"/>
        </w:rPr>
        <w:t>part</w:t>
      </w:r>
      <w:r w:rsidRPr="00B21382">
        <w:rPr>
          <w:color w:val="191919" w:themeColor="text1"/>
          <w:spacing w:val="-1"/>
        </w:rPr>
        <w:t xml:space="preserve"> </w:t>
      </w:r>
      <w:r w:rsidRPr="00B21382">
        <w:rPr>
          <w:color w:val="191919" w:themeColor="text1"/>
        </w:rPr>
        <w:t>of the membership assessment process</w:t>
      </w:r>
      <w:r w:rsidR="00467A7F" w:rsidRPr="00B21382">
        <w:rPr>
          <w:color w:val="191919" w:themeColor="text1"/>
        </w:rPr>
        <w:t>,</w:t>
      </w:r>
      <w:r w:rsidRPr="00B21382">
        <w:rPr>
          <w:color w:val="191919" w:themeColor="text1"/>
        </w:rPr>
        <w:t xml:space="preserve"> were recently updated to make the content clear and concise</w:t>
      </w:r>
      <w:r w:rsidR="003034B9" w:rsidRPr="00B21382">
        <w:rPr>
          <w:color w:val="191919" w:themeColor="text1"/>
        </w:rPr>
        <w:t xml:space="preserve">, so as </w:t>
      </w:r>
      <w:r w:rsidRPr="00B21382">
        <w:rPr>
          <w:color w:val="191919" w:themeColor="text1"/>
        </w:rPr>
        <w:t>to improve comprehension by</w:t>
      </w:r>
      <w:r w:rsidRPr="00B21382">
        <w:rPr>
          <w:color w:val="191919" w:themeColor="text1"/>
          <w:spacing w:val="-1"/>
        </w:rPr>
        <w:t xml:space="preserve"> </w:t>
      </w:r>
      <w:r w:rsidRPr="00B21382">
        <w:rPr>
          <w:color w:val="191919" w:themeColor="text1"/>
        </w:rPr>
        <w:t>a wider</w:t>
      </w:r>
      <w:r w:rsidRPr="00B21382">
        <w:rPr>
          <w:color w:val="191919" w:themeColor="text1"/>
          <w:spacing w:val="-2"/>
        </w:rPr>
        <w:t xml:space="preserve"> </w:t>
      </w:r>
      <w:r w:rsidRPr="00B21382">
        <w:rPr>
          <w:color w:val="191919" w:themeColor="text1"/>
        </w:rPr>
        <w:t>audience</w:t>
      </w:r>
      <w:r w:rsidR="003034B9" w:rsidRPr="00B21382">
        <w:rPr>
          <w:color w:val="191919" w:themeColor="text1"/>
        </w:rPr>
        <w:t>, and,</w:t>
      </w:r>
      <w:r w:rsidRPr="00B21382">
        <w:rPr>
          <w:color w:val="191919" w:themeColor="text1"/>
        </w:rPr>
        <w:t xml:space="preserve"> when an applicant has been assessed as not meeting eligibility criteria for membership, to support</w:t>
      </w:r>
      <w:r w:rsidRPr="00B21382">
        <w:rPr>
          <w:color w:val="191919" w:themeColor="text1"/>
          <w:spacing w:val="-1"/>
        </w:rPr>
        <w:t xml:space="preserve"> </w:t>
      </w:r>
      <w:r w:rsidRPr="00B21382">
        <w:rPr>
          <w:color w:val="191919" w:themeColor="text1"/>
        </w:rPr>
        <w:t>the customer to</w:t>
      </w:r>
      <w:r w:rsidRPr="00B21382">
        <w:rPr>
          <w:color w:val="191919" w:themeColor="text1"/>
          <w:spacing w:val="-2"/>
        </w:rPr>
        <w:t xml:space="preserve"> </w:t>
      </w:r>
      <w:r w:rsidRPr="00B21382">
        <w:rPr>
          <w:color w:val="191919" w:themeColor="text1"/>
        </w:rPr>
        <w:t>take</w:t>
      </w:r>
      <w:r w:rsidRPr="00B21382">
        <w:rPr>
          <w:color w:val="191919" w:themeColor="text1"/>
          <w:spacing w:val="-2"/>
        </w:rPr>
        <w:t xml:space="preserve"> </w:t>
      </w:r>
      <w:r w:rsidRPr="00B21382">
        <w:rPr>
          <w:color w:val="191919" w:themeColor="text1"/>
        </w:rPr>
        <w:t>appropriate</w:t>
      </w:r>
      <w:r w:rsidRPr="00B21382">
        <w:rPr>
          <w:color w:val="191919" w:themeColor="text1"/>
          <w:spacing w:val="-2"/>
        </w:rPr>
        <w:t xml:space="preserve"> </w:t>
      </w:r>
      <w:r w:rsidRPr="00B21382">
        <w:rPr>
          <w:color w:val="191919" w:themeColor="text1"/>
        </w:rPr>
        <w:t>action</w:t>
      </w:r>
      <w:r w:rsidRPr="00B21382">
        <w:rPr>
          <w:color w:val="191919" w:themeColor="text1"/>
          <w:spacing w:val="-3"/>
        </w:rPr>
        <w:t xml:space="preserve"> </w:t>
      </w:r>
      <w:r w:rsidRPr="00B21382">
        <w:rPr>
          <w:color w:val="191919" w:themeColor="text1"/>
        </w:rPr>
        <w:t>to</w:t>
      </w:r>
      <w:r w:rsidRPr="00B21382">
        <w:rPr>
          <w:color w:val="191919" w:themeColor="text1"/>
          <w:spacing w:val="-2"/>
        </w:rPr>
        <w:t xml:space="preserve"> </w:t>
      </w:r>
      <w:r w:rsidRPr="00B21382">
        <w:rPr>
          <w:color w:val="191919" w:themeColor="text1"/>
        </w:rPr>
        <w:t>re-submit</w:t>
      </w:r>
      <w:r w:rsidRPr="00B21382">
        <w:rPr>
          <w:color w:val="191919" w:themeColor="text1"/>
          <w:spacing w:val="-3"/>
        </w:rPr>
        <w:t xml:space="preserve"> </w:t>
      </w:r>
      <w:r w:rsidRPr="00B21382">
        <w:rPr>
          <w:color w:val="191919" w:themeColor="text1"/>
        </w:rPr>
        <w:t>an</w:t>
      </w:r>
      <w:r w:rsidRPr="00B21382">
        <w:rPr>
          <w:color w:val="191919" w:themeColor="text1"/>
          <w:spacing w:val="-5"/>
        </w:rPr>
        <w:t xml:space="preserve"> </w:t>
      </w:r>
      <w:r w:rsidRPr="00B21382">
        <w:rPr>
          <w:color w:val="191919" w:themeColor="text1"/>
        </w:rPr>
        <w:t>application.</w:t>
      </w:r>
    </w:p>
    <w:p w14:paraId="6A5F35D2" w14:textId="77777777" w:rsidR="00614ADC" w:rsidRPr="00586507" w:rsidRDefault="00614ADC" w:rsidP="00614ADC">
      <w:pPr>
        <w:pStyle w:val="BodyText"/>
        <w:rPr>
          <w:b/>
          <w:bCs/>
          <w:i/>
          <w:iCs/>
          <w:szCs w:val="24"/>
          <w:highlight w:val="cyan"/>
        </w:rPr>
      </w:pPr>
    </w:p>
    <w:p w14:paraId="61A0A988" w14:textId="025C17CB" w:rsidR="00614ADC" w:rsidRDefault="00614ADC" w:rsidP="00614ADC">
      <w:pPr>
        <w:pStyle w:val="BodyText"/>
        <w:rPr>
          <w:b/>
          <w:bCs/>
          <w:i/>
          <w:iCs/>
          <w:szCs w:val="24"/>
        </w:rPr>
      </w:pPr>
      <w:r w:rsidRPr="007F69BA">
        <w:rPr>
          <w:b/>
          <w:bCs/>
          <w:i/>
          <w:iCs/>
          <w:szCs w:val="24"/>
        </w:rPr>
        <w:t xml:space="preserve">Transit Security, Safety </w:t>
      </w:r>
      <w:r w:rsidR="00B14D65">
        <w:rPr>
          <w:b/>
          <w:bCs/>
          <w:i/>
          <w:iCs/>
          <w:szCs w:val="24"/>
        </w:rPr>
        <w:t>and</w:t>
      </w:r>
      <w:r w:rsidRPr="007F69BA">
        <w:rPr>
          <w:b/>
          <w:bCs/>
          <w:i/>
          <w:iCs/>
          <w:szCs w:val="24"/>
        </w:rPr>
        <w:t xml:space="preserve"> Sustainability</w:t>
      </w:r>
      <w:r w:rsidRPr="007F69BA" w:rsidDel="00654DA6">
        <w:rPr>
          <w:b/>
          <w:bCs/>
          <w:i/>
          <w:iCs/>
          <w:szCs w:val="24"/>
        </w:rPr>
        <w:t xml:space="preserve"> </w:t>
      </w:r>
      <w:r w:rsidRPr="007F69BA">
        <w:rPr>
          <w:b/>
          <w:bCs/>
          <w:i/>
          <w:iCs/>
          <w:szCs w:val="24"/>
        </w:rPr>
        <w:t>(TSSS) Unit</w:t>
      </w:r>
    </w:p>
    <w:p w14:paraId="4191D19E" w14:textId="77777777" w:rsidR="00153620" w:rsidRPr="00153620" w:rsidRDefault="00153620" w:rsidP="00153620">
      <w:pPr>
        <w:pStyle w:val="BodyText"/>
        <w:rPr>
          <w:b/>
          <w:bCs/>
          <w:i/>
          <w:iCs/>
          <w:szCs w:val="24"/>
        </w:rPr>
      </w:pPr>
    </w:p>
    <w:p w14:paraId="5B968FDF" w14:textId="49213E96" w:rsidR="00614ADC" w:rsidRPr="00B21382" w:rsidRDefault="00614ADC" w:rsidP="00153620">
      <w:pPr>
        <w:pStyle w:val="BodyText"/>
        <w:jc w:val="both"/>
        <w:rPr>
          <w:color w:val="191919" w:themeColor="text1"/>
        </w:rPr>
      </w:pPr>
      <w:r w:rsidRPr="00B21382">
        <w:rPr>
          <w:color w:val="191919" w:themeColor="text1"/>
          <w:szCs w:val="24"/>
        </w:rPr>
        <w:t xml:space="preserve">The Transit Security, Safety </w:t>
      </w:r>
      <w:r w:rsidR="00B14D65">
        <w:rPr>
          <w:color w:val="191919" w:themeColor="text1"/>
          <w:szCs w:val="24"/>
        </w:rPr>
        <w:t>and</w:t>
      </w:r>
      <w:r w:rsidRPr="00B21382">
        <w:rPr>
          <w:color w:val="191919" w:themeColor="text1"/>
          <w:szCs w:val="24"/>
        </w:rPr>
        <w:t xml:space="preserve"> Sustainability (TSSS) team within TMR conducts incident</w:t>
      </w:r>
      <w:r w:rsidRPr="00B21382">
        <w:rPr>
          <w:color w:val="191919" w:themeColor="text1"/>
        </w:rPr>
        <w:t xml:space="preserve"> reviews to assess whether </w:t>
      </w:r>
      <w:r w:rsidR="00075CCB" w:rsidRPr="00B21382">
        <w:rPr>
          <w:color w:val="191919" w:themeColor="text1"/>
        </w:rPr>
        <w:t xml:space="preserve">the </w:t>
      </w:r>
      <w:r w:rsidRPr="00B21382">
        <w:rPr>
          <w:color w:val="191919" w:themeColor="text1"/>
        </w:rPr>
        <w:t>use of force aligns with appropriate legislative requirements.The TSSS team reviews a minimum of 5 per cent of body-worn camera footage to ensure adherence to relevant legislation, policies, and training standards.</w:t>
      </w:r>
      <w:r w:rsidR="00C61B48" w:rsidRPr="00B21382">
        <w:rPr>
          <w:color w:val="191919" w:themeColor="text1"/>
        </w:rPr>
        <w:t xml:space="preserve"> </w:t>
      </w:r>
      <w:r w:rsidRPr="00B21382">
        <w:rPr>
          <w:color w:val="191919" w:themeColor="text1"/>
        </w:rPr>
        <w:t>When necessary, the TSSS team engages Queensland Police use of force reviewers to provide independent assessment of regulatory staff actions.</w:t>
      </w:r>
    </w:p>
    <w:p w14:paraId="3A1A3EF8" w14:textId="77777777" w:rsidR="00614ADC" w:rsidRPr="00B21382" w:rsidRDefault="00614ADC" w:rsidP="002435C9">
      <w:pPr>
        <w:pStyle w:val="BodyText"/>
        <w:jc w:val="both"/>
        <w:rPr>
          <w:b/>
          <w:bCs/>
          <w:i/>
          <w:iCs/>
          <w:color w:val="191919" w:themeColor="text1"/>
          <w:szCs w:val="24"/>
          <w:highlight w:val="cyan"/>
        </w:rPr>
      </w:pPr>
    </w:p>
    <w:p w14:paraId="4D9F8BE6" w14:textId="2A02E053" w:rsidR="00F26718" w:rsidRDefault="00F26718" w:rsidP="00457334">
      <w:pPr>
        <w:pStyle w:val="BodyText"/>
        <w:rPr>
          <w:b/>
          <w:bCs/>
          <w:i/>
          <w:iCs/>
          <w:szCs w:val="24"/>
        </w:rPr>
      </w:pPr>
      <w:r>
        <w:rPr>
          <w:b/>
          <w:bCs/>
          <w:i/>
          <w:iCs/>
          <w:szCs w:val="24"/>
        </w:rPr>
        <w:t>Rail Division</w:t>
      </w:r>
    </w:p>
    <w:p w14:paraId="7ECE122E" w14:textId="18BB7801" w:rsidR="00F26718" w:rsidRPr="00B21382" w:rsidRDefault="00F26718" w:rsidP="00F26718">
      <w:pPr>
        <w:jc w:val="both"/>
        <w:rPr>
          <w:color w:val="191919" w:themeColor="text1"/>
        </w:rPr>
      </w:pPr>
      <w:r w:rsidRPr="00B21382">
        <w:rPr>
          <w:color w:val="191919" w:themeColor="text1"/>
        </w:rPr>
        <w:t>Rail Division was established during the 2024–25 financial year to strengthen governance and oversight of Queensland’s rail network, with regulatory frameworks and operational processes still under development. As part of its establishment phase, Rail Division is committed to transparency and accountability. Reporting mechanisms will be developed to ensure stakeholders have visibility of regulatory decisions and performance in subsequent years.</w:t>
      </w:r>
    </w:p>
    <w:p w14:paraId="49CA39D2" w14:textId="68D5AF62" w:rsidR="00457334" w:rsidRPr="00153620" w:rsidRDefault="00457334" w:rsidP="00457334">
      <w:pPr>
        <w:pStyle w:val="BodyText"/>
        <w:rPr>
          <w:b/>
          <w:bCs/>
          <w:i/>
          <w:iCs/>
          <w:szCs w:val="24"/>
        </w:rPr>
      </w:pPr>
      <w:r w:rsidRPr="00153620">
        <w:rPr>
          <w:b/>
          <w:bCs/>
          <w:i/>
          <w:iCs/>
          <w:szCs w:val="24"/>
        </w:rPr>
        <w:t>Review of the release of information for private car park enforcement</w:t>
      </w:r>
    </w:p>
    <w:p w14:paraId="3DCA869D" w14:textId="77777777" w:rsidR="00153620" w:rsidRPr="00153620" w:rsidRDefault="00153620" w:rsidP="00153620">
      <w:pPr>
        <w:pStyle w:val="BodyText"/>
        <w:rPr>
          <w:b/>
          <w:bCs/>
          <w:i/>
          <w:iCs/>
          <w:szCs w:val="24"/>
        </w:rPr>
      </w:pPr>
    </w:p>
    <w:p w14:paraId="14528153" w14:textId="77777777" w:rsidR="00153620" w:rsidRPr="00B21382" w:rsidRDefault="00457334" w:rsidP="00153620">
      <w:pPr>
        <w:pStyle w:val="BodyText"/>
        <w:jc w:val="both"/>
        <w:rPr>
          <w:color w:val="191919" w:themeColor="text1"/>
        </w:rPr>
      </w:pPr>
      <w:r w:rsidRPr="00B21382">
        <w:rPr>
          <w:color w:val="191919" w:themeColor="text1"/>
          <w:szCs w:val="24"/>
        </w:rPr>
        <w:t>TMR undertook</w:t>
      </w:r>
      <w:r w:rsidRPr="00B21382">
        <w:rPr>
          <w:color w:val="191919" w:themeColor="text1"/>
        </w:rPr>
        <w:t xml:space="preserve"> a review of the release of personal information for private car park enforcement in response to significant community concern about enforcement practices. To ensure accountability, an administrative pause on access was implemented while extensive consultation occurred. </w:t>
      </w:r>
    </w:p>
    <w:p w14:paraId="4AD91988" w14:textId="77777777" w:rsidR="00153620" w:rsidRPr="00B21382" w:rsidRDefault="00153620" w:rsidP="00153620">
      <w:pPr>
        <w:pStyle w:val="BodyText"/>
        <w:jc w:val="both"/>
        <w:rPr>
          <w:color w:val="191919" w:themeColor="text1"/>
        </w:rPr>
      </w:pPr>
    </w:p>
    <w:p w14:paraId="4F3C454B" w14:textId="3C37FC5C" w:rsidR="00457334" w:rsidRPr="00B21382" w:rsidRDefault="00457334" w:rsidP="00153620">
      <w:pPr>
        <w:pStyle w:val="BodyText"/>
        <w:jc w:val="both"/>
        <w:rPr>
          <w:color w:val="191919" w:themeColor="text1"/>
        </w:rPr>
      </w:pPr>
      <w:r w:rsidRPr="00B21382">
        <w:rPr>
          <w:color w:val="191919" w:themeColor="text1"/>
        </w:rPr>
        <w:t>TMR conducted transparent consultation through targeted engagement with industry stakeholders, two roundtables, and discussions with consumer, privacy, and local government representatives to inform reform options for private car park enforcement.</w:t>
      </w:r>
    </w:p>
    <w:p w14:paraId="3AF23054" w14:textId="77777777" w:rsidR="007B6854" w:rsidRDefault="007B6854" w:rsidP="00F55229">
      <w:pPr>
        <w:pStyle w:val="BodyText"/>
        <w:jc w:val="both"/>
      </w:pPr>
    </w:p>
    <w:p w14:paraId="1F001B33" w14:textId="77777777" w:rsidR="007B6854" w:rsidRDefault="00457334" w:rsidP="00F55229">
      <w:pPr>
        <w:pStyle w:val="BodyText"/>
        <w:jc w:val="both"/>
      </w:pPr>
      <w:r w:rsidRPr="00096410">
        <w:lastRenderedPageBreak/>
        <w:t>The option of removing access to personal information for private car park enforcement was strongly opposed by the car parking industry but was the preferred option by consumer and privacy advocates and aligned with community expectations. It was also</w:t>
      </w:r>
      <w:r>
        <w:t xml:space="preserve"> an approach</w:t>
      </w:r>
      <w:r w:rsidRPr="00096410">
        <w:t xml:space="preserve"> in line with similar jurisdictions, such as New South Wales and Victoria. </w:t>
      </w:r>
    </w:p>
    <w:p w14:paraId="08960B3E" w14:textId="77777777" w:rsidR="007B6854" w:rsidRDefault="007B6854" w:rsidP="00F55229">
      <w:pPr>
        <w:pStyle w:val="BodyText"/>
        <w:jc w:val="both"/>
      </w:pPr>
    </w:p>
    <w:p w14:paraId="3C28E922" w14:textId="622034CA" w:rsidR="00CF4D8B" w:rsidRDefault="00457334" w:rsidP="00F55229">
      <w:pPr>
        <w:pStyle w:val="BodyText"/>
        <w:jc w:val="both"/>
      </w:pPr>
      <w:r>
        <w:t>The administrative restriction on release of information for private car park enforcement has remained in place, ensuring TMR remains transparent and accountable in its handling of personal information.</w:t>
      </w:r>
      <w:r w:rsidR="00CF4D8B">
        <w:br w:type="page"/>
      </w:r>
    </w:p>
    <w:p w14:paraId="7B425025" w14:textId="404220D9" w:rsidR="00CF4D8B" w:rsidRPr="00CF4D8B" w:rsidRDefault="00CF4D8B" w:rsidP="002814C9">
      <w:pPr>
        <w:pStyle w:val="Heading1"/>
      </w:pPr>
      <w:bookmarkStart w:id="17" w:name="_Toc217306344"/>
      <w:r w:rsidRPr="00CF4D8B">
        <w:lastRenderedPageBreak/>
        <w:t>Appendix 1</w:t>
      </w:r>
      <w:r w:rsidR="00DD5B56">
        <w:t xml:space="preserve">- </w:t>
      </w:r>
      <w:r w:rsidRPr="00CF4D8B">
        <w:t>Portfolio Legislation</w:t>
      </w:r>
      <w:bookmarkEnd w:id="17"/>
      <w:r w:rsidRPr="00D874B6">
        <w:rPr>
          <w:sz w:val="52"/>
          <w:szCs w:val="52"/>
        </w:rPr>
        <w:t xml:space="preserve"> </w:t>
      </w:r>
    </w:p>
    <w:p w14:paraId="547DD8DC" w14:textId="77777777" w:rsidR="001D71B3" w:rsidRPr="0019074A" w:rsidRDefault="001D71B3" w:rsidP="00A7585A">
      <w:pPr>
        <w:spacing w:line="240" w:lineRule="auto"/>
        <w:rPr>
          <w:i/>
          <w:iCs/>
        </w:rPr>
      </w:pPr>
      <w:r w:rsidRPr="0019074A">
        <w:rPr>
          <w:i/>
          <w:iCs/>
        </w:rPr>
        <w:t xml:space="preserve">Air </w:t>
      </w:r>
      <w:r w:rsidR="00B4171D" w:rsidRPr="0019074A">
        <w:rPr>
          <w:i/>
          <w:iCs/>
        </w:rPr>
        <w:t>Navigation Act 1937</w:t>
      </w:r>
    </w:p>
    <w:p w14:paraId="7C9148E1" w14:textId="77777777" w:rsidR="001D71B3" w:rsidRDefault="00B4171D" w:rsidP="00A7585A">
      <w:pPr>
        <w:spacing w:line="240" w:lineRule="auto"/>
      </w:pPr>
      <w:r w:rsidRPr="0019074A">
        <w:rPr>
          <w:i/>
          <w:iCs/>
        </w:rPr>
        <w:t>Century Zinc Project Act 1997</w:t>
      </w:r>
      <w:r w:rsidRPr="00B4171D">
        <w:t xml:space="preserve"> </w:t>
      </w:r>
      <w:r w:rsidRPr="0019074A">
        <w:rPr>
          <w:sz w:val="20"/>
          <w:szCs w:val="20"/>
        </w:rPr>
        <w:t>(ss 5(2)-(7), 11, 12, 13)</w:t>
      </w:r>
      <w:r w:rsidRPr="00B4171D">
        <w:t xml:space="preserve"> </w:t>
      </w:r>
    </w:p>
    <w:p w14:paraId="2FD8318B" w14:textId="77777777" w:rsidR="001D71B3" w:rsidRPr="007A552D" w:rsidRDefault="00B4171D" w:rsidP="00A7585A">
      <w:pPr>
        <w:spacing w:line="240" w:lineRule="auto"/>
        <w:rPr>
          <w:i/>
          <w:iCs/>
        </w:rPr>
      </w:pPr>
      <w:r w:rsidRPr="007A552D">
        <w:rPr>
          <w:i/>
          <w:iCs/>
        </w:rPr>
        <w:t xml:space="preserve">Civil Aviation (Carriers’ Liability) Act 1964 </w:t>
      </w:r>
    </w:p>
    <w:p w14:paraId="2DBA1618" w14:textId="77777777" w:rsidR="001D71B3" w:rsidRPr="007A552D" w:rsidRDefault="00B4171D" w:rsidP="00A7585A">
      <w:pPr>
        <w:spacing w:line="240" w:lineRule="auto"/>
        <w:rPr>
          <w:i/>
          <w:iCs/>
        </w:rPr>
      </w:pPr>
      <w:r w:rsidRPr="007A552D">
        <w:rPr>
          <w:i/>
          <w:iCs/>
        </w:rPr>
        <w:t xml:space="preserve">Cross River Rail Delivery Authority Act 2016 </w:t>
      </w:r>
    </w:p>
    <w:p w14:paraId="1278459C" w14:textId="77777777" w:rsidR="001D71B3" w:rsidRPr="007A552D" w:rsidRDefault="00B4171D" w:rsidP="00A7585A">
      <w:pPr>
        <w:spacing w:line="240" w:lineRule="auto"/>
        <w:rPr>
          <w:i/>
          <w:iCs/>
        </w:rPr>
      </w:pPr>
      <w:r w:rsidRPr="007A552D">
        <w:rPr>
          <w:i/>
          <w:iCs/>
        </w:rPr>
        <w:t xml:space="preserve">Gold Coast Waterways Authority Act 2012 </w:t>
      </w:r>
    </w:p>
    <w:p w14:paraId="256A1708" w14:textId="77777777" w:rsidR="001D625B" w:rsidRPr="007A552D" w:rsidRDefault="00B4171D" w:rsidP="00A7585A">
      <w:pPr>
        <w:spacing w:line="240" w:lineRule="auto"/>
        <w:rPr>
          <w:i/>
          <w:iCs/>
        </w:rPr>
      </w:pPr>
      <w:r w:rsidRPr="007A552D">
        <w:rPr>
          <w:i/>
          <w:iCs/>
        </w:rPr>
        <w:t xml:space="preserve">Heavy Vehicle National Law Act 2012 </w:t>
      </w:r>
    </w:p>
    <w:p w14:paraId="5D144CF1" w14:textId="77777777" w:rsidR="001D625B" w:rsidRPr="007A552D" w:rsidRDefault="00B4171D" w:rsidP="00A7585A">
      <w:pPr>
        <w:spacing w:line="240" w:lineRule="auto"/>
        <w:rPr>
          <w:i/>
          <w:iCs/>
        </w:rPr>
      </w:pPr>
      <w:r w:rsidRPr="007A552D">
        <w:rPr>
          <w:i/>
          <w:iCs/>
        </w:rPr>
        <w:t xml:space="preserve">Maritime Safety Queensland Act 2002 </w:t>
      </w:r>
    </w:p>
    <w:p w14:paraId="09050DB0" w14:textId="77777777" w:rsidR="001D625B" w:rsidRPr="007A552D" w:rsidRDefault="00B4171D" w:rsidP="00A7585A">
      <w:pPr>
        <w:spacing w:line="240" w:lineRule="auto"/>
        <w:rPr>
          <w:i/>
          <w:iCs/>
        </w:rPr>
      </w:pPr>
      <w:r w:rsidRPr="007A552D">
        <w:rPr>
          <w:i/>
          <w:iCs/>
        </w:rPr>
        <w:t xml:space="preserve">Photo Identification Card Act 2008 </w:t>
      </w:r>
    </w:p>
    <w:p w14:paraId="499F39EF" w14:textId="77777777" w:rsidR="001D625B" w:rsidRPr="007A552D" w:rsidRDefault="00B4171D" w:rsidP="00A7585A">
      <w:pPr>
        <w:spacing w:line="240" w:lineRule="auto"/>
        <w:rPr>
          <w:i/>
          <w:iCs/>
        </w:rPr>
      </w:pPr>
      <w:r w:rsidRPr="007A552D">
        <w:rPr>
          <w:i/>
          <w:iCs/>
        </w:rPr>
        <w:t xml:space="preserve">Queensland Rail Transit Authority Act 2013 </w:t>
      </w:r>
    </w:p>
    <w:p w14:paraId="1A19EC8D" w14:textId="77777777" w:rsidR="001D625B" w:rsidRPr="007A552D" w:rsidRDefault="00B4171D" w:rsidP="00A7585A">
      <w:pPr>
        <w:spacing w:line="240" w:lineRule="auto"/>
        <w:rPr>
          <w:i/>
          <w:iCs/>
        </w:rPr>
      </w:pPr>
      <w:r w:rsidRPr="007A552D">
        <w:rPr>
          <w:i/>
          <w:iCs/>
        </w:rPr>
        <w:t xml:space="preserve">Rail Safety National Law (Queensland) Act 2017 </w:t>
      </w:r>
    </w:p>
    <w:p w14:paraId="3099FF0C" w14:textId="77777777" w:rsidR="001D625B" w:rsidRPr="007A552D" w:rsidRDefault="00B4171D" w:rsidP="00A7585A">
      <w:pPr>
        <w:spacing w:line="240" w:lineRule="auto"/>
        <w:rPr>
          <w:i/>
          <w:iCs/>
        </w:rPr>
      </w:pPr>
      <w:r w:rsidRPr="007A552D">
        <w:rPr>
          <w:i/>
          <w:iCs/>
        </w:rPr>
        <w:t xml:space="preserve">State Transport Act 1938 </w:t>
      </w:r>
    </w:p>
    <w:p w14:paraId="34D5969E" w14:textId="77777777" w:rsidR="001D625B" w:rsidRPr="007A552D" w:rsidRDefault="00B4171D" w:rsidP="00A7585A">
      <w:pPr>
        <w:spacing w:line="240" w:lineRule="auto"/>
        <w:rPr>
          <w:i/>
          <w:iCs/>
        </w:rPr>
      </w:pPr>
      <w:r w:rsidRPr="007A552D">
        <w:rPr>
          <w:i/>
          <w:iCs/>
        </w:rPr>
        <w:t xml:space="preserve">State Transport (People Movers) Act 1989 </w:t>
      </w:r>
    </w:p>
    <w:p w14:paraId="7777169B" w14:textId="77777777" w:rsidR="001D625B" w:rsidRPr="007A552D" w:rsidRDefault="00B4171D" w:rsidP="00A7585A">
      <w:pPr>
        <w:spacing w:line="240" w:lineRule="auto"/>
        <w:rPr>
          <w:i/>
          <w:iCs/>
        </w:rPr>
      </w:pPr>
      <w:r w:rsidRPr="007A552D">
        <w:rPr>
          <w:i/>
          <w:iCs/>
        </w:rPr>
        <w:t xml:space="preserve">Sustainable Ports Development Act 2015 </w:t>
      </w:r>
    </w:p>
    <w:p w14:paraId="7A2DD0AA" w14:textId="77777777" w:rsidR="001D625B" w:rsidRPr="007A552D" w:rsidRDefault="00B4171D" w:rsidP="00A7585A">
      <w:pPr>
        <w:spacing w:line="240" w:lineRule="auto"/>
        <w:jc w:val="both"/>
        <w:rPr>
          <w:sz w:val="18"/>
          <w:szCs w:val="18"/>
        </w:rPr>
      </w:pPr>
      <w:r w:rsidRPr="007A552D">
        <w:rPr>
          <w:i/>
          <w:iCs/>
        </w:rPr>
        <w:t>Thiess Peabody Mitsui Coal Pty. Ltd. Agreements Act 1965</w:t>
      </w:r>
      <w:r w:rsidRPr="00B4171D">
        <w:t xml:space="preserve"> </w:t>
      </w:r>
      <w:r w:rsidRPr="00DD5B56">
        <w:rPr>
          <w:sz w:val="16"/>
          <w:szCs w:val="16"/>
        </w:rPr>
        <w:t>(except to the extent administered by the Treasurer, Minister for Energy and Minister for Home Ownership; and the Minister for Natural Resources and Mines, Minister for Manufacturing and Minister for Regional and Rural Development)</w:t>
      </w:r>
      <w:r w:rsidRPr="007A552D">
        <w:rPr>
          <w:sz w:val="18"/>
          <w:szCs w:val="18"/>
        </w:rPr>
        <w:t xml:space="preserve"> </w:t>
      </w:r>
    </w:p>
    <w:p w14:paraId="7D4EE7D9" w14:textId="77777777" w:rsidR="007A7716" w:rsidRPr="007A552D" w:rsidRDefault="00B4171D" w:rsidP="00A7585A">
      <w:pPr>
        <w:spacing w:line="240" w:lineRule="auto"/>
        <w:rPr>
          <w:i/>
          <w:iCs/>
        </w:rPr>
      </w:pPr>
      <w:r w:rsidRPr="007A552D">
        <w:rPr>
          <w:i/>
          <w:iCs/>
        </w:rPr>
        <w:t xml:space="preserve">Tow Truck Act 2023 </w:t>
      </w:r>
    </w:p>
    <w:p w14:paraId="38E7FA30" w14:textId="77777777" w:rsidR="007A7716" w:rsidRPr="007A552D" w:rsidRDefault="00B4171D" w:rsidP="00A7585A">
      <w:pPr>
        <w:spacing w:line="240" w:lineRule="auto"/>
        <w:rPr>
          <w:i/>
          <w:iCs/>
        </w:rPr>
      </w:pPr>
      <w:r w:rsidRPr="007A552D">
        <w:rPr>
          <w:i/>
          <w:iCs/>
        </w:rPr>
        <w:t xml:space="preserve">Transport Infrastructure Act 1994 </w:t>
      </w:r>
    </w:p>
    <w:p w14:paraId="606978FA" w14:textId="77777777" w:rsidR="007A7716" w:rsidRPr="007A552D" w:rsidRDefault="00B4171D" w:rsidP="00A7585A">
      <w:pPr>
        <w:spacing w:line="240" w:lineRule="auto"/>
        <w:rPr>
          <w:i/>
          <w:iCs/>
        </w:rPr>
      </w:pPr>
      <w:r w:rsidRPr="007A552D">
        <w:rPr>
          <w:i/>
          <w:iCs/>
        </w:rPr>
        <w:t xml:space="preserve">Transport Operations (Marine Pollution) Act 1995 </w:t>
      </w:r>
    </w:p>
    <w:p w14:paraId="0CC2CC6C" w14:textId="77777777" w:rsidR="007A7716" w:rsidRPr="007A552D" w:rsidRDefault="00B4171D" w:rsidP="00A7585A">
      <w:pPr>
        <w:spacing w:line="240" w:lineRule="auto"/>
        <w:rPr>
          <w:i/>
          <w:iCs/>
        </w:rPr>
      </w:pPr>
      <w:r w:rsidRPr="007A552D">
        <w:rPr>
          <w:i/>
          <w:iCs/>
        </w:rPr>
        <w:t xml:space="preserve">Transport Operations (Marine Safety) Act 1994 </w:t>
      </w:r>
    </w:p>
    <w:p w14:paraId="7B7AB98D" w14:textId="77777777" w:rsidR="0019074A" w:rsidRPr="007A552D" w:rsidRDefault="00B4171D" w:rsidP="00A7585A">
      <w:pPr>
        <w:spacing w:line="240" w:lineRule="auto"/>
        <w:rPr>
          <w:i/>
          <w:iCs/>
        </w:rPr>
      </w:pPr>
      <w:r w:rsidRPr="007A552D">
        <w:rPr>
          <w:i/>
          <w:iCs/>
        </w:rPr>
        <w:t xml:space="preserve">Transport Operations (Marine Safety–Domestic Commercial Vessel National Law Application) Act 2016 </w:t>
      </w:r>
    </w:p>
    <w:p w14:paraId="1D5939C3" w14:textId="77777777" w:rsidR="0019074A" w:rsidRPr="007A552D" w:rsidRDefault="00B4171D" w:rsidP="00A7585A">
      <w:pPr>
        <w:spacing w:line="240" w:lineRule="auto"/>
        <w:rPr>
          <w:i/>
          <w:iCs/>
        </w:rPr>
      </w:pPr>
      <w:r w:rsidRPr="007A552D">
        <w:rPr>
          <w:i/>
          <w:iCs/>
        </w:rPr>
        <w:t xml:space="preserve">Transport Operations (Passenger Transport) Act 1994 </w:t>
      </w:r>
    </w:p>
    <w:p w14:paraId="25F3F5C7" w14:textId="77777777" w:rsidR="0019074A" w:rsidRPr="007A552D" w:rsidRDefault="00B4171D" w:rsidP="00A7585A">
      <w:pPr>
        <w:spacing w:line="240" w:lineRule="auto"/>
        <w:rPr>
          <w:i/>
          <w:iCs/>
        </w:rPr>
      </w:pPr>
      <w:r w:rsidRPr="007A552D">
        <w:rPr>
          <w:i/>
          <w:iCs/>
        </w:rPr>
        <w:t xml:space="preserve">Transport Operations (Road Use Management) Act 1995 </w:t>
      </w:r>
    </w:p>
    <w:p w14:paraId="7F705D96" w14:textId="77777777" w:rsidR="0019074A" w:rsidRPr="007A552D" w:rsidRDefault="00B4171D" w:rsidP="008113E9">
      <w:pPr>
        <w:rPr>
          <w:i/>
          <w:iCs/>
        </w:rPr>
      </w:pPr>
      <w:r w:rsidRPr="007A552D">
        <w:rPr>
          <w:i/>
          <w:iCs/>
        </w:rPr>
        <w:t xml:space="preserve">Transport Planning and Coordination Act 1994 </w:t>
      </w:r>
    </w:p>
    <w:p w14:paraId="121778D2" w14:textId="77777777" w:rsidR="00DD5B56" w:rsidRDefault="00B4171D" w:rsidP="008113E9">
      <w:pPr>
        <w:rPr>
          <w:i/>
          <w:iCs/>
        </w:rPr>
      </w:pPr>
      <w:r w:rsidRPr="007A552D">
        <w:rPr>
          <w:i/>
          <w:iCs/>
        </w:rPr>
        <w:t>Transport (South Bank Corporation Area Land) Act 1999</w:t>
      </w:r>
      <w:r w:rsidR="001D71B3" w:rsidRPr="007A552D">
        <w:rPr>
          <w:i/>
          <w:iCs/>
        </w:rPr>
        <w:t xml:space="preserve"> </w:t>
      </w:r>
    </w:p>
    <w:p w14:paraId="0BDB4A4C" w14:textId="7AE3D962" w:rsidR="00C8128B" w:rsidRPr="007A552D" w:rsidRDefault="001D71B3" w:rsidP="008113E9">
      <w:pPr>
        <w:rPr>
          <w:i/>
          <w:iCs/>
        </w:rPr>
      </w:pPr>
      <w:r w:rsidRPr="007A552D">
        <w:rPr>
          <w:i/>
          <w:iCs/>
        </w:rPr>
        <w:t>Transport Security (Counter-Terrorism) Act 2008</w:t>
      </w:r>
    </w:p>
    <w:sectPr w:rsidR="00C8128B" w:rsidRPr="007A552D" w:rsidSect="00C56287">
      <w:pgSz w:w="11906" w:h="16838" w:code="9"/>
      <w:pgMar w:top="1135" w:right="1418" w:bottom="156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9698" w14:textId="77777777" w:rsidR="00F75EC1" w:rsidRDefault="00F75EC1" w:rsidP="00A9280E">
      <w:pPr>
        <w:spacing w:line="240" w:lineRule="auto"/>
      </w:pPr>
      <w:r>
        <w:separator/>
      </w:r>
    </w:p>
  </w:endnote>
  <w:endnote w:type="continuationSeparator" w:id="0">
    <w:p w14:paraId="066062AA" w14:textId="77777777" w:rsidR="00F75EC1" w:rsidRDefault="00F75EC1"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4137" w14:textId="3C9ED697"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50EFF373" wp14:editId="205B677C">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AA9E9"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895648">
      <w:rPr>
        <w:rStyle w:val="Header2Char"/>
      </w:rPr>
      <w:t>Regulator Performance Framework Report 2024-25</w:t>
    </w:r>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861B" w14:textId="43BF3082" w:rsidR="008113E9" w:rsidRPr="008113E9" w:rsidRDefault="008113E9" w:rsidP="008113E9">
    <w:pPr>
      <w:pStyle w:val="Footer"/>
    </w:pPr>
    <w:r w:rsidRPr="000126D6">
      <w:rPr>
        <w:noProof/>
      </w:rPr>
      <mc:AlternateContent>
        <mc:Choice Requires="wps">
          <w:drawing>
            <wp:anchor distT="0" distB="0" distL="114300" distR="114300" simplePos="0" relativeHeight="251663360" behindDoc="0" locked="0" layoutInCell="1" allowOverlap="1" wp14:anchorId="74C4E83C" wp14:editId="410E39F0">
              <wp:simplePos x="0" y="0"/>
              <wp:positionH relativeFrom="column">
                <wp:posOffset>635</wp:posOffset>
              </wp:positionH>
              <wp:positionV relativeFrom="paragraph">
                <wp:posOffset>-86534</wp:posOffset>
              </wp:positionV>
              <wp:extent cx="5756564" cy="0"/>
              <wp:effectExtent l="0" t="0" r="0" b="0"/>
              <wp:wrapNone/>
              <wp:docPr id="1087462810" name="Straight Connector 10874628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161D7" id="Straight Connector 1087462810"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895648">
      <w:rPr>
        <w:rStyle w:val="Header2Char"/>
      </w:rPr>
      <w:t>Regulator Performance Framework Report 2024-25</w:t>
    </w:r>
    <w:r>
      <w:ptab w:relativeTo="margin" w:alignment="right" w:leader="none"/>
    </w:r>
    <w:r>
      <w:fldChar w:fldCharType="begin"/>
    </w:r>
    <w:r>
      <w:instrText xml:space="preserve"> PAGE  \* Arabic  \* MERGEFORMAT </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4A93" w14:textId="77777777" w:rsidR="00F75EC1" w:rsidRDefault="00F75EC1" w:rsidP="00A9280E">
      <w:pPr>
        <w:spacing w:line="240" w:lineRule="auto"/>
      </w:pPr>
      <w:r>
        <w:separator/>
      </w:r>
    </w:p>
  </w:footnote>
  <w:footnote w:type="continuationSeparator" w:id="0">
    <w:p w14:paraId="7E5E77E7" w14:textId="77777777" w:rsidR="00F75EC1" w:rsidRDefault="00F75EC1"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4C8" w14:textId="10F17F0F" w:rsidR="00895648" w:rsidRDefault="00895648">
    <w:pPr>
      <w:pStyle w:val="Header"/>
    </w:pPr>
    <w:r>
      <w:t>Regulator Performance Framework Report 2024-25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9763" w14:textId="77777777" w:rsidR="00A35033" w:rsidRDefault="00A35033">
    <w:pPr>
      <w:pStyle w:val="Header"/>
    </w:pPr>
    <w:r>
      <w:rPr>
        <w:noProof/>
      </w:rPr>
      <w:drawing>
        <wp:anchor distT="0" distB="0" distL="114300" distR="114300" simplePos="0" relativeHeight="251661312" behindDoc="1" locked="1" layoutInCell="1" allowOverlap="1" wp14:anchorId="6D9DB851" wp14:editId="56B4E513">
          <wp:simplePos x="0" y="0"/>
          <wp:positionH relativeFrom="margin">
            <wp:posOffset>-900430</wp:posOffset>
          </wp:positionH>
          <wp:positionV relativeFrom="margin">
            <wp:posOffset>-7649210</wp:posOffset>
          </wp:positionV>
          <wp:extent cx="7555230" cy="10682605"/>
          <wp:effectExtent l="0" t="0" r="7620" b="0"/>
          <wp:wrapNone/>
          <wp:docPr id="1964712299" name="Picture 1964712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62795" name="Picture 20584627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26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2573" w14:textId="77777777" w:rsidR="008113E9" w:rsidRDefault="00811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2344" w14:textId="77777777" w:rsidR="008113E9" w:rsidRDefault="00811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DEE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5138FF"/>
    <w:multiLevelType w:val="hybridMultilevel"/>
    <w:tmpl w:val="8D56986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16D0C"/>
    <w:multiLevelType w:val="hybridMultilevel"/>
    <w:tmpl w:val="57CECDF0"/>
    <w:lvl w:ilvl="0" w:tplc="FFFFFFFF">
      <w:start w:val="1"/>
      <w:numFmt w:val="bullet"/>
      <w:lvlText w:val=""/>
      <w:lvlJc w:val="left"/>
      <w:pPr>
        <w:ind w:left="746" w:hanging="567"/>
      </w:pPr>
      <w:rPr>
        <w:rFonts w:ascii="Symbol" w:hAnsi="Symbol" w:hint="default"/>
        <w:b w:val="0"/>
        <w:bCs w:val="0"/>
        <w:i w:val="0"/>
        <w:iCs w:val="0"/>
        <w:spacing w:val="0"/>
        <w:w w:val="100"/>
        <w:sz w:val="24"/>
        <w:szCs w:val="24"/>
        <w:lang w:val="en-US" w:eastAsia="en-US" w:bidi="ar-SA"/>
      </w:rPr>
    </w:lvl>
    <w:lvl w:ilvl="1" w:tplc="835E1CFE">
      <w:numFmt w:val="bullet"/>
      <w:lvlText w:val="•"/>
      <w:lvlJc w:val="left"/>
      <w:pPr>
        <w:ind w:left="1614" w:hanging="567"/>
      </w:pPr>
      <w:rPr>
        <w:rFonts w:hint="default"/>
        <w:lang w:val="en-US" w:eastAsia="en-US" w:bidi="ar-SA"/>
      </w:rPr>
    </w:lvl>
    <w:lvl w:ilvl="2" w:tplc="A0EE5F3E">
      <w:numFmt w:val="bullet"/>
      <w:lvlText w:val="•"/>
      <w:lvlJc w:val="left"/>
      <w:pPr>
        <w:ind w:left="2489" w:hanging="567"/>
      </w:pPr>
      <w:rPr>
        <w:rFonts w:hint="default"/>
        <w:lang w:val="en-US" w:eastAsia="en-US" w:bidi="ar-SA"/>
      </w:rPr>
    </w:lvl>
    <w:lvl w:ilvl="3" w:tplc="22743214">
      <w:numFmt w:val="bullet"/>
      <w:lvlText w:val="•"/>
      <w:lvlJc w:val="left"/>
      <w:pPr>
        <w:ind w:left="3363" w:hanging="567"/>
      </w:pPr>
      <w:rPr>
        <w:rFonts w:hint="default"/>
        <w:lang w:val="en-US" w:eastAsia="en-US" w:bidi="ar-SA"/>
      </w:rPr>
    </w:lvl>
    <w:lvl w:ilvl="4" w:tplc="74683F0A">
      <w:numFmt w:val="bullet"/>
      <w:lvlText w:val="•"/>
      <w:lvlJc w:val="left"/>
      <w:pPr>
        <w:ind w:left="4238" w:hanging="567"/>
      </w:pPr>
      <w:rPr>
        <w:rFonts w:hint="default"/>
        <w:lang w:val="en-US" w:eastAsia="en-US" w:bidi="ar-SA"/>
      </w:rPr>
    </w:lvl>
    <w:lvl w:ilvl="5" w:tplc="B3B81A74">
      <w:numFmt w:val="bullet"/>
      <w:lvlText w:val="•"/>
      <w:lvlJc w:val="left"/>
      <w:pPr>
        <w:ind w:left="5113" w:hanging="567"/>
      </w:pPr>
      <w:rPr>
        <w:rFonts w:hint="default"/>
        <w:lang w:val="en-US" w:eastAsia="en-US" w:bidi="ar-SA"/>
      </w:rPr>
    </w:lvl>
    <w:lvl w:ilvl="6" w:tplc="41C6CF4A">
      <w:numFmt w:val="bullet"/>
      <w:lvlText w:val="•"/>
      <w:lvlJc w:val="left"/>
      <w:pPr>
        <w:ind w:left="5987" w:hanging="567"/>
      </w:pPr>
      <w:rPr>
        <w:rFonts w:hint="default"/>
        <w:lang w:val="en-US" w:eastAsia="en-US" w:bidi="ar-SA"/>
      </w:rPr>
    </w:lvl>
    <w:lvl w:ilvl="7" w:tplc="F77A880C">
      <w:numFmt w:val="bullet"/>
      <w:lvlText w:val="•"/>
      <w:lvlJc w:val="left"/>
      <w:pPr>
        <w:ind w:left="6862" w:hanging="567"/>
      </w:pPr>
      <w:rPr>
        <w:rFonts w:hint="default"/>
        <w:lang w:val="en-US" w:eastAsia="en-US" w:bidi="ar-SA"/>
      </w:rPr>
    </w:lvl>
    <w:lvl w:ilvl="8" w:tplc="9A147DAC">
      <w:numFmt w:val="bullet"/>
      <w:lvlText w:val="•"/>
      <w:lvlJc w:val="left"/>
      <w:pPr>
        <w:ind w:left="7737" w:hanging="567"/>
      </w:pPr>
      <w:rPr>
        <w:rFonts w:hint="default"/>
        <w:lang w:val="en-US" w:eastAsia="en-US" w:bidi="ar-SA"/>
      </w:rPr>
    </w:lvl>
  </w:abstractNum>
  <w:abstractNum w:abstractNumId="19"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4"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5"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9C6BA2"/>
    <w:multiLevelType w:val="hybridMultilevel"/>
    <w:tmpl w:val="D1C40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BD97903"/>
    <w:multiLevelType w:val="hybridMultilevel"/>
    <w:tmpl w:val="DBC0DC8E"/>
    <w:lvl w:ilvl="0" w:tplc="8EA84D78">
      <w:numFmt w:val="bullet"/>
      <w:lvlText w:val=""/>
      <w:lvlJc w:val="left"/>
      <w:pPr>
        <w:ind w:left="746" w:hanging="567"/>
      </w:pPr>
      <w:rPr>
        <w:rFonts w:ascii="Symbol" w:eastAsia="Symbol" w:hAnsi="Symbol" w:cs="Symbol" w:hint="default"/>
        <w:b w:val="0"/>
        <w:bCs w:val="0"/>
        <w:i w:val="0"/>
        <w:iCs w:val="0"/>
        <w:spacing w:val="0"/>
        <w:w w:val="100"/>
        <w:sz w:val="24"/>
        <w:szCs w:val="24"/>
        <w:lang w:val="en-US" w:eastAsia="en-US" w:bidi="ar-SA"/>
      </w:rPr>
    </w:lvl>
    <w:lvl w:ilvl="1" w:tplc="520874DE">
      <w:numFmt w:val="bullet"/>
      <w:lvlText w:val="•"/>
      <w:lvlJc w:val="left"/>
      <w:pPr>
        <w:ind w:left="1614" w:hanging="567"/>
      </w:pPr>
      <w:rPr>
        <w:rFonts w:hint="default"/>
        <w:lang w:val="en-US" w:eastAsia="en-US" w:bidi="ar-SA"/>
      </w:rPr>
    </w:lvl>
    <w:lvl w:ilvl="2" w:tplc="CE4CDB50">
      <w:numFmt w:val="bullet"/>
      <w:lvlText w:val="•"/>
      <w:lvlJc w:val="left"/>
      <w:pPr>
        <w:ind w:left="2489" w:hanging="567"/>
      </w:pPr>
      <w:rPr>
        <w:rFonts w:hint="default"/>
        <w:lang w:val="en-US" w:eastAsia="en-US" w:bidi="ar-SA"/>
      </w:rPr>
    </w:lvl>
    <w:lvl w:ilvl="3" w:tplc="2E502644">
      <w:numFmt w:val="bullet"/>
      <w:lvlText w:val="•"/>
      <w:lvlJc w:val="left"/>
      <w:pPr>
        <w:ind w:left="3363" w:hanging="567"/>
      </w:pPr>
      <w:rPr>
        <w:rFonts w:hint="default"/>
        <w:lang w:val="en-US" w:eastAsia="en-US" w:bidi="ar-SA"/>
      </w:rPr>
    </w:lvl>
    <w:lvl w:ilvl="4" w:tplc="6772007E">
      <w:numFmt w:val="bullet"/>
      <w:lvlText w:val="•"/>
      <w:lvlJc w:val="left"/>
      <w:pPr>
        <w:ind w:left="4238" w:hanging="567"/>
      </w:pPr>
      <w:rPr>
        <w:rFonts w:hint="default"/>
        <w:lang w:val="en-US" w:eastAsia="en-US" w:bidi="ar-SA"/>
      </w:rPr>
    </w:lvl>
    <w:lvl w:ilvl="5" w:tplc="2512AF46">
      <w:numFmt w:val="bullet"/>
      <w:lvlText w:val="•"/>
      <w:lvlJc w:val="left"/>
      <w:pPr>
        <w:ind w:left="5113" w:hanging="567"/>
      </w:pPr>
      <w:rPr>
        <w:rFonts w:hint="default"/>
        <w:lang w:val="en-US" w:eastAsia="en-US" w:bidi="ar-SA"/>
      </w:rPr>
    </w:lvl>
    <w:lvl w:ilvl="6" w:tplc="AE821CAA">
      <w:numFmt w:val="bullet"/>
      <w:lvlText w:val="•"/>
      <w:lvlJc w:val="left"/>
      <w:pPr>
        <w:ind w:left="5987" w:hanging="567"/>
      </w:pPr>
      <w:rPr>
        <w:rFonts w:hint="default"/>
        <w:lang w:val="en-US" w:eastAsia="en-US" w:bidi="ar-SA"/>
      </w:rPr>
    </w:lvl>
    <w:lvl w:ilvl="7" w:tplc="2C3A347C">
      <w:numFmt w:val="bullet"/>
      <w:lvlText w:val="•"/>
      <w:lvlJc w:val="left"/>
      <w:pPr>
        <w:ind w:left="6862" w:hanging="567"/>
      </w:pPr>
      <w:rPr>
        <w:rFonts w:hint="default"/>
        <w:lang w:val="en-US" w:eastAsia="en-US" w:bidi="ar-SA"/>
      </w:rPr>
    </w:lvl>
    <w:lvl w:ilvl="8" w:tplc="C002B202">
      <w:numFmt w:val="bullet"/>
      <w:lvlText w:val="•"/>
      <w:lvlJc w:val="left"/>
      <w:pPr>
        <w:ind w:left="7737" w:hanging="567"/>
      </w:pPr>
      <w:rPr>
        <w:rFonts w:hint="default"/>
        <w:lang w:val="en-US" w:eastAsia="en-US" w:bidi="ar-SA"/>
      </w:rPr>
    </w:lvl>
  </w:abstractNum>
  <w:abstractNum w:abstractNumId="38" w15:restartNumberingAfterBreak="0">
    <w:nsid w:val="7D782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A32D73"/>
    <w:multiLevelType w:val="hybridMultilevel"/>
    <w:tmpl w:val="AAECD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41"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7"/>
  </w:num>
  <w:num w:numId="2" w16cid:durableId="611714971">
    <w:abstractNumId w:val="33"/>
  </w:num>
  <w:num w:numId="3" w16cid:durableId="2089233339">
    <w:abstractNumId w:val="2"/>
  </w:num>
  <w:num w:numId="4" w16cid:durableId="1064139033">
    <w:abstractNumId w:val="1"/>
  </w:num>
  <w:num w:numId="5" w16cid:durableId="1131676040">
    <w:abstractNumId w:val="8"/>
  </w:num>
  <w:num w:numId="6" w16cid:durableId="1792286315">
    <w:abstractNumId w:val="40"/>
  </w:num>
  <w:num w:numId="7" w16cid:durableId="1137340397">
    <w:abstractNumId w:val="6"/>
  </w:num>
  <w:num w:numId="8" w16cid:durableId="1764453121">
    <w:abstractNumId w:val="42"/>
  </w:num>
  <w:num w:numId="9" w16cid:durableId="1637031433">
    <w:abstractNumId w:val="5"/>
  </w:num>
  <w:num w:numId="10" w16cid:durableId="1647666585">
    <w:abstractNumId w:val="34"/>
  </w:num>
  <w:num w:numId="11" w16cid:durableId="1284655479">
    <w:abstractNumId w:val="27"/>
  </w:num>
  <w:num w:numId="12" w16cid:durableId="243073785">
    <w:abstractNumId w:val="32"/>
  </w:num>
  <w:num w:numId="13" w16cid:durableId="1688557858">
    <w:abstractNumId w:val="12"/>
  </w:num>
  <w:num w:numId="14" w16cid:durableId="868493949">
    <w:abstractNumId w:val="13"/>
  </w:num>
  <w:num w:numId="15" w16cid:durableId="1187258435">
    <w:abstractNumId w:val="30"/>
  </w:num>
  <w:num w:numId="16" w16cid:durableId="904074665">
    <w:abstractNumId w:val="24"/>
  </w:num>
  <w:num w:numId="17" w16cid:durableId="87309825">
    <w:abstractNumId w:val="26"/>
  </w:num>
  <w:num w:numId="18" w16cid:durableId="1541166783">
    <w:abstractNumId w:val="19"/>
  </w:num>
  <w:num w:numId="19" w16cid:durableId="1299456824">
    <w:abstractNumId w:val="21"/>
  </w:num>
  <w:num w:numId="20" w16cid:durableId="118844587">
    <w:abstractNumId w:val="10"/>
  </w:num>
  <w:num w:numId="21" w16cid:durableId="888106675">
    <w:abstractNumId w:val="17"/>
  </w:num>
  <w:num w:numId="22" w16cid:durableId="1921984302">
    <w:abstractNumId w:val="28"/>
  </w:num>
  <w:num w:numId="23" w16cid:durableId="1661228942">
    <w:abstractNumId w:val="8"/>
  </w:num>
  <w:num w:numId="24" w16cid:durableId="242568461">
    <w:abstractNumId w:val="20"/>
  </w:num>
  <w:num w:numId="25" w16cid:durableId="654720570">
    <w:abstractNumId w:val="9"/>
  </w:num>
  <w:num w:numId="26" w16cid:durableId="1335957949">
    <w:abstractNumId w:val="14"/>
  </w:num>
  <w:num w:numId="27" w16cid:durableId="1431004813">
    <w:abstractNumId w:val="15"/>
  </w:num>
  <w:num w:numId="28" w16cid:durableId="1996836406">
    <w:abstractNumId w:val="25"/>
  </w:num>
  <w:num w:numId="29" w16cid:durableId="1209220137">
    <w:abstractNumId w:val="11"/>
  </w:num>
  <w:num w:numId="30" w16cid:durableId="1843007621">
    <w:abstractNumId w:val="8"/>
  </w:num>
  <w:num w:numId="31" w16cid:durableId="636298608">
    <w:abstractNumId w:val="7"/>
  </w:num>
  <w:num w:numId="32" w16cid:durableId="990671108">
    <w:abstractNumId w:val="2"/>
  </w:num>
  <w:num w:numId="33" w16cid:durableId="1253390904">
    <w:abstractNumId w:val="1"/>
  </w:num>
  <w:num w:numId="34" w16cid:durableId="714813647">
    <w:abstractNumId w:val="4"/>
  </w:num>
  <w:num w:numId="35" w16cid:durableId="1560090524">
    <w:abstractNumId w:val="3"/>
  </w:num>
  <w:num w:numId="36" w16cid:durableId="837580191">
    <w:abstractNumId w:val="7"/>
  </w:num>
  <w:num w:numId="37" w16cid:durableId="915897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41"/>
  </w:num>
  <w:num w:numId="39" w16cid:durableId="1261836100">
    <w:abstractNumId w:val="31"/>
  </w:num>
  <w:num w:numId="40" w16cid:durableId="1520779936">
    <w:abstractNumId w:val="22"/>
  </w:num>
  <w:num w:numId="41" w16cid:durableId="249697999">
    <w:abstractNumId w:val="23"/>
  </w:num>
  <w:num w:numId="42" w16cid:durableId="1908880875">
    <w:abstractNumId w:val="35"/>
  </w:num>
  <w:num w:numId="43" w16cid:durableId="1731492046">
    <w:abstractNumId w:val="29"/>
  </w:num>
  <w:num w:numId="44" w16cid:durableId="2045523260">
    <w:abstractNumId w:val="0"/>
  </w:num>
  <w:num w:numId="45" w16cid:durableId="283312145">
    <w:abstractNumId w:val="38"/>
  </w:num>
  <w:num w:numId="46" w16cid:durableId="1434545982">
    <w:abstractNumId w:val="18"/>
  </w:num>
  <w:num w:numId="47" w16cid:durableId="1678577407">
    <w:abstractNumId w:val="37"/>
  </w:num>
  <w:num w:numId="48" w16cid:durableId="2073237900">
    <w:abstractNumId w:val="16"/>
  </w:num>
  <w:num w:numId="49" w16cid:durableId="483736991">
    <w:abstractNumId w:val="36"/>
  </w:num>
  <w:num w:numId="50" w16cid:durableId="20087461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enforcement="1" w:cryptProviderType="rsaAES" w:cryptAlgorithmClass="hash" w:cryptAlgorithmType="typeAny" w:cryptAlgorithmSid="14" w:cryptSpinCount="100000" w:hash="uQvw0MRPHU9XAIQts4B1u+3rEQxgXhecnOeUMy36mbW9jTeoTssxAJ4obr7VkTh4tFlkZOo6H+oAXze5gy0kwQ==" w:salt="ayDJCxqFrT9MO/wIt7AyAA=="/>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6"/>
    <w:rsid w:val="0000736E"/>
    <w:rsid w:val="000126D6"/>
    <w:rsid w:val="00012CAD"/>
    <w:rsid w:val="0001356D"/>
    <w:rsid w:val="00021B1A"/>
    <w:rsid w:val="00024C73"/>
    <w:rsid w:val="000303EF"/>
    <w:rsid w:val="00036607"/>
    <w:rsid w:val="00040D81"/>
    <w:rsid w:val="000505EA"/>
    <w:rsid w:val="00051C92"/>
    <w:rsid w:val="0006107B"/>
    <w:rsid w:val="000623DB"/>
    <w:rsid w:val="00063EC5"/>
    <w:rsid w:val="00066785"/>
    <w:rsid w:val="00067CCE"/>
    <w:rsid w:val="00073B95"/>
    <w:rsid w:val="000744BB"/>
    <w:rsid w:val="00075CCB"/>
    <w:rsid w:val="000762DF"/>
    <w:rsid w:val="000852B6"/>
    <w:rsid w:val="000879E4"/>
    <w:rsid w:val="00090463"/>
    <w:rsid w:val="000919D4"/>
    <w:rsid w:val="00097276"/>
    <w:rsid w:val="000A21FE"/>
    <w:rsid w:val="000B155F"/>
    <w:rsid w:val="000B62D3"/>
    <w:rsid w:val="000C11ED"/>
    <w:rsid w:val="000C4276"/>
    <w:rsid w:val="000C4ABA"/>
    <w:rsid w:val="000C5E46"/>
    <w:rsid w:val="000C6028"/>
    <w:rsid w:val="000E03AA"/>
    <w:rsid w:val="000E6AF7"/>
    <w:rsid w:val="000F4920"/>
    <w:rsid w:val="00101A73"/>
    <w:rsid w:val="001116F8"/>
    <w:rsid w:val="00113A40"/>
    <w:rsid w:val="001148DD"/>
    <w:rsid w:val="001279D8"/>
    <w:rsid w:val="00131BF2"/>
    <w:rsid w:val="00140CB2"/>
    <w:rsid w:val="001429D8"/>
    <w:rsid w:val="001518FD"/>
    <w:rsid w:val="00153620"/>
    <w:rsid w:val="00154AB7"/>
    <w:rsid w:val="00154D39"/>
    <w:rsid w:val="00167740"/>
    <w:rsid w:val="00171882"/>
    <w:rsid w:val="00172F20"/>
    <w:rsid w:val="00181F04"/>
    <w:rsid w:val="001822AC"/>
    <w:rsid w:val="0018349F"/>
    <w:rsid w:val="0018390F"/>
    <w:rsid w:val="0018783A"/>
    <w:rsid w:val="0019074A"/>
    <w:rsid w:val="00190D28"/>
    <w:rsid w:val="00195F25"/>
    <w:rsid w:val="001A3FDE"/>
    <w:rsid w:val="001B6D9C"/>
    <w:rsid w:val="001C07DB"/>
    <w:rsid w:val="001D17A2"/>
    <w:rsid w:val="001D22F2"/>
    <w:rsid w:val="001D625B"/>
    <w:rsid w:val="001D71B3"/>
    <w:rsid w:val="001E3F0A"/>
    <w:rsid w:val="001F1718"/>
    <w:rsid w:val="001F3F89"/>
    <w:rsid w:val="00204A19"/>
    <w:rsid w:val="00212786"/>
    <w:rsid w:val="00216C9B"/>
    <w:rsid w:val="002203EC"/>
    <w:rsid w:val="002206A5"/>
    <w:rsid w:val="002360FC"/>
    <w:rsid w:val="00242092"/>
    <w:rsid w:val="002435C9"/>
    <w:rsid w:val="00251AA3"/>
    <w:rsid w:val="00267FDF"/>
    <w:rsid w:val="00271478"/>
    <w:rsid w:val="002814C9"/>
    <w:rsid w:val="00281FEA"/>
    <w:rsid w:val="00286EAF"/>
    <w:rsid w:val="002909B5"/>
    <w:rsid w:val="00293985"/>
    <w:rsid w:val="002A2709"/>
    <w:rsid w:val="002A278F"/>
    <w:rsid w:val="002A7912"/>
    <w:rsid w:val="002B6F1D"/>
    <w:rsid w:val="002C5C8F"/>
    <w:rsid w:val="002D34A2"/>
    <w:rsid w:val="002D489B"/>
    <w:rsid w:val="002D7D2F"/>
    <w:rsid w:val="002F072D"/>
    <w:rsid w:val="002F2965"/>
    <w:rsid w:val="002F2FF2"/>
    <w:rsid w:val="00302AA9"/>
    <w:rsid w:val="003034B9"/>
    <w:rsid w:val="003054BF"/>
    <w:rsid w:val="003061D0"/>
    <w:rsid w:val="003108D6"/>
    <w:rsid w:val="00321BB9"/>
    <w:rsid w:val="00325A91"/>
    <w:rsid w:val="00330284"/>
    <w:rsid w:val="00332D7B"/>
    <w:rsid w:val="0034090D"/>
    <w:rsid w:val="00343611"/>
    <w:rsid w:val="00346EFE"/>
    <w:rsid w:val="003533A6"/>
    <w:rsid w:val="003562FC"/>
    <w:rsid w:val="00363A53"/>
    <w:rsid w:val="00364A70"/>
    <w:rsid w:val="003703DD"/>
    <w:rsid w:val="00394461"/>
    <w:rsid w:val="003A196F"/>
    <w:rsid w:val="003A6901"/>
    <w:rsid w:val="003B4322"/>
    <w:rsid w:val="003B7DFF"/>
    <w:rsid w:val="003C73AE"/>
    <w:rsid w:val="003D2DB7"/>
    <w:rsid w:val="003D3DDE"/>
    <w:rsid w:val="003E0083"/>
    <w:rsid w:val="003E53B6"/>
    <w:rsid w:val="003F021E"/>
    <w:rsid w:val="003F62C9"/>
    <w:rsid w:val="003F7257"/>
    <w:rsid w:val="00405FA0"/>
    <w:rsid w:val="004062EE"/>
    <w:rsid w:val="004131F3"/>
    <w:rsid w:val="00413E56"/>
    <w:rsid w:val="0042018F"/>
    <w:rsid w:val="0042040C"/>
    <w:rsid w:val="004207B9"/>
    <w:rsid w:val="00435625"/>
    <w:rsid w:val="00437140"/>
    <w:rsid w:val="00444D2D"/>
    <w:rsid w:val="004473C8"/>
    <w:rsid w:val="00457334"/>
    <w:rsid w:val="00467A7F"/>
    <w:rsid w:val="00474923"/>
    <w:rsid w:val="00482035"/>
    <w:rsid w:val="00485A2E"/>
    <w:rsid w:val="004868A8"/>
    <w:rsid w:val="00486E3B"/>
    <w:rsid w:val="00491E0D"/>
    <w:rsid w:val="00492B82"/>
    <w:rsid w:val="00492FF4"/>
    <w:rsid w:val="004933F6"/>
    <w:rsid w:val="00497FDF"/>
    <w:rsid w:val="004A1CE1"/>
    <w:rsid w:val="004B1945"/>
    <w:rsid w:val="004B5948"/>
    <w:rsid w:val="004C6FAE"/>
    <w:rsid w:val="004D1742"/>
    <w:rsid w:val="004D56A9"/>
    <w:rsid w:val="004D5904"/>
    <w:rsid w:val="004E17AF"/>
    <w:rsid w:val="004E3A45"/>
    <w:rsid w:val="004F108A"/>
    <w:rsid w:val="004F2B03"/>
    <w:rsid w:val="004F2D1E"/>
    <w:rsid w:val="005029D0"/>
    <w:rsid w:val="00503AD7"/>
    <w:rsid w:val="005075D9"/>
    <w:rsid w:val="00507FC1"/>
    <w:rsid w:val="00511F74"/>
    <w:rsid w:val="00514BEC"/>
    <w:rsid w:val="005170DB"/>
    <w:rsid w:val="00523757"/>
    <w:rsid w:val="005241D3"/>
    <w:rsid w:val="005259DD"/>
    <w:rsid w:val="005356D0"/>
    <w:rsid w:val="005419D5"/>
    <w:rsid w:val="00545452"/>
    <w:rsid w:val="00546311"/>
    <w:rsid w:val="00554223"/>
    <w:rsid w:val="00560347"/>
    <w:rsid w:val="00567279"/>
    <w:rsid w:val="00572ECD"/>
    <w:rsid w:val="0057777A"/>
    <w:rsid w:val="00580ED7"/>
    <w:rsid w:val="00586A88"/>
    <w:rsid w:val="00587FCC"/>
    <w:rsid w:val="00596985"/>
    <w:rsid w:val="005A5B95"/>
    <w:rsid w:val="005B1CE4"/>
    <w:rsid w:val="005B366A"/>
    <w:rsid w:val="005B4843"/>
    <w:rsid w:val="005B5D84"/>
    <w:rsid w:val="005B5DD8"/>
    <w:rsid w:val="005C435D"/>
    <w:rsid w:val="005E722E"/>
    <w:rsid w:val="005F07A0"/>
    <w:rsid w:val="00601688"/>
    <w:rsid w:val="00607ED4"/>
    <w:rsid w:val="00614ADC"/>
    <w:rsid w:val="00625CE5"/>
    <w:rsid w:val="00650A5D"/>
    <w:rsid w:val="006560E9"/>
    <w:rsid w:val="00667E61"/>
    <w:rsid w:val="0067263C"/>
    <w:rsid w:val="0067596A"/>
    <w:rsid w:val="006801BC"/>
    <w:rsid w:val="00680E87"/>
    <w:rsid w:val="0068573B"/>
    <w:rsid w:val="006902D2"/>
    <w:rsid w:val="00692EE8"/>
    <w:rsid w:val="006A257D"/>
    <w:rsid w:val="006A46F4"/>
    <w:rsid w:val="006C45CF"/>
    <w:rsid w:val="006D06D1"/>
    <w:rsid w:val="006E4323"/>
    <w:rsid w:val="006E6D19"/>
    <w:rsid w:val="006F44A2"/>
    <w:rsid w:val="006F7B3D"/>
    <w:rsid w:val="007017D1"/>
    <w:rsid w:val="007028D3"/>
    <w:rsid w:val="00706AC5"/>
    <w:rsid w:val="00715DBD"/>
    <w:rsid w:val="0072255F"/>
    <w:rsid w:val="00723604"/>
    <w:rsid w:val="00725C8F"/>
    <w:rsid w:val="0073294A"/>
    <w:rsid w:val="00737BE9"/>
    <w:rsid w:val="00737DCA"/>
    <w:rsid w:val="0074246F"/>
    <w:rsid w:val="00742954"/>
    <w:rsid w:val="00747BA3"/>
    <w:rsid w:val="007514F0"/>
    <w:rsid w:val="00751FA5"/>
    <w:rsid w:val="007543A8"/>
    <w:rsid w:val="00771C1F"/>
    <w:rsid w:val="007777F6"/>
    <w:rsid w:val="00784A24"/>
    <w:rsid w:val="00785188"/>
    <w:rsid w:val="00786586"/>
    <w:rsid w:val="00794876"/>
    <w:rsid w:val="00794CEF"/>
    <w:rsid w:val="007A436D"/>
    <w:rsid w:val="007A552D"/>
    <w:rsid w:val="007A6B20"/>
    <w:rsid w:val="007A7716"/>
    <w:rsid w:val="007B1B75"/>
    <w:rsid w:val="007B1D1E"/>
    <w:rsid w:val="007B55B4"/>
    <w:rsid w:val="007B5787"/>
    <w:rsid w:val="007B6854"/>
    <w:rsid w:val="007C09E4"/>
    <w:rsid w:val="007C3132"/>
    <w:rsid w:val="007C7610"/>
    <w:rsid w:val="007E0950"/>
    <w:rsid w:val="007E0CD4"/>
    <w:rsid w:val="007E45D3"/>
    <w:rsid w:val="007E5D9B"/>
    <w:rsid w:val="007E6613"/>
    <w:rsid w:val="007F00CE"/>
    <w:rsid w:val="007F1143"/>
    <w:rsid w:val="007F4D12"/>
    <w:rsid w:val="007F62E8"/>
    <w:rsid w:val="007F69BA"/>
    <w:rsid w:val="007F7402"/>
    <w:rsid w:val="00805627"/>
    <w:rsid w:val="00805CF7"/>
    <w:rsid w:val="008113E9"/>
    <w:rsid w:val="00812BEF"/>
    <w:rsid w:val="00813ABC"/>
    <w:rsid w:val="00817400"/>
    <w:rsid w:val="00820A3F"/>
    <w:rsid w:val="0083088B"/>
    <w:rsid w:val="00830B47"/>
    <w:rsid w:val="00831DDA"/>
    <w:rsid w:val="00832E05"/>
    <w:rsid w:val="008424DC"/>
    <w:rsid w:val="0084404D"/>
    <w:rsid w:val="00847FF6"/>
    <w:rsid w:val="00850F61"/>
    <w:rsid w:val="008608A1"/>
    <w:rsid w:val="008618FA"/>
    <w:rsid w:val="00864477"/>
    <w:rsid w:val="00867BF6"/>
    <w:rsid w:val="00873D82"/>
    <w:rsid w:val="00874C99"/>
    <w:rsid w:val="00884B5A"/>
    <w:rsid w:val="0088560A"/>
    <w:rsid w:val="0088793C"/>
    <w:rsid w:val="008938DB"/>
    <w:rsid w:val="00895648"/>
    <w:rsid w:val="008A05EE"/>
    <w:rsid w:val="008A32C6"/>
    <w:rsid w:val="008A4E72"/>
    <w:rsid w:val="008A644F"/>
    <w:rsid w:val="008A7368"/>
    <w:rsid w:val="008C0F00"/>
    <w:rsid w:val="008C37FE"/>
    <w:rsid w:val="008D1B5C"/>
    <w:rsid w:val="008D375B"/>
    <w:rsid w:val="008D4272"/>
    <w:rsid w:val="008D45CD"/>
    <w:rsid w:val="008E08B2"/>
    <w:rsid w:val="008E742E"/>
    <w:rsid w:val="008F1000"/>
    <w:rsid w:val="008F15FD"/>
    <w:rsid w:val="008F6F98"/>
    <w:rsid w:val="008F79AE"/>
    <w:rsid w:val="00900617"/>
    <w:rsid w:val="00900DEE"/>
    <w:rsid w:val="009104DF"/>
    <w:rsid w:val="00910872"/>
    <w:rsid w:val="00911CB2"/>
    <w:rsid w:val="00923EA4"/>
    <w:rsid w:val="00924579"/>
    <w:rsid w:val="009256EE"/>
    <w:rsid w:val="00936C16"/>
    <w:rsid w:val="00936D2C"/>
    <w:rsid w:val="0094184C"/>
    <w:rsid w:val="00941D23"/>
    <w:rsid w:val="00954EB3"/>
    <w:rsid w:val="00955CFE"/>
    <w:rsid w:val="00966CEB"/>
    <w:rsid w:val="009679CF"/>
    <w:rsid w:val="00977DF8"/>
    <w:rsid w:val="00981CC4"/>
    <w:rsid w:val="00984949"/>
    <w:rsid w:val="00984F2A"/>
    <w:rsid w:val="009868A8"/>
    <w:rsid w:val="00986D31"/>
    <w:rsid w:val="00992BA2"/>
    <w:rsid w:val="009944C8"/>
    <w:rsid w:val="00994B24"/>
    <w:rsid w:val="009A127C"/>
    <w:rsid w:val="009A496D"/>
    <w:rsid w:val="009A4AED"/>
    <w:rsid w:val="009B024D"/>
    <w:rsid w:val="009B03E3"/>
    <w:rsid w:val="009B454C"/>
    <w:rsid w:val="009C3B5E"/>
    <w:rsid w:val="009C476A"/>
    <w:rsid w:val="009C6E15"/>
    <w:rsid w:val="009D1120"/>
    <w:rsid w:val="009E3A89"/>
    <w:rsid w:val="009E5987"/>
    <w:rsid w:val="00A04494"/>
    <w:rsid w:val="00A13321"/>
    <w:rsid w:val="00A250D6"/>
    <w:rsid w:val="00A3479D"/>
    <w:rsid w:val="00A35033"/>
    <w:rsid w:val="00A51CDC"/>
    <w:rsid w:val="00A602E8"/>
    <w:rsid w:val="00A63DCB"/>
    <w:rsid w:val="00A64C65"/>
    <w:rsid w:val="00A67B95"/>
    <w:rsid w:val="00A7585A"/>
    <w:rsid w:val="00A77553"/>
    <w:rsid w:val="00A82555"/>
    <w:rsid w:val="00A82906"/>
    <w:rsid w:val="00A861A4"/>
    <w:rsid w:val="00A870D6"/>
    <w:rsid w:val="00A9280E"/>
    <w:rsid w:val="00AA320A"/>
    <w:rsid w:val="00AA4D59"/>
    <w:rsid w:val="00AA74E5"/>
    <w:rsid w:val="00AC31A8"/>
    <w:rsid w:val="00AD0CEA"/>
    <w:rsid w:val="00AD39A6"/>
    <w:rsid w:val="00AE2692"/>
    <w:rsid w:val="00AF6A76"/>
    <w:rsid w:val="00B01571"/>
    <w:rsid w:val="00B02107"/>
    <w:rsid w:val="00B0588B"/>
    <w:rsid w:val="00B1179E"/>
    <w:rsid w:val="00B14D65"/>
    <w:rsid w:val="00B15F3B"/>
    <w:rsid w:val="00B21382"/>
    <w:rsid w:val="00B21914"/>
    <w:rsid w:val="00B2322F"/>
    <w:rsid w:val="00B23B5A"/>
    <w:rsid w:val="00B258C3"/>
    <w:rsid w:val="00B4171D"/>
    <w:rsid w:val="00B418A6"/>
    <w:rsid w:val="00B44A61"/>
    <w:rsid w:val="00B44A70"/>
    <w:rsid w:val="00B46CA8"/>
    <w:rsid w:val="00B47656"/>
    <w:rsid w:val="00B54845"/>
    <w:rsid w:val="00B56ABB"/>
    <w:rsid w:val="00B65437"/>
    <w:rsid w:val="00B70360"/>
    <w:rsid w:val="00B7576C"/>
    <w:rsid w:val="00B76368"/>
    <w:rsid w:val="00B94111"/>
    <w:rsid w:val="00B971C8"/>
    <w:rsid w:val="00BA1270"/>
    <w:rsid w:val="00BB1F42"/>
    <w:rsid w:val="00BB29BA"/>
    <w:rsid w:val="00BB35E9"/>
    <w:rsid w:val="00BC1C7D"/>
    <w:rsid w:val="00BC6E03"/>
    <w:rsid w:val="00BD333A"/>
    <w:rsid w:val="00BE0BE9"/>
    <w:rsid w:val="00BF1B6B"/>
    <w:rsid w:val="00BF68B3"/>
    <w:rsid w:val="00C03D41"/>
    <w:rsid w:val="00C0623C"/>
    <w:rsid w:val="00C12AC8"/>
    <w:rsid w:val="00C26415"/>
    <w:rsid w:val="00C33E09"/>
    <w:rsid w:val="00C358A6"/>
    <w:rsid w:val="00C371CC"/>
    <w:rsid w:val="00C37DC0"/>
    <w:rsid w:val="00C434F5"/>
    <w:rsid w:val="00C45645"/>
    <w:rsid w:val="00C470A3"/>
    <w:rsid w:val="00C55332"/>
    <w:rsid w:val="00C56287"/>
    <w:rsid w:val="00C57AF2"/>
    <w:rsid w:val="00C61610"/>
    <w:rsid w:val="00C61B48"/>
    <w:rsid w:val="00C6493C"/>
    <w:rsid w:val="00C71DCC"/>
    <w:rsid w:val="00C8128B"/>
    <w:rsid w:val="00C85784"/>
    <w:rsid w:val="00CA232A"/>
    <w:rsid w:val="00CB03AE"/>
    <w:rsid w:val="00CB5194"/>
    <w:rsid w:val="00CB6F7C"/>
    <w:rsid w:val="00CC1990"/>
    <w:rsid w:val="00CC58D5"/>
    <w:rsid w:val="00CD178B"/>
    <w:rsid w:val="00CE0CFA"/>
    <w:rsid w:val="00CE2451"/>
    <w:rsid w:val="00CE36EF"/>
    <w:rsid w:val="00CF4D8B"/>
    <w:rsid w:val="00CF7718"/>
    <w:rsid w:val="00D052B1"/>
    <w:rsid w:val="00D11E91"/>
    <w:rsid w:val="00D14544"/>
    <w:rsid w:val="00D16CAF"/>
    <w:rsid w:val="00D23CB4"/>
    <w:rsid w:val="00D242AE"/>
    <w:rsid w:val="00D310FD"/>
    <w:rsid w:val="00D3148F"/>
    <w:rsid w:val="00D34B35"/>
    <w:rsid w:val="00D34E36"/>
    <w:rsid w:val="00D37356"/>
    <w:rsid w:val="00D40328"/>
    <w:rsid w:val="00D557AD"/>
    <w:rsid w:val="00D62542"/>
    <w:rsid w:val="00D71F36"/>
    <w:rsid w:val="00D76BA6"/>
    <w:rsid w:val="00D77F76"/>
    <w:rsid w:val="00D8103A"/>
    <w:rsid w:val="00D840FD"/>
    <w:rsid w:val="00D874B6"/>
    <w:rsid w:val="00D90D98"/>
    <w:rsid w:val="00D91F41"/>
    <w:rsid w:val="00D92746"/>
    <w:rsid w:val="00D9777E"/>
    <w:rsid w:val="00DA33F3"/>
    <w:rsid w:val="00DB4BA2"/>
    <w:rsid w:val="00DB782F"/>
    <w:rsid w:val="00DC007B"/>
    <w:rsid w:val="00DC0880"/>
    <w:rsid w:val="00DC7CAF"/>
    <w:rsid w:val="00DD2D21"/>
    <w:rsid w:val="00DD5B56"/>
    <w:rsid w:val="00DD7258"/>
    <w:rsid w:val="00DE0712"/>
    <w:rsid w:val="00DE5138"/>
    <w:rsid w:val="00DE57FA"/>
    <w:rsid w:val="00DF29E6"/>
    <w:rsid w:val="00E057F2"/>
    <w:rsid w:val="00E232D7"/>
    <w:rsid w:val="00E35FC8"/>
    <w:rsid w:val="00E40381"/>
    <w:rsid w:val="00E4234F"/>
    <w:rsid w:val="00E4305A"/>
    <w:rsid w:val="00E43405"/>
    <w:rsid w:val="00E434E1"/>
    <w:rsid w:val="00E527F5"/>
    <w:rsid w:val="00E712EE"/>
    <w:rsid w:val="00E763AB"/>
    <w:rsid w:val="00E76C6B"/>
    <w:rsid w:val="00E939A0"/>
    <w:rsid w:val="00E95424"/>
    <w:rsid w:val="00EA3B4D"/>
    <w:rsid w:val="00EB21D5"/>
    <w:rsid w:val="00EB3C3D"/>
    <w:rsid w:val="00EB6F07"/>
    <w:rsid w:val="00EC6B26"/>
    <w:rsid w:val="00EE50E8"/>
    <w:rsid w:val="00EF1F00"/>
    <w:rsid w:val="00EF4EAD"/>
    <w:rsid w:val="00F06129"/>
    <w:rsid w:val="00F11CE1"/>
    <w:rsid w:val="00F12B31"/>
    <w:rsid w:val="00F1727E"/>
    <w:rsid w:val="00F17E91"/>
    <w:rsid w:val="00F22F68"/>
    <w:rsid w:val="00F266F9"/>
    <w:rsid w:val="00F26718"/>
    <w:rsid w:val="00F33E51"/>
    <w:rsid w:val="00F353AC"/>
    <w:rsid w:val="00F3649F"/>
    <w:rsid w:val="00F375D6"/>
    <w:rsid w:val="00F420F9"/>
    <w:rsid w:val="00F518AD"/>
    <w:rsid w:val="00F55229"/>
    <w:rsid w:val="00F56A1C"/>
    <w:rsid w:val="00F60449"/>
    <w:rsid w:val="00F66416"/>
    <w:rsid w:val="00F75EC1"/>
    <w:rsid w:val="00F77ECC"/>
    <w:rsid w:val="00F82919"/>
    <w:rsid w:val="00F872AD"/>
    <w:rsid w:val="00FB754E"/>
    <w:rsid w:val="00FC1186"/>
    <w:rsid w:val="00FC2A7A"/>
    <w:rsid w:val="00FC76B9"/>
    <w:rsid w:val="00FD0817"/>
    <w:rsid w:val="00FD1276"/>
    <w:rsid w:val="00FD24F6"/>
    <w:rsid w:val="00FD6042"/>
    <w:rsid w:val="00FE0C2F"/>
    <w:rsid w:val="00FE6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F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E9"/>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0254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1224" w:themeColor="text2"/>
    </w:rPr>
  </w:style>
  <w:style w:type="paragraph" w:styleId="Heading6">
    <w:name w:val="heading 6"/>
    <w:basedOn w:val="Normal"/>
    <w:next w:val="Normal"/>
    <w:link w:val="Heading6Char"/>
    <w:uiPriority w:val="9"/>
    <w:unhideWhenUsed/>
    <w:qFormat/>
    <w:rsid w:val="00B56ABB"/>
    <w:pPr>
      <w:keepNext/>
      <w:keepLines/>
      <w:spacing w:before="40"/>
      <w:outlineLvl w:val="5"/>
    </w:pPr>
    <w:rPr>
      <w:rFonts w:asciiTheme="majorHAnsi" w:eastAsiaTheme="majorEastAsia" w:hAnsiTheme="majorHAnsi" w:cstheme="majorBidi"/>
      <w:i/>
      <w:iCs/>
      <w:caps/>
      <w:color w:val="00122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22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22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2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2"/>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2"/>
      </w:numPr>
      <w:spacing w:before="0" w:after="0"/>
      <w:ind w:left="1446"/>
      <w:contextualSpacing/>
    </w:pPr>
  </w:style>
  <w:style w:type="paragraph" w:styleId="ListBullet">
    <w:name w:val="List Bullet"/>
    <w:basedOn w:val="Normal"/>
    <w:uiPriority w:val="99"/>
    <w:unhideWhenUsed/>
    <w:rsid w:val="005B5DD8"/>
    <w:pPr>
      <w:numPr>
        <w:numId w:val="22"/>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254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1224"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1224" w:themeColor="text2"/>
      <w:spacing w:val="-6"/>
      <w:sz w:val="28"/>
      <w:szCs w:val="32"/>
    </w:rPr>
  </w:style>
  <w:style w:type="paragraph" w:styleId="ListParagraph">
    <w:name w:val="List Paragraph"/>
    <w:basedOn w:val="Normal"/>
    <w:uiPriority w:val="1"/>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1224" w:themeColor="text2"/>
      <w:sz w:val="24"/>
    </w:rPr>
  </w:style>
  <w:style w:type="character" w:customStyle="1" w:styleId="Heading6Char">
    <w:name w:val="Heading 6 Char"/>
    <w:basedOn w:val="DefaultParagraphFont"/>
    <w:link w:val="Heading6"/>
    <w:uiPriority w:val="9"/>
    <w:rsid w:val="00B56ABB"/>
    <w:rPr>
      <w:rFonts w:asciiTheme="majorHAnsi" w:eastAsiaTheme="majorEastAsia" w:hAnsiTheme="majorHAnsi" w:cstheme="majorBidi"/>
      <w:i/>
      <w:iCs/>
      <w:caps/>
      <w:color w:val="00122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22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22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224"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EA3B4D"/>
    <w:pPr>
      <w:numPr>
        <w:ilvl w:val="1"/>
      </w:numPr>
      <w:spacing w:before="0" w:after="480" w:line="520" w:lineRule="atLeast"/>
    </w:pPr>
    <w:rPr>
      <w:rFonts w:eastAsiaTheme="majorEastAsia" w:cstheme="majorBidi"/>
      <w:color w:val="004180" w:themeColor="accent2"/>
      <w:sz w:val="44"/>
      <w:szCs w:val="28"/>
    </w:rPr>
  </w:style>
  <w:style w:type="character" w:customStyle="1" w:styleId="SubtitleChar">
    <w:name w:val="Subtitle Char"/>
    <w:basedOn w:val="DefaultParagraphFont"/>
    <w:link w:val="Subtitle"/>
    <w:uiPriority w:val="8"/>
    <w:rsid w:val="00EA3B4D"/>
    <w:rPr>
      <w:rFonts w:ascii="Arial" w:eastAsiaTheme="majorEastAsia" w:hAnsi="Arial" w:cstheme="majorBidi"/>
      <w:color w:val="004180" w:themeColor="accent2"/>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1224" w:themeColor="text2"/>
      <w:szCs w:val="24"/>
    </w:rPr>
  </w:style>
  <w:style w:type="character" w:customStyle="1" w:styleId="QuoteChar">
    <w:name w:val="Quote Char"/>
    <w:basedOn w:val="DefaultParagraphFont"/>
    <w:link w:val="Quote"/>
    <w:uiPriority w:val="29"/>
    <w:rsid w:val="00C6493C"/>
    <w:rPr>
      <w:rFonts w:ascii="Arial" w:hAnsi="Arial"/>
      <w:i/>
      <w:color w:val="001224"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1224"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1224"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0812" w:themeColor="text2" w:themeShade="80"/>
      <w:sz w:val="20"/>
    </w:rPr>
    <w:tblPr>
      <w:tblStyleRowBandSize w:val="1"/>
      <w:tblBorders>
        <w:insideH w:val="dotted" w:sz="4" w:space="0" w:color="002549" w:themeColor="accent1"/>
        <w:insideV w:val="dotted" w:sz="4" w:space="0" w:color="00254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418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EA3B4D"/>
    <w:pPr>
      <w:spacing w:before="0" w:line="240" w:lineRule="auto"/>
      <w:contextualSpacing/>
    </w:pPr>
    <w:rPr>
      <w:rFonts w:asciiTheme="majorHAnsi" w:hAnsiTheme="majorHAnsi"/>
      <w:b/>
      <w:color w:val="005EB8" w:themeColor="accent3"/>
      <w:spacing w:val="-10"/>
      <w:kern w:val="28"/>
      <w:sz w:val="72"/>
      <w:szCs w:val="56"/>
    </w:rPr>
  </w:style>
  <w:style w:type="character" w:customStyle="1" w:styleId="TitleChar">
    <w:name w:val="Title Char"/>
    <w:basedOn w:val="DefaultParagraphFont"/>
    <w:link w:val="Title"/>
    <w:uiPriority w:val="9"/>
    <w:rsid w:val="00EA3B4D"/>
    <w:rPr>
      <w:rFonts w:asciiTheme="majorHAnsi" w:eastAsiaTheme="majorEastAsia" w:hAnsiTheme="majorHAnsi" w:cstheme="majorBidi"/>
      <w:b/>
      <w:color w:val="005EB8" w:themeColor="accent3"/>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2F072D"/>
    <w:pPr>
      <w:tabs>
        <w:tab w:val="right" w:leader="dot" w:pos="9060"/>
      </w:tabs>
      <w:spacing w:before="120" w:after="0"/>
    </w:pPr>
    <w:rPr>
      <w:b/>
      <w:noProof/>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2549" w:themeColor="accent1"/>
        <w:left w:val="single" w:sz="4" w:space="0" w:color="002549" w:themeColor="accent1"/>
        <w:bottom w:val="single" w:sz="4" w:space="0" w:color="002549" w:themeColor="accent1"/>
        <w:right w:val="single" w:sz="4" w:space="0" w:color="002549" w:themeColor="accent1"/>
      </w:tblBorders>
    </w:tblPr>
    <w:tblStylePr w:type="firstRow">
      <w:rPr>
        <w:b/>
        <w:bCs/>
        <w:color w:val="FFFFFF" w:themeColor="background1"/>
      </w:rPr>
      <w:tblPr/>
      <w:tcPr>
        <w:shd w:val="clear" w:color="auto" w:fill="002549" w:themeFill="accent1"/>
      </w:tcPr>
    </w:tblStylePr>
    <w:tblStylePr w:type="lastRow">
      <w:rPr>
        <w:b/>
        <w:bCs/>
      </w:rPr>
      <w:tblPr/>
      <w:tcPr>
        <w:tcBorders>
          <w:top w:val="double" w:sz="4" w:space="0" w:color="0025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49" w:themeColor="accent1"/>
          <w:right w:val="single" w:sz="4" w:space="0" w:color="002549" w:themeColor="accent1"/>
        </w:tcBorders>
      </w:tcPr>
    </w:tblStylePr>
    <w:tblStylePr w:type="band1Horz">
      <w:tblPr/>
      <w:tcPr>
        <w:tcBorders>
          <w:top w:val="single" w:sz="4" w:space="0" w:color="002549" w:themeColor="accent1"/>
          <w:bottom w:val="single" w:sz="4" w:space="0" w:color="0025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49" w:themeColor="accent1"/>
          <w:left w:val="nil"/>
        </w:tcBorders>
      </w:tcPr>
    </w:tblStylePr>
    <w:tblStylePr w:type="swCell">
      <w:tblPr/>
      <w:tcPr>
        <w:tcBorders>
          <w:top w:val="double" w:sz="4" w:space="0" w:color="002549"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0A8FF" w:themeColor="accent1" w:themeTint="66"/>
        <w:left w:val="single" w:sz="4" w:space="0" w:color="50A8FF" w:themeColor="accent1" w:themeTint="66"/>
        <w:bottom w:val="single" w:sz="4" w:space="0" w:color="50A8FF" w:themeColor="accent1" w:themeTint="66"/>
        <w:right w:val="single" w:sz="4" w:space="0" w:color="50A8FF" w:themeColor="accent1" w:themeTint="66"/>
        <w:insideH w:val="single" w:sz="4" w:space="0" w:color="50A8FF" w:themeColor="accent1" w:themeTint="66"/>
        <w:insideV w:val="single" w:sz="4" w:space="0" w:color="50A8FF" w:themeColor="accent1" w:themeTint="66"/>
      </w:tblBorders>
    </w:tblPr>
    <w:tblStylePr w:type="firstRow">
      <w:rPr>
        <w:b/>
        <w:bCs/>
      </w:rPr>
      <w:tblPr/>
      <w:tcPr>
        <w:tcBorders>
          <w:bottom w:val="single" w:sz="12" w:space="0" w:color="007DF7" w:themeColor="accent1" w:themeTint="99"/>
        </w:tcBorders>
      </w:tcPr>
    </w:tblStylePr>
    <w:tblStylePr w:type="lastRow">
      <w:rPr>
        <w:b/>
        <w:bCs/>
      </w:rPr>
      <w:tblPr/>
      <w:tcPr>
        <w:tcBorders>
          <w:top w:val="double" w:sz="2" w:space="0" w:color="007DF7" w:themeColor="accent1" w:themeTint="99"/>
        </w:tcBorders>
      </w:tcPr>
    </w:tblStylePr>
    <w:tblStylePr w:type="firstCol">
      <w:rPr>
        <w:b/>
        <w:bCs/>
      </w:rPr>
    </w:tblStylePr>
    <w:tblStylePr w:type="lastCol">
      <w:rPr>
        <w:b/>
        <w:bCs/>
      </w:rPr>
    </w:tblStylePr>
  </w:style>
  <w:style w:type="paragraph" w:styleId="BodyText">
    <w:name w:val="Body Text"/>
    <w:basedOn w:val="Normal"/>
    <w:next w:val="Normal"/>
    <w:link w:val="BodyTextChar"/>
    <w:unhideWhenUsed/>
    <w:qFormat/>
    <w:rsid w:val="001822AC"/>
    <w:pPr>
      <w:suppressAutoHyphens w:val="0"/>
      <w:spacing w:before="0" w:after="0"/>
    </w:pPr>
    <w:rPr>
      <w:color w:val="auto"/>
    </w:rPr>
  </w:style>
  <w:style w:type="character" w:customStyle="1" w:styleId="BodyTextChar">
    <w:name w:val="Body Text Char"/>
    <w:basedOn w:val="DefaultParagraphFont"/>
    <w:link w:val="BodyText"/>
    <w:rsid w:val="001822AC"/>
    <w:rPr>
      <w:rFonts w:ascii="Arial" w:hAnsi="Arial"/>
      <w:sz w:val="24"/>
    </w:rPr>
  </w:style>
  <w:style w:type="paragraph" w:customStyle="1" w:styleId="Default">
    <w:name w:val="Default"/>
    <w:rsid w:val="00D76BA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C1990"/>
    <w:rPr>
      <w:sz w:val="16"/>
      <w:szCs w:val="16"/>
    </w:rPr>
  </w:style>
  <w:style w:type="paragraph" w:styleId="CommentText">
    <w:name w:val="annotation text"/>
    <w:basedOn w:val="Normal"/>
    <w:link w:val="CommentTextChar"/>
    <w:uiPriority w:val="99"/>
    <w:unhideWhenUsed/>
    <w:rsid w:val="00CC1990"/>
    <w:pPr>
      <w:suppressAutoHyphens w:val="0"/>
      <w:spacing w:before="0" w:after="0" w:line="240" w:lineRule="auto"/>
    </w:pPr>
    <w:rPr>
      <w:rFonts w:cs="Arial"/>
      <w:color w:val="auto"/>
      <w:sz w:val="20"/>
      <w:szCs w:val="20"/>
      <w14:ligatures w14:val="standardContextual"/>
    </w:rPr>
  </w:style>
  <w:style w:type="character" w:customStyle="1" w:styleId="CommentTextChar">
    <w:name w:val="Comment Text Char"/>
    <w:basedOn w:val="DefaultParagraphFont"/>
    <w:link w:val="CommentText"/>
    <w:uiPriority w:val="99"/>
    <w:rsid w:val="00CC1990"/>
    <w:rPr>
      <w:rFonts w:ascii="Arial" w:hAnsi="Arial" w:cs="Arial"/>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06AC5"/>
    <w:pPr>
      <w:suppressAutoHyphens/>
      <w:spacing w:before="160" w:after="240"/>
    </w:pPr>
    <w:rPr>
      <w:rFonts w:cstheme="minorBidi"/>
      <w:b/>
      <w:bCs/>
      <w:color w:val="2F2F2F" w:themeColor="text1" w:themeTint="E6"/>
      <w14:ligatures w14:val="none"/>
    </w:rPr>
  </w:style>
  <w:style w:type="character" w:customStyle="1" w:styleId="CommentSubjectChar">
    <w:name w:val="Comment Subject Char"/>
    <w:basedOn w:val="CommentTextChar"/>
    <w:link w:val="CommentSubject"/>
    <w:uiPriority w:val="99"/>
    <w:semiHidden/>
    <w:rsid w:val="00706AC5"/>
    <w:rPr>
      <w:rFonts w:ascii="Arial" w:hAnsi="Arial" w:cs="Arial"/>
      <w:b/>
      <w:bCs/>
      <w:color w:val="2F2F2F" w:themeColor="text1" w:themeTint="E6"/>
      <w:sz w:val="20"/>
      <w:szCs w:val="20"/>
      <w14:ligatures w14:val="standardContextual"/>
    </w:rPr>
  </w:style>
  <w:style w:type="paragraph" w:styleId="Revision">
    <w:name w:val="Revision"/>
    <w:hidden/>
    <w:uiPriority w:val="99"/>
    <w:semiHidden/>
    <w:rsid w:val="00813ABC"/>
    <w:pPr>
      <w:spacing w:after="0" w:line="240" w:lineRule="auto"/>
    </w:pPr>
    <w:rPr>
      <w:rFonts w:ascii="Arial" w:hAnsi="Arial"/>
      <w:color w:val="2F2F2F" w:themeColor="text1" w:themeTint="E6"/>
      <w:sz w:val="24"/>
    </w:rPr>
  </w:style>
  <w:style w:type="paragraph" w:styleId="FootnoteText">
    <w:name w:val="footnote text"/>
    <w:basedOn w:val="Normal"/>
    <w:link w:val="FootnoteTextChar"/>
    <w:uiPriority w:val="99"/>
    <w:semiHidden/>
    <w:unhideWhenUsed/>
    <w:rsid w:val="001D71B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D71B3"/>
    <w:rPr>
      <w:rFonts w:ascii="Arial" w:hAnsi="Arial"/>
      <w:color w:val="2F2F2F" w:themeColor="text1" w:themeTint="E6"/>
      <w:sz w:val="20"/>
      <w:szCs w:val="20"/>
    </w:rPr>
  </w:style>
  <w:style w:type="character" w:styleId="FootnoteReference">
    <w:name w:val="footnote reference"/>
    <w:basedOn w:val="DefaultParagraphFont"/>
    <w:uiPriority w:val="99"/>
    <w:semiHidden/>
    <w:unhideWhenUsed/>
    <w:rsid w:val="001D7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80757677">
      <w:bodyDiv w:val="1"/>
      <w:marLeft w:val="0"/>
      <w:marRight w:val="0"/>
      <w:marTop w:val="0"/>
      <w:marBottom w:val="0"/>
      <w:divBdr>
        <w:top w:val="none" w:sz="0" w:space="0" w:color="auto"/>
        <w:left w:val="none" w:sz="0" w:space="0" w:color="auto"/>
        <w:bottom w:val="none" w:sz="0" w:space="0" w:color="auto"/>
        <w:right w:val="none" w:sz="0" w:space="0" w:color="auto"/>
      </w:divBdr>
    </w:div>
    <w:div w:id="89741677">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275989873">
      <w:bodyDiv w:val="1"/>
      <w:marLeft w:val="0"/>
      <w:marRight w:val="0"/>
      <w:marTop w:val="0"/>
      <w:marBottom w:val="0"/>
      <w:divBdr>
        <w:top w:val="none" w:sz="0" w:space="0" w:color="auto"/>
        <w:left w:val="none" w:sz="0" w:space="0" w:color="auto"/>
        <w:bottom w:val="none" w:sz="0" w:space="0" w:color="auto"/>
        <w:right w:val="none" w:sz="0" w:space="0" w:color="auto"/>
      </w:divBdr>
    </w:div>
    <w:div w:id="393549862">
      <w:bodyDiv w:val="1"/>
      <w:marLeft w:val="0"/>
      <w:marRight w:val="0"/>
      <w:marTop w:val="0"/>
      <w:marBottom w:val="0"/>
      <w:divBdr>
        <w:top w:val="none" w:sz="0" w:space="0" w:color="auto"/>
        <w:left w:val="none" w:sz="0" w:space="0" w:color="auto"/>
        <w:bottom w:val="none" w:sz="0" w:space="0" w:color="auto"/>
        <w:right w:val="none" w:sz="0" w:space="0" w:color="auto"/>
      </w:divBdr>
    </w:div>
    <w:div w:id="467091416">
      <w:bodyDiv w:val="1"/>
      <w:marLeft w:val="0"/>
      <w:marRight w:val="0"/>
      <w:marTop w:val="0"/>
      <w:marBottom w:val="0"/>
      <w:divBdr>
        <w:top w:val="none" w:sz="0" w:space="0" w:color="auto"/>
        <w:left w:val="none" w:sz="0" w:space="0" w:color="auto"/>
        <w:bottom w:val="none" w:sz="0" w:space="0" w:color="auto"/>
        <w:right w:val="none" w:sz="0" w:space="0" w:color="auto"/>
      </w:divBdr>
    </w:div>
    <w:div w:id="547450152">
      <w:bodyDiv w:val="1"/>
      <w:marLeft w:val="0"/>
      <w:marRight w:val="0"/>
      <w:marTop w:val="0"/>
      <w:marBottom w:val="0"/>
      <w:divBdr>
        <w:top w:val="none" w:sz="0" w:space="0" w:color="auto"/>
        <w:left w:val="none" w:sz="0" w:space="0" w:color="auto"/>
        <w:bottom w:val="none" w:sz="0" w:space="0" w:color="auto"/>
        <w:right w:val="none" w:sz="0" w:space="0" w:color="auto"/>
      </w:divBdr>
    </w:div>
    <w:div w:id="611326646">
      <w:bodyDiv w:val="1"/>
      <w:marLeft w:val="0"/>
      <w:marRight w:val="0"/>
      <w:marTop w:val="0"/>
      <w:marBottom w:val="0"/>
      <w:divBdr>
        <w:top w:val="none" w:sz="0" w:space="0" w:color="auto"/>
        <w:left w:val="none" w:sz="0" w:space="0" w:color="auto"/>
        <w:bottom w:val="none" w:sz="0" w:space="0" w:color="auto"/>
        <w:right w:val="none" w:sz="0" w:space="0" w:color="auto"/>
      </w:divBdr>
    </w:div>
    <w:div w:id="72838651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914513448">
      <w:bodyDiv w:val="1"/>
      <w:marLeft w:val="0"/>
      <w:marRight w:val="0"/>
      <w:marTop w:val="0"/>
      <w:marBottom w:val="0"/>
      <w:divBdr>
        <w:top w:val="none" w:sz="0" w:space="0" w:color="auto"/>
        <w:left w:val="none" w:sz="0" w:space="0" w:color="auto"/>
        <w:bottom w:val="none" w:sz="0" w:space="0" w:color="auto"/>
        <w:right w:val="none" w:sz="0" w:space="0" w:color="auto"/>
      </w:divBdr>
    </w:div>
    <w:div w:id="986739751">
      <w:bodyDiv w:val="1"/>
      <w:marLeft w:val="0"/>
      <w:marRight w:val="0"/>
      <w:marTop w:val="0"/>
      <w:marBottom w:val="0"/>
      <w:divBdr>
        <w:top w:val="none" w:sz="0" w:space="0" w:color="auto"/>
        <w:left w:val="none" w:sz="0" w:space="0" w:color="auto"/>
        <w:bottom w:val="none" w:sz="0" w:space="0" w:color="auto"/>
        <w:right w:val="none" w:sz="0" w:space="0" w:color="auto"/>
      </w:divBdr>
    </w:div>
    <w:div w:id="1032072282">
      <w:bodyDiv w:val="1"/>
      <w:marLeft w:val="0"/>
      <w:marRight w:val="0"/>
      <w:marTop w:val="0"/>
      <w:marBottom w:val="0"/>
      <w:divBdr>
        <w:top w:val="none" w:sz="0" w:space="0" w:color="auto"/>
        <w:left w:val="none" w:sz="0" w:space="0" w:color="auto"/>
        <w:bottom w:val="none" w:sz="0" w:space="0" w:color="auto"/>
        <w:right w:val="none" w:sz="0" w:space="0" w:color="auto"/>
      </w:divBdr>
    </w:div>
    <w:div w:id="1291936207">
      <w:bodyDiv w:val="1"/>
      <w:marLeft w:val="0"/>
      <w:marRight w:val="0"/>
      <w:marTop w:val="0"/>
      <w:marBottom w:val="0"/>
      <w:divBdr>
        <w:top w:val="none" w:sz="0" w:space="0" w:color="auto"/>
        <w:left w:val="none" w:sz="0" w:space="0" w:color="auto"/>
        <w:bottom w:val="none" w:sz="0" w:space="0" w:color="auto"/>
        <w:right w:val="none" w:sz="0" w:space="0" w:color="auto"/>
      </w:divBdr>
    </w:div>
    <w:div w:id="1348747403">
      <w:bodyDiv w:val="1"/>
      <w:marLeft w:val="0"/>
      <w:marRight w:val="0"/>
      <w:marTop w:val="0"/>
      <w:marBottom w:val="0"/>
      <w:divBdr>
        <w:top w:val="none" w:sz="0" w:space="0" w:color="auto"/>
        <w:left w:val="none" w:sz="0" w:space="0" w:color="auto"/>
        <w:bottom w:val="none" w:sz="0" w:space="0" w:color="auto"/>
        <w:right w:val="none" w:sz="0" w:space="0" w:color="auto"/>
      </w:divBdr>
    </w:div>
    <w:div w:id="1357005689">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546914129">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 w:id="2124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Whole-of-Government">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4057</Words>
  <Characters>23131</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 Performance Framework 2024-25</dc:title>
  <dc:subject/>
  <dc:creator/>
  <cp:keywords/>
  <dc:description/>
  <cp:lastModifiedBy/>
  <cp:revision>1</cp:revision>
  <dcterms:created xsi:type="dcterms:W3CDTF">2025-12-23T01:46:00Z</dcterms:created>
  <dcterms:modified xsi:type="dcterms:W3CDTF">2025-12-23T01:47:00Z</dcterms:modified>
</cp:coreProperties>
</file>