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46162" w14:textId="3CEF609C" w:rsidR="00503DCA" w:rsidRPr="00DF5CC6" w:rsidRDefault="00734559" w:rsidP="00502DF7">
      <w:pPr>
        <w:pStyle w:val="BodyText"/>
        <w:rPr>
          <w:rFonts w:ascii="Aptos" w:hAnsi="Aptos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1" layoutInCell="1" allowOverlap="1" wp14:anchorId="465A1664" wp14:editId="034CCCA3">
            <wp:simplePos x="0" y="0"/>
            <wp:positionH relativeFrom="margin">
              <wp:posOffset>-552450</wp:posOffset>
            </wp:positionH>
            <wp:positionV relativeFrom="margin">
              <wp:posOffset>-724535</wp:posOffset>
            </wp:positionV>
            <wp:extent cx="7558405" cy="1104900"/>
            <wp:effectExtent l="0" t="0" r="4445" b="0"/>
            <wp:wrapNone/>
            <wp:docPr id="1469118309" name="Picture 146911830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118309" name="Picture 146911830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9661"/>
                    <a:stretch/>
                  </pic:blipFill>
                  <pic:spPr bwMode="auto">
                    <a:xfrm>
                      <a:off x="0" y="0"/>
                      <a:ext cx="7558405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FCF932" w14:textId="77777777" w:rsidR="002623DD" w:rsidRPr="00DF5CC6" w:rsidRDefault="002623DD" w:rsidP="00C04C9C">
      <w:pPr>
        <w:pStyle w:val="BodyText"/>
        <w:spacing w:after="0" w:line="240" w:lineRule="atLeast"/>
        <w:rPr>
          <w:rFonts w:ascii="Aptos" w:hAnsi="Aptos"/>
          <w:b/>
          <w:bCs/>
          <w:sz w:val="14"/>
          <w:szCs w:val="14"/>
        </w:rPr>
      </w:pPr>
    </w:p>
    <w:p w14:paraId="4CCE8B1C" w14:textId="56ACF9A8" w:rsidR="00E02244" w:rsidRPr="00DF5CC6" w:rsidRDefault="001A6911" w:rsidP="00E02244">
      <w:pPr>
        <w:pStyle w:val="BodyText"/>
        <w:rPr>
          <w:rFonts w:ascii="Aptos" w:hAnsi="Aptos"/>
          <w:b/>
          <w:bCs/>
          <w:sz w:val="32"/>
          <w:szCs w:val="32"/>
        </w:rPr>
      </w:pPr>
      <w:r w:rsidRPr="00DF5CC6">
        <w:rPr>
          <w:rFonts w:ascii="Aptos" w:hAnsi="Aptos"/>
          <w:b/>
          <w:bCs/>
          <w:sz w:val="32"/>
          <w:szCs w:val="32"/>
        </w:rPr>
        <w:t xml:space="preserve">TMR Strategic Plan </w:t>
      </w:r>
      <w:r w:rsidR="00B94916" w:rsidRPr="00DF5CC6">
        <w:rPr>
          <w:rFonts w:ascii="Aptos" w:hAnsi="Aptos"/>
          <w:b/>
          <w:bCs/>
          <w:sz w:val="32"/>
          <w:szCs w:val="32"/>
        </w:rPr>
        <w:t>Measures</w:t>
      </w:r>
      <w:r w:rsidR="004119D7" w:rsidRPr="00DF5CC6">
        <w:rPr>
          <w:rFonts w:ascii="Aptos" w:hAnsi="Aptos"/>
          <w:b/>
          <w:bCs/>
          <w:sz w:val="32"/>
          <w:szCs w:val="32"/>
        </w:rPr>
        <w:t xml:space="preserve"> </w:t>
      </w:r>
      <w:r w:rsidRPr="00DF5CC6">
        <w:rPr>
          <w:rFonts w:ascii="Aptos" w:hAnsi="Aptos"/>
          <w:b/>
          <w:bCs/>
          <w:sz w:val="32"/>
          <w:szCs w:val="32"/>
        </w:rPr>
        <w:t>202</w:t>
      </w:r>
      <w:r w:rsidR="00F91551">
        <w:rPr>
          <w:rFonts w:ascii="Aptos" w:hAnsi="Aptos"/>
          <w:b/>
          <w:bCs/>
          <w:sz w:val="32"/>
          <w:szCs w:val="32"/>
        </w:rPr>
        <w:t>5-26</w:t>
      </w:r>
      <w:r w:rsidR="00E02244" w:rsidRPr="00DF5CC6">
        <w:rPr>
          <w:rFonts w:ascii="Aptos" w:hAnsi="Aptos"/>
          <w:b/>
          <w:bCs/>
          <w:sz w:val="32"/>
          <w:szCs w:val="32"/>
        </w:rPr>
        <w:t xml:space="preserve"> </w:t>
      </w:r>
    </w:p>
    <w:p w14:paraId="6E3ACBA6" w14:textId="4FD56F00" w:rsidR="002623DD" w:rsidRPr="00DF5CC6" w:rsidRDefault="002623DD" w:rsidP="00502DF7">
      <w:pPr>
        <w:pStyle w:val="BodyText"/>
        <w:rPr>
          <w:rFonts w:ascii="Aptos" w:hAnsi="Aptos"/>
          <w:b/>
          <w:bCs/>
        </w:rPr>
      </w:pPr>
    </w:p>
    <w:p w14:paraId="54D8820B" w14:textId="25A8BFA0" w:rsidR="00502DF7" w:rsidRPr="00DF5CC6" w:rsidRDefault="00502DF7" w:rsidP="00502DF7">
      <w:pPr>
        <w:pStyle w:val="BodyText"/>
        <w:numPr>
          <w:ilvl w:val="0"/>
          <w:numId w:val="12"/>
        </w:numPr>
        <w:rPr>
          <w:rFonts w:ascii="Aptos" w:hAnsi="Aptos"/>
          <w:b/>
          <w:bCs/>
          <w:color w:val="1F4E79" w:themeColor="accent5" w:themeShade="80"/>
        </w:rPr>
      </w:pPr>
      <w:r w:rsidRPr="00DF5CC6">
        <w:rPr>
          <w:rFonts w:ascii="Aptos" w:hAnsi="Aptos"/>
          <w:b/>
          <w:bCs/>
          <w:color w:val="1F4E79" w:themeColor="accent5" w:themeShade="80"/>
          <w:sz w:val="28"/>
          <w:szCs w:val="28"/>
        </w:rPr>
        <w:t>Accessible and integrated: A transport system that is accessible and connects customers and communities</w:t>
      </w:r>
    </w:p>
    <w:tbl>
      <w:tblPr>
        <w:tblStyle w:val="TableGrid"/>
        <w:tblW w:w="10598" w:type="dxa"/>
        <w:tblInd w:w="-11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6520"/>
        <w:gridCol w:w="1276"/>
      </w:tblGrid>
      <w:tr w:rsidR="00C70C1A" w:rsidRPr="00DF5CC6" w14:paraId="4090D1D6" w14:textId="77777777" w:rsidTr="00C70C1A">
        <w:trPr>
          <w:trHeight w:val="737"/>
          <w:tblHeader/>
        </w:trPr>
        <w:tc>
          <w:tcPr>
            <w:tcW w:w="2802" w:type="dxa"/>
            <w:tcBorders>
              <w:bottom w:val="single" w:sz="4" w:space="0" w:color="BFBFBF" w:themeColor="background1" w:themeShade="BF"/>
            </w:tcBorders>
            <w:shd w:val="clear" w:color="auto" w:fill="1F4E79" w:themeFill="accent5" w:themeFillShade="80"/>
            <w:vAlign w:val="center"/>
          </w:tcPr>
          <w:p w14:paraId="37AAF500" w14:textId="77777777" w:rsidR="00C70C1A" w:rsidRPr="00DF5CC6" w:rsidRDefault="00C70C1A">
            <w:pPr>
              <w:pStyle w:val="TableParagraph"/>
              <w:spacing w:before="0"/>
              <w:ind w:left="0"/>
              <w:rPr>
                <w:rFonts w:ascii="Aptos" w:hAnsi="Aptos" w:cs="Arial"/>
                <w:b/>
                <w:bCs/>
                <w:color w:val="FFFFFF"/>
                <w:sz w:val="22"/>
                <w:szCs w:val="22"/>
                <w:lang w:val="en-AU"/>
              </w:rPr>
            </w:pPr>
            <w:r w:rsidRPr="00DF5CC6">
              <w:rPr>
                <w:rFonts w:ascii="Aptos" w:hAnsi="Aptos" w:cs="Arial"/>
                <w:b/>
                <w:bCs/>
                <w:color w:val="FFFFFF"/>
                <w:sz w:val="22"/>
                <w:szCs w:val="22"/>
                <w:lang w:val="en-AU"/>
              </w:rPr>
              <w:t>Performance indicator</w:t>
            </w:r>
          </w:p>
        </w:tc>
        <w:tc>
          <w:tcPr>
            <w:tcW w:w="6520" w:type="dxa"/>
            <w:shd w:val="clear" w:color="auto" w:fill="1F4E79" w:themeFill="accent5" w:themeFillShade="80"/>
            <w:vAlign w:val="center"/>
          </w:tcPr>
          <w:p w14:paraId="3485D838" w14:textId="4A449525" w:rsidR="00C70C1A" w:rsidRPr="00DF5CC6" w:rsidRDefault="00C70C1A">
            <w:pPr>
              <w:pStyle w:val="Tableheadings"/>
              <w:widowControl w:val="0"/>
              <w:autoSpaceDE w:val="0"/>
              <w:autoSpaceDN w:val="0"/>
              <w:spacing w:line="240" w:lineRule="auto"/>
              <w:rPr>
                <w:rFonts w:ascii="Aptos" w:hAnsi="Aptos" w:cs="Arial"/>
                <w:b w:val="0"/>
                <w:sz w:val="22"/>
                <w:szCs w:val="22"/>
                <w:lang w:val="en-AU"/>
              </w:rPr>
            </w:pPr>
            <w:r w:rsidRPr="00DF5CC6">
              <w:rPr>
                <w:rFonts w:ascii="Aptos" w:hAnsi="Aptos" w:cs="Arial"/>
                <w:sz w:val="22"/>
                <w:szCs w:val="22"/>
                <w:lang w:val="en-AU"/>
              </w:rPr>
              <w:t>Strategic measures</w:t>
            </w:r>
          </w:p>
        </w:tc>
        <w:tc>
          <w:tcPr>
            <w:tcW w:w="1276" w:type="dxa"/>
            <w:shd w:val="clear" w:color="auto" w:fill="1F4E79" w:themeFill="accent5" w:themeFillShade="80"/>
            <w:vAlign w:val="center"/>
          </w:tcPr>
          <w:p w14:paraId="4B46A082" w14:textId="5B276B16" w:rsidR="00C70C1A" w:rsidRPr="00DF5CC6" w:rsidRDefault="00C70C1A">
            <w:pPr>
              <w:pStyle w:val="TableParagraph"/>
              <w:spacing w:before="0"/>
              <w:ind w:left="0"/>
              <w:rPr>
                <w:rFonts w:ascii="Aptos" w:hAnsi="Aptos" w:cs="Arial"/>
                <w:b/>
                <w:bCs/>
                <w:color w:val="FFFFFF"/>
                <w:sz w:val="22"/>
                <w:szCs w:val="22"/>
                <w:lang w:val="en-AU"/>
              </w:rPr>
            </w:pPr>
            <w:r w:rsidRPr="00DF5CC6">
              <w:rPr>
                <w:rFonts w:ascii="Aptos" w:hAnsi="Aptos" w:cs="Arial"/>
                <w:b/>
                <w:bCs/>
                <w:color w:val="FFFFFF"/>
                <w:sz w:val="22"/>
                <w:szCs w:val="22"/>
                <w:lang w:val="en-AU"/>
              </w:rPr>
              <w:t>Frequency</w:t>
            </w:r>
          </w:p>
        </w:tc>
      </w:tr>
      <w:tr w:rsidR="00C70C1A" w:rsidRPr="00DF5CC6" w14:paraId="44FFF480" w14:textId="77777777" w:rsidTr="00C70C1A">
        <w:trPr>
          <w:trHeight w:val="510"/>
        </w:trPr>
        <w:tc>
          <w:tcPr>
            <w:tcW w:w="2802" w:type="dxa"/>
            <w:vMerge w:val="restart"/>
            <w:shd w:val="clear" w:color="auto" w:fill="E6E6E6"/>
          </w:tcPr>
          <w:p w14:paraId="0ECED5BD" w14:textId="743ACE44" w:rsidR="00C70C1A" w:rsidRPr="009E18F6" w:rsidRDefault="00C70C1A" w:rsidP="00780D06">
            <w:pPr>
              <w:pStyle w:val="ListParagraph"/>
              <w:numPr>
                <w:ilvl w:val="0"/>
                <w:numId w:val="13"/>
              </w:numPr>
              <w:rPr>
                <w:rFonts w:ascii="Aptos" w:hAnsi="Aptos"/>
                <w:b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b/>
                <w:sz w:val="22"/>
                <w:szCs w:val="22"/>
                <w:lang w:val="en-AU"/>
              </w:rPr>
              <w:t>Accessible and integrated transport services and infrastructure</w:t>
            </w:r>
          </w:p>
        </w:tc>
        <w:tc>
          <w:tcPr>
            <w:tcW w:w="6520" w:type="dxa"/>
            <w:shd w:val="clear" w:color="auto" w:fill="auto"/>
          </w:tcPr>
          <w:p w14:paraId="2FEA62B7" w14:textId="7D722107" w:rsidR="00C70C1A" w:rsidRPr="009E18F6" w:rsidRDefault="00C70C1A" w:rsidP="009858B8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bCs/>
                <w:sz w:val="22"/>
                <w:szCs w:val="22"/>
                <w:lang w:val="en-AU"/>
              </w:rPr>
              <w:t>Customer experience rating: Accessibility of the stop/station/terminal (</w:t>
            </w:r>
            <w:proofErr w:type="gramStart"/>
            <w:r w:rsidRPr="009E18F6">
              <w:rPr>
                <w:rFonts w:ascii="Aptos" w:hAnsi="Aptos"/>
                <w:bCs/>
                <w:sz w:val="22"/>
                <w:szCs w:val="22"/>
                <w:lang w:val="en-AU"/>
              </w:rPr>
              <w:t>South East</w:t>
            </w:r>
            <w:proofErr w:type="gramEnd"/>
            <w:r w:rsidRPr="009E18F6">
              <w:rPr>
                <w:rFonts w:ascii="Aptos" w:hAnsi="Aptos"/>
                <w:bCs/>
                <w:sz w:val="22"/>
                <w:szCs w:val="22"/>
                <w:lang w:val="en-AU"/>
              </w:rPr>
              <w:t xml:space="preserve"> Queensland – bus, t</w:t>
            </w:r>
            <w:r w:rsidRPr="009E18F6">
              <w:rPr>
                <w:rFonts w:ascii="Aptos" w:hAnsi="Aptos"/>
                <w:sz w:val="22"/>
                <w:szCs w:val="22"/>
                <w:lang w:val="en-AU"/>
              </w:rPr>
              <w:t>rain, tram, ferry)</w:t>
            </w:r>
          </w:p>
        </w:tc>
        <w:tc>
          <w:tcPr>
            <w:tcW w:w="1276" w:type="dxa"/>
            <w:shd w:val="clear" w:color="auto" w:fill="auto"/>
          </w:tcPr>
          <w:p w14:paraId="4DD9E304" w14:textId="5AA780F1" w:rsidR="00C70C1A" w:rsidRPr="009E18F6" w:rsidRDefault="00C70C1A" w:rsidP="00780D06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>Quarterly</w:t>
            </w:r>
          </w:p>
        </w:tc>
      </w:tr>
      <w:tr w:rsidR="00C70C1A" w:rsidRPr="00DF5CC6" w14:paraId="1E015098" w14:textId="77777777" w:rsidTr="00C70C1A">
        <w:trPr>
          <w:trHeight w:val="277"/>
        </w:trPr>
        <w:tc>
          <w:tcPr>
            <w:tcW w:w="2802" w:type="dxa"/>
            <w:vMerge/>
            <w:shd w:val="clear" w:color="auto" w:fill="E6E6E6"/>
          </w:tcPr>
          <w:p w14:paraId="7117D268" w14:textId="77777777" w:rsidR="00C70C1A" w:rsidRPr="009E18F6" w:rsidRDefault="00C70C1A" w:rsidP="00780D06">
            <w:pPr>
              <w:rPr>
                <w:rFonts w:ascii="Aptos" w:hAnsi="Aptos"/>
                <w:b/>
                <w:sz w:val="22"/>
                <w:szCs w:val="22"/>
                <w:lang w:val="en-AU"/>
              </w:rPr>
            </w:pPr>
          </w:p>
        </w:tc>
        <w:tc>
          <w:tcPr>
            <w:tcW w:w="6520" w:type="dxa"/>
            <w:shd w:val="clear" w:color="auto" w:fill="auto"/>
          </w:tcPr>
          <w:p w14:paraId="39EFE1DC" w14:textId="0A115FA2" w:rsidR="00C70C1A" w:rsidRPr="009E18F6" w:rsidRDefault="00C70C1A" w:rsidP="00780D06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bCs/>
                <w:sz w:val="22"/>
                <w:szCs w:val="22"/>
                <w:lang w:val="en-AU"/>
              </w:rPr>
              <w:t xml:space="preserve">Taxi Subsidy Scheme - Number of subsidised trips </w:t>
            </w:r>
          </w:p>
        </w:tc>
        <w:tc>
          <w:tcPr>
            <w:tcW w:w="1276" w:type="dxa"/>
          </w:tcPr>
          <w:p w14:paraId="42B874FC" w14:textId="17BB4731" w:rsidR="00C70C1A" w:rsidRPr="009E18F6" w:rsidRDefault="00C70C1A" w:rsidP="00780D06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>Quarterly</w:t>
            </w:r>
          </w:p>
        </w:tc>
      </w:tr>
      <w:tr w:rsidR="00C70C1A" w:rsidRPr="00DF5CC6" w14:paraId="3079AA75" w14:textId="77777777" w:rsidTr="00C70C1A">
        <w:trPr>
          <w:trHeight w:val="283"/>
        </w:trPr>
        <w:tc>
          <w:tcPr>
            <w:tcW w:w="2802" w:type="dxa"/>
            <w:vMerge/>
            <w:shd w:val="clear" w:color="auto" w:fill="E6E6E6"/>
          </w:tcPr>
          <w:p w14:paraId="1F3D3BB1" w14:textId="77777777" w:rsidR="00C70C1A" w:rsidRPr="009E18F6" w:rsidRDefault="00C70C1A" w:rsidP="00780D06">
            <w:pPr>
              <w:rPr>
                <w:rFonts w:ascii="Aptos" w:hAnsi="Aptos"/>
                <w:b/>
                <w:sz w:val="22"/>
                <w:szCs w:val="22"/>
                <w:lang w:val="en-AU"/>
              </w:rPr>
            </w:pPr>
          </w:p>
        </w:tc>
        <w:tc>
          <w:tcPr>
            <w:tcW w:w="6520" w:type="dxa"/>
            <w:shd w:val="clear" w:color="auto" w:fill="auto"/>
          </w:tcPr>
          <w:p w14:paraId="5E6CAFAB" w14:textId="77777777" w:rsidR="00C70C1A" w:rsidRPr="009E18F6" w:rsidRDefault="00C70C1A" w:rsidP="00715B0F">
            <w:pPr>
              <w:rPr>
                <w:rFonts w:ascii="Aptos" w:hAnsi="Aptos"/>
                <w:bCs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bCs/>
                <w:sz w:val="22"/>
                <w:szCs w:val="22"/>
                <w:lang w:val="en-AU"/>
              </w:rPr>
              <w:t>Patronage on government contracted services (millions):</w:t>
            </w:r>
          </w:p>
          <w:p w14:paraId="0E3C26D4" w14:textId="7D69B01A" w:rsidR="00C70C1A" w:rsidRPr="00AA1CB1" w:rsidRDefault="00C70C1A" w:rsidP="00E03F68">
            <w:pPr>
              <w:rPr>
                <w:rFonts w:ascii="Aptos" w:hAnsi="Aptos"/>
                <w:bCs/>
                <w:sz w:val="22"/>
                <w:szCs w:val="22"/>
                <w:lang w:val="en-AU"/>
              </w:rPr>
            </w:pPr>
            <w:proofErr w:type="gramStart"/>
            <w:r w:rsidRPr="00AA1CB1">
              <w:rPr>
                <w:rFonts w:ascii="Aptos" w:hAnsi="Aptos"/>
                <w:bCs/>
                <w:sz w:val="22"/>
                <w:szCs w:val="22"/>
                <w:lang w:val="en-AU"/>
              </w:rPr>
              <w:t>South East</w:t>
            </w:r>
            <w:proofErr w:type="gramEnd"/>
            <w:r w:rsidRPr="00AA1CB1">
              <w:rPr>
                <w:rFonts w:ascii="Aptos" w:hAnsi="Aptos"/>
                <w:bCs/>
                <w:sz w:val="22"/>
                <w:szCs w:val="22"/>
                <w:lang w:val="en-AU"/>
              </w:rPr>
              <w:t xml:space="preserve"> Queensland:</w:t>
            </w:r>
          </w:p>
          <w:p w14:paraId="2E9BB358" w14:textId="35FAB7C2" w:rsidR="00C70C1A" w:rsidRPr="009E18F6" w:rsidRDefault="00C70C1A" w:rsidP="00715B0F">
            <w:pPr>
              <w:pStyle w:val="ListParagraph"/>
              <w:numPr>
                <w:ilvl w:val="0"/>
                <w:numId w:val="23"/>
              </w:numPr>
              <w:rPr>
                <w:rFonts w:ascii="Aptos" w:hAnsi="Aptos"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>Bus</w:t>
            </w:r>
          </w:p>
          <w:p w14:paraId="5D93B437" w14:textId="233AE4FB" w:rsidR="00C70C1A" w:rsidRPr="009E18F6" w:rsidRDefault="00C70C1A" w:rsidP="00715B0F">
            <w:pPr>
              <w:pStyle w:val="ListParagraph"/>
              <w:numPr>
                <w:ilvl w:val="0"/>
                <w:numId w:val="23"/>
              </w:numPr>
              <w:rPr>
                <w:rFonts w:ascii="Aptos" w:hAnsi="Aptos"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>Rail</w:t>
            </w:r>
          </w:p>
          <w:p w14:paraId="48F1F106" w14:textId="77777777" w:rsidR="00C70C1A" w:rsidRPr="009E18F6" w:rsidRDefault="00C70C1A" w:rsidP="00715B0F">
            <w:pPr>
              <w:pStyle w:val="ListParagraph"/>
              <w:numPr>
                <w:ilvl w:val="0"/>
                <w:numId w:val="23"/>
              </w:numPr>
              <w:rPr>
                <w:rFonts w:ascii="Aptos" w:hAnsi="Aptos"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 xml:space="preserve">Tram </w:t>
            </w:r>
          </w:p>
          <w:p w14:paraId="4C2F5245" w14:textId="021964C1" w:rsidR="00C70C1A" w:rsidRPr="009E18F6" w:rsidRDefault="00C70C1A" w:rsidP="00715B0F">
            <w:pPr>
              <w:pStyle w:val="ListParagraph"/>
              <w:numPr>
                <w:ilvl w:val="0"/>
                <w:numId w:val="23"/>
              </w:numPr>
              <w:rPr>
                <w:rFonts w:ascii="Aptos" w:hAnsi="Aptos"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>Ferry</w:t>
            </w:r>
          </w:p>
          <w:p w14:paraId="1A5A8A73" w14:textId="2F2ED0B5" w:rsidR="00C70C1A" w:rsidRPr="009E18F6" w:rsidRDefault="00C70C1A" w:rsidP="00715B0F">
            <w:pPr>
              <w:rPr>
                <w:rFonts w:ascii="Aptos" w:hAnsi="Aptos"/>
                <w:bCs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bCs/>
                <w:sz w:val="22"/>
                <w:szCs w:val="22"/>
                <w:lang w:val="en-AU"/>
              </w:rPr>
              <w:t>Rest of Queensland:</w:t>
            </w:r>
          </w:p>
          <w:p w14:paraId="1E7E1BBF" w14:textId="77777777" w:rsidR="00C70C1A" w:rsidRPr="009E18F6" w:rsidRDefault="00C70C1A" w:rsidP="00715B0F">
            <w:pPr>
              <w:pStyle w:val="ListParagraph"/>
              <w:numPr>
                <w:ilvl w:val="0"/>
                <w:numId w:val="24"/>
              </w:numPr>
              <w:rPr>
                <w:rFonts w:ascii="Aptos" w:hAnsi="Aptos"/>
                <w:bCs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bCs/>
                <w:sz w:val="22"/>
                <w:szCs w:val="22"/>
                <w:lang w:val="en-AU"/>
              </w:rPr>
              <w:t>Regional air</w:t>
            </w:r>
          </w:p>
          <w:p w14:paraId="66FB2A2D" w14:textId="77777777" w:rsidR="00C70C1A" w:rsidRPr="009E18F6" w:rsidRDefault="00C70C1A" w:rsidP="00715B0F">
            <w:pPr>
              <w:pStyle w:val="ListParagraph"/>
              <w:numPr>
                <w:ilvl w:val="0"/>
                <w:numId w:val="24"/>
              </w:numPr>
              <w:rPr>
                <w:rFonts w:ascii="Aptos" w:hAnsi="Aptos"/>
                <w:bCs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bCs/>
                <w:sz w:val="22"/>
                <w:szCs w:val="22"/>
                <w:lang w:val="en-AU"/>
              </w:rPr>
              <w:t>Long distance bus</w:t>
            </w:r>
          </w:p>
          <w:p w14:paraId="4C8DFE9A" w14:textId="77777777" w:rsidR="00C70C1A" w:rsidRPr="009E18F6" w:rsidRDefault="00C70C1A" w:rsidP="00715B0F">
            <w:pPr>
              <w:pStyle w:val="ListParagraph"/>
              <w:numPr>
                <w:ilvl w:val="0"/>
                <w:numId w:val="24"/>
              </w:numPr>
              <w:rPr>
                <w:rFonts w:ascii="Aptos" w:hAnsi="Aptos"/>
                <w:bCs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bCs/>
                <w:sz w:val="22"/>
                <w:szCs w:val="22"/>
                <w:lang w:val="en-AU"/>
              </w:rPr>
              <w:t>Regional urban bus</w:t>
            </w:r>
          </w:p>
          <w:p w14:paraId="45F3A203" w14:textId="77777777" w:rsidR="00C70C1A" w:rsidRPr="009E18F6" w:rsidRDefault="00C70C1A" w:rsidP="00715B0F">
            <w:pPr>
              <w:pStyle w:val="ListParagraph"/>
              <w:numPr>
                <w:ilvl w:val="0"/>
                <w:numId w:val="24"/>
              </w:numPr>
              <w:rPr>
                <w:rFonts w:ascii="Aptos" w:hAnsi="Aptos"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bCs/>
                <w:sz w:val="22"/>
                <w:szCs w:val="22"/>
                <w:lang w:val="en-AU"/>
              </w:rPr>
              <w:t>Traveltrain</w:t>
            </w:r>
          </w:p>
          <w:p w14:paraId="0B27B2BF" w14:textId="26487D17" w:rsidR="00C70C1A" w:rsidRPr="009E18F6" w:rsidRDefault="00C70C1A" w:rsidP="00715B0F">
            <w:pPr>
              <w:pStyle w:val="ListParagraph"/>
              <w:numPr>
                <w:ilvl w:val="0"/>
                <w:numId w:val="24"/>
              </w:numPr>
              <w:rPr>
                <w:rFonts w:ascii="Aptos" w:hAnsi="Aptos"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bCs/>
                <w:sz w:val="22"/>
                <w:szCs w:val="22"/>
                <w:lang w:val="en-AU"/>
              </w:rPr>
              <w:t>Regional ferry</w:t>
            </w:r>
          </w:p>
        </w:tc>
        <w:tc>
          <w:tcPr>
            <w:tcW w:w="1276" w:type="dxa"/>
          </w:tcPr>
          <w:p w14:paraId="0D00FAC5" w14:textId="4C401364" w:rsidR="00C70C1A" w:rsidRPr="009E18F6" w:rsidRDefault="00C70C1A" w:rsidP="00780D06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>Quarterly</w:t>
            </w:r>
          </w:p>
        </w:tc>
      </w:tr>
      <w:tr w:rsidR="00C70C1A" w:rsidRPr="00DF5CC6" w14:paraId="060B60E7" w14:textId="77777777" w:rsidTr="00C70C1A">
        <w:trPr>
          <w:trHeight w:val="534"/>
        </w:trPr>
        <w:tc>
          <w:tcPr>
            <w:tcW w:w="2802" w:type="dxa"/>
            <w:shd w:val="clear" w:color="auto" w:fill="E6E6E6"/>
          </w:tcPr>
          <w:p w14:paraId="016E67A7" w14:textId="17753A05" w:rsidR="00C70C1A" w:rsidRPr="009E18F6" w:rsidRDefault="00C70C1A" w:rsidP="00780D06">
            <w:pPr>
              <w:pStyle w:val="ListParagraph"/>
              <w:numPr>
                <w:ilvl w:val="0"/>
                <w:numId w:val="13"/>
              </w:numPr>
              <w:rPr>
                <w:rFonts w:ascii="Aptos" w:hAnsi="Aptos"/>
                <w:b/>
                <w:bCs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b/>
                <w:bCs/>
                <w:sz w:val="22"/>
                <w:szCs w:val="22"/>
                <w:lang w:val="en-AU"/>
              </w:rPr>
              <w:t xml:space="preserve">Affordable and diverse transport options  </w:t>
            </w:r>
          </w:p>
        </w:tc>
        <w:tc>
          <w:tcPr>
            <w:tcW w:w="6520" w:type="dxa"/>
            <w:shd w:val="clear" w:color="auto" w:fill="auto"/>
          </w:tcPr>
          <w:p w14:paraId="038B2466" w14:textId="1BB0F5DB" w:rsidR="00C70C1A" w:rsidRPr="009E18F6" w:rsidRDefault="00C70C1A" w:rsidP="009858B8">
            <w:pPr>
              <w:rPr>
                <w:rFonts w:ascii="Aptos" w:hAnsi="Aptos"/>
                <w:bCs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>Customer experience rating: Availability of information needed to complete your trip</w:t>
            </w:r>
            <w:r w:rsidRPr="009E18F6">
              <w:rPr>
                <w:rFonts w:ascii="Aptos" w:hAnsi="Aptos"/>
                <w:bCs/>
                <w:sz w:val="22"/>
                <w:szCs w:val="22"/>
                <w:lang w:val="en-AU"/>
              </w:rPr>
              <w:t xml:space="preserve"> (</w:t>
            </w:r>
            <w:proofErr w:type="gramStart"/>
            <w:r w:rsidRPr="009E18F6">
              <w:rPr>
                <w:rFonts w:ascii="Aptos" w:hAnsi="Aptos"/>
                <w:bCs/>
                <w:sz w:val="22"/>
                <w:szCs w:val="22"/>
                <w:lang w:val="en-AU"/>
              </w:rPr>
              <w:t>South East</w:t>
            </w:r>
            <w:proofErr w:type="gramEnd"/>
            <w:r w:rsidRPr="009E18F6">
              <w:rPr>
                <w:rFonts w:ascii="Aptos" w:hAnsi="Aptos"/>
                <w:bCs/>
                <w:sz w:val="22"/>
                <w:szCs w:val="22"/>
                <w:lang w:val="en-AU"/>
              </w:rPr>
              <w:t xml:space="preserve"> Queensland – bus, t</w:t>
            </w:r>
            <w:r w:rsidRPr="009E18F6">
              <w:rPr>
                <w:rFonts w:ascii="Aptos" w:hAnsi="Aptos"/>
                <w:sz w:val="22"/>
                <w:szCs w:val="22"/>
                <w:lang w:val="en-AU"/>
              </w:rPr>
              <w:t>rain, tram, ferry)</w:t>
            </w:r>
          </w:p>
        </w:tc>
        <w:tc>
          <w:tcPr>
            <w:tcW w:w="1276" w:type="dxa"/>
            <w:shd w:val="clear" w:color="auto" w:fill="auto"/>
          </w:tcPr>
          <w:p w14:paraId="0C000F69" w14:textId="597F499B" w:rsidR="00C70C1A" w:rsidRPr="009E18F6" w:rsidRDefault="00C70C1A" w:rsidP="00780D06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>Quarterly</w:t>
            </w:r>
          </w:p>
        </w:tc>
      </w:tr>
    </w:tbl>
    <w:p w14:paraId="60DF5863" w14:textId="77777777" w:rsidR="005C5B0A" w:rsidRPr="00DF5CC6" w:rsidRDefault="005C5B0A" w:rsidP="00502DF7">
      <w:pPr>
        <w:pStyle w:val="BodyText"/>
        <w:rPr>
          <w:rFonts w:ascii="Aptos" w:hAnsi="Aptos"/>
        </w:rPr>
      </w:pPr>
    </w:p>
    <w:p w14:paraId="69460315" w14:textId="3ED5FF2E" w:rsidR="007F2D8B" w:rsidRPr="00DF5CC6" w:rsidRDefault="007F2D8B" w:rsidP="007F2D8B">
      <w:pPr>
        <w:pStyle w:val="BodyText"/>
        <w:numPr>
          <w:ilvl w:val="0"/>
          <w:numId w:val="12"/>
        </w:numPr>
        <w:rPr>
          <w:rFonts w:ascii="Aptos" w:hAnsi="Aptos"/>
          <w:b/>
          <w:bCs/>
          <w:color w:val="1F4E79" w:themeColor="accent5" w:themeShade="80"/>
        </w:rPr>
      </w:pPr>
      <w:r w:rsidRPr="00DF5CC6">
        <w:rPr>
          <w:rFonts w:ascii="Aptos" w:hAnsi="Aptos"/>
          <w:b/>
          <w:bCs/>
          <w:color w:val="1F4E79" w:themeColor="accent5" w:themeShade="80"/>
          <w:sz w:val="28"/>
          <w:szCs w:val="28"/>
        </w:rPr>
        <w:t>Safe and secure: A transport system that is safe and secure for customers and goods</w:t>
      </w:r>
    </w:p>
    <w:tbl>
      <w:tblPr>
        <w:tblStyle w:val="TableGrid"/>
        <w:tblW w:w="10598" w:type="dxa"/>
        <w:tblInd w:w="-11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6520"/>
        <w:gridCol w:w="1276"/>
      </w:tblGrid>
      <w:tr w:rsidR="00C70C1A" w:rsidRPr="00DF5CC6" w14:paraId="3579BD7D" w14:textId="77777777" w:rsidTr="00C70C1A">
        <w:trPr>
          <w:trHeight w:val="737"/>
          <w:tblHeader/>
        </w:trPr>
        <w:tc>
          <w:tcPr>
            <w:tcW w:w="2802" w:type="dxa"/>
            <w:tcBorders>
              <w:bottom w:val="single" w:sz="4" w:space="0" w:color="BFBFBF" w:themeColor="background1" w:themeShade="BF"/>
            </w:tcBorders>
            <w:shd w:val="clear" w:color="auto" w:fill="1F4E79" w:themeFill="accent5" w:themeFillShade="80"/>
            <w:vAlign w:val="center"/>
          </w:tcPr>
          <w:p w14:paraId="020EC63C" w14:textId="77777777" w:rsidR="00C70C1A" w:rsidRPr="00DF5CC6" w:rsidRDefault="00C70C1A">
            <w:pPr>
              <w:pStyle w:val="TableParagraph"/>
              <w:spacing w:before="0"/>
              <w:ind w:left="0"/>
              <w:rPr>
                <w:rFonts w:ascii="Aptos" w:hAnsi="Aptos" w:cs="Arial"/>
                <w:b/>
                <w:bCs/>
                <w:color w:val="FFFFFF"/>
                <w:sz w:val="22"/>
                <w:szCs w:val="22"/>
                <w:lang w:val="en-AU"/>
              </w:rPr>
            </w:pPr>
            <w:r w:rsidRPr="00DF5CC6">
              <w:rPr>
                <w:rFonts w:ascii="Aptos" w:hAnsi="Aptos" w:cs="Arial"/>
                <w:b/>
                <w:bCs/>
                <w:color w:val="FFFFFF"/>
                <w:sz w:val="22"/>
                <w:szCs w:val="22"/>
                <w:lang w:val="en-AU"/>
              </w:rPr>
              <w:t>Performance indicator</w:t>
            </w:r>
          </w:p>
        </w:tc>
        <w:tc>
          <w:tcPr>
            <w:tcW w:w="6520" w:type="dxa"/>
            <w:shd w:val="clear" w:color="auto" w:fill="1F4E79" w:themeFill="accent5" w:themeFillShade="80"/>
            <w:vAlign w:val="center"/>
          </w:tcPr>
          <w:p w14:paraId="0BD7AE7D" w14:textId="77777777" w:rsidR="00C70C1A" w:rsidRPr="00DF5CC6" w:rsidRDefault="00C70C1A">
            <w:pPr>
              <w:pStyle w:val="Tableheadings"/>
              <w:widowControl w:val="0"/>
              <w:autoSpaceDE w:val="0"/>
              <w:autoSpaceDN w:val="0"/>
              <w:spacing w:line="240" w:lineRule="auto"/>
              <w:rPr>
                <w:rFonts w:ascii="Aptos" w:hAnsi="Aptos" w:cs="Arial"/>
                <w:b w:val="0"/>
                <w:sz w:val="22"/>
                <w:szCs w:val="22"/>
                <w:lang w:val="en-AU"/>
              </w:rPr>
            </w:pPr>
            <w:r w:rsidRPr="00DF5CC6">
              <w:rPr>
                <w:rFonts w:ascii="Aptos" w:hAnsi="Aptos" w:cs="Arial"/>
                <w:sz w:val="22"/>
                <w:szCs w:val="22"/>
                <w:lang w:val="en-AU"/>
              </w:rPr>
              <w:t>Strategic measures</w:t>
            </w:r>
          </w:p>
        </w:tc>
        <w:tc>
          <w:tcPr>
            <w:tcW w:w="1276" w:type="dxa"/>
            <w:shd w:val="clear" w:color="auto" w:fill="1F4E79" w:themeFill="accent5" w:themeFillShade="80"/>
            <w:vAlign w:val="center"/>
          </w:tcPr>
          <w:p w14:paraId="6C4D97D9" w14:textId="50CF0C55" w:rsidR="00C70C1A" w:rsidRPr="00DF5CC6" w:rsidRDefault="00C70C1A">
            <w:pPr>
              <w:pStyle w:val="TableParagraph"/>
              <w:spacing w:before="0"/>
              <w:ind w:left="0"/>
              <w:rPr>
                <w:rFonts w:ascii="Aptos" w:hAnsi="Aptos" w:cs="Arial"/>
                <w:b/>
                <w:bCs/>
                <w:color w:val="FFFFFF"/>
                <w:sz w:val="22"/>
                <w:szCs w:val="22"/>
                <w:lang w:val="en-AU"/>
              </w:rPr>
            </w:pPr>
            <w:r w:rsidRPr="00DF5CC6">
              <w:rPr>
                <w:rFonts w:ascii="Aptos" w:hAnsi="Aptos" w:cs="Arial"/>
                <w:b/>
                <w:bCs/>
                <w:color w:val="FFFFFF"/>
                <w:sz w:val="22"/>
                <w:szCs w:val="22"/>
                <w:lang w:val="en-AU"/>
              </w:rPr>
              <w:t>Frequency</w:t>
            </w:r>
          </w:p>
        </w:tc>
      </w:tr>
      <w:tr w:rsidR="00C70C1A" w:rsidRPr="00DF5CC6" w14:paraId="1869D0FF" w14:textId="77777777" w:rsidTr="00C70C1A">
        <w:trPr>
          <w:trHeight w:val="283"/>
        </w:trPr>
        <w:tc>
          <w:tcPr>
            <w:tcW w:w="2802" w:type="dxa"/>
            <w:vMerge w:val="restart"/>
            <w:shd w:val="clear" w:color="auto" w:fill="E6E6E6"/>
          </w:tcPr>
          <w:p w14:paraId="1A6743F2" w14:textId="67B79C2F" w:rsidR="00C70C1A" w:rsidRPr="00DF5CC6" w:rsidRDefault="00C70C1A" w:rsidP="00911E89">
            <w:pPr>
              <w:pStyle w:val="ListParagraph"/>
              <w:numPr>
                <w:ilvl w:val="0"/>
                <w:numId w:val="15"/>
              </w:numPr>
              <w:rPr>
                <w:rFonts w:ascii="Aptos" w:hAnsi="Aptos"/>
                <w:b/>
                <w:sz w:val="22"/>
                <w:szCs w:val="22"/>
                <w:lang w:val="en-AU"/>
              </w:rPr>
            </w:pPr>
            <w:r w:rsidRPr="00DF5CC6">
              <w:rPr>
                <w:rFonts w:ascii="Aptos" w:hAnsi="Aptos"/>
                <w:b/>
                <w:sz w:val="22"/>
                <w:szCs w:val="22"/>
                <w:lang w:val="en-AU"/>
              </w:rPr>
              <w:t>Safety and security of customers and goods</w:t>
            </w:r>
          </w:p>
        </w:tc>
        <w:tc>
          <w:tcPr>
            <w:tcW w:w="6520" w:type="dxa"/>
            <w:shd w:val="clear" w:color="auto" w:fill="auto"/>
          </w:tcPr>
          <w:p w14:paraId="06A66519" w14:textId="167F8904" w:rsidR="00C70C1A" w:rsidRPr="009E18F6" w:rsidRDefault="00C70C1A" w:rsidP="00911E89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 xml:space="preserve">Number of fatal crashes on state-controlled roads per 100 million vehicle kilometres travelled where the road condition was likely to be a contributing factor </w:t>
            </w:r>
          </w:p>
        </w:tc>
        <w:tc>
          <w:tcPr>
            <w:tcW w:w="1276" w:type="dxa"/>
            <w:shd w:val="clear" w:color="auto" w:fill="auto"/>
          </w:tcPr>
          <w:p w14:paraId="38811CD1" w14:textId="016976ED" w:rsidR="00C70C1A" w:rsidRPr="00DF5CC6" w:rsidRDefault="00C70C1A" w:rsidP="00911E89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DF5CC6">
              <w:rPr>
                <w:rFonts w:ascii="Aptos" w:hAnsi="Aptos"/>
                <w:sz w:val="22"/>
                <w:szCs w:val="22"/>
                <w:lang w:val="en-AU"/>
              </w:rPr>
              <w:t>Quarterly</w:t>
            </w:r>
          </w:p>
        </w:tc>
      </w:tr>
      <w:tr w:rsidR="00C70C1A" w:rsidRPr="00DF5CC6" w14:paraId="759376E6" w14:textId="77777777" w:rsidTr="00C70C1A">
        <w:trPr>
          <w:trHeight w:val="283"/>
        </w:trPr>
        <w:tc>
          <w:tcPr>
            <w:tcW w:w="2802" w:type="dxa"/>
            <w:vMerge/>
            <w:shd w:val="clear" w:color="auto" w:fill="E6E6E6"/>
          </w:tcPr>
          <w:p w14:paraId="413FBAEF" w14:textId="77777777" w:rsidR="00C70C1A" w:rsidRPr="00DF5CC6" w:rsidRDefault="00C70C1A" w:rsidP="00911E89">
            <w:pPr>
              <w:pStyle w:val="ListParagraph"/>
              <w:numPr>
                <w:ilvl w:val="0"/>
                <w:numId w:val="15"/>
              </w:numPr>
              <w:rPr>
                <w:rFonts w:ascii="Aptos" w:hAnsi="Aptos"/>
                <w:b/>
                <w:sz w:val="22"/>
                <w:szCs w:val="22"/>
                <w:lang w:val="en-AU"/>
              </w:rPr>
            </w:pPr>
          </w:p>
        </w:tc>
        <w:tc>
          <w:tcPr>
            <w:tcW w:w="6520" w:type="dxa"/>
            <w:shd w:val="clear" w:color="auto" w:fill="auto"/>
          </w:tcPr>
          <w:p w14:paraId="44F34701" w14:textId="38690638" w:rsidR="00C70C1A" w:rsidRPr="009E18F6" w:rsidRDefault="00C70C1A" w:rsidP="00911E89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>Fatalities per 100,000 population on state-controlled roads</w:t>
            </w:r>
          </w:p>
        </w:tc>
        <w:tc>
          <w:tcPr>
            <w:tcW w:w="1276" w:type="dxa"/>
            <w:shd w:val="clear" w:color="auto" w:fill="auto"/>
          </w:tcPr>
          <w:p w14:paraId="43F7C595" w14:textId="25915C04" w:rsidR="00C70C1A" w:rsidRPr="00DF5CC6" w:rsidRDefault="00C70C1A" w:rsidP="00911E89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DF5CC6">
              <w:rPr>
                <w:rFonts w:ascii="Aptos" w:hAnsi="Aptos"/>
                <w:sz w:val="22"/>
                <w:szCs w:val="22"/>
                <w:lang w:val="en-AU"/>
              </w:rPr>
              <w:t>Quarterly</w:t>
            </w:r>
          </w:p>
        </w:tc>
      </w:tr>
      <w:tr w:rsidR="00C70C1A" w:rsidRPr="00DF5CC6" w14:paraId="62855BF9" w14:textId="77777777" w:rsidTr="00C70C1A">
        <w:trPr>
          <w:trHeight w:val="283"/>
        </w:trPr>
        <w:tc>
          <w:tcPr>
            <w:tcW w:w="2802" w:type="dxa"/>
            <w:vMerge/>
            <w:shd w:val="clear" w:color="auto" w:fill="E6E6E6"/>
          </w:tcPr>
          <w:p w14:paraId="533F6FA2" w14:textId="77777777" w:rsidR="00C70C1A" w:rsidRPr="00DF5CC6" w:rsidRDefault="00C70C1A" w:rsidP="00911E89">
            <w:pPr>
              <w:pStyle w:val="ListParagraph"/>
              <w:numPr>
                <w:ilvl w:val="0"/>
                <w:numId w:val="15"/>
              </w:numPr>
              <w:rPr>
                <w:rFonts w:ascii="Aptos" w:hAnsi="Aptos"/>
                <w:b/>
                <w:sz w:val="22"/>
                <w:szCs w:val="22"/>
                <w:lang w:val="en-AU"/>
              </w:rPr>
            </w:pPr>
          </w:p>
        </w:tc>
        <w:tc>
          <w:tcPr>
            <w:tcW w:w="6520" w:type="dxa"/>
          </w:tcPr>
          <w:p w14:paraId="43AA81B4" w14:textId="17BFC665" w:rsidR="00C70C1A" w:rsidRPr="009E18F6" w:rsidRDefault="00C70C1A" w:rsidP="00911E89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>Road fatalities per 100,000 population</w:t>
            </w:r>
          </w:p>
        </w:tc>
        <w:tc>
          <w:tcPr>
            <w:tcW w:w="1276" w:type="dxa"/>
          </w:tcPr>
          <w:p w14:paraId="7F3EA6C9" w14:textId="618498A4" w:rsidR="00C70C1A" w:rsidRPr="00DF5CC6" w:rsidRDefault="00C70C1A" w:rsidP="00911E89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DF5CC6">
              <w:rPr>
                <w:rFonts w:ascii="Aptos" w:hAnsi="Aptos"/>
                <w:sz w:val="22"/>
                <w:szCs w:val="22"/>
                <w:lang w:val="en-AU"/>
              </w:rPr>
              <w:t>Quarterly</w:t>
            </w:r>
          </w:p>
        </w:tc>
      </w:tr>
      <w:tr w:rsidR="00C70C1A" w:rsidRPr="00DF5CC6" w14:paraId="2A2322AF" w14:textId="77777777" w:rsidTr="00C70C1A">
        <w:trPr>
          <w:trHeight w:val="283"/>
        </w:trPr>
        <w:tc>
          <w:tcPr>
            <w:tcW w:w="2802" w:type="dxa"/>
            <w:vMerge/>
            <w:shd w:val="clear" w:color="auto" w:fill="E6E6E6"/>
          </w:tcPr>
          <w:p w14:paraId="3F498675" w14:textId="77777777" w:rsidR="00C70C1A" w:rsidRPr="00DF5CC6" w:rsidRDefault="00C70C1A" w:rsidP="00911E89">
            <w:pPr>
              <w:pStyle w:val="ListParagraph"/>
              <w:numPr>
                <w:ilvl w:val="0"/>
                <w:numId w:val="15"/>
              </w:numPr>
              <w:rPr>
                <w:rFonts w:ascii="Aptos" w:hAnsi="Aptos"/>
                <w:b/>
                <w:sz w:val="22"/>
                <w:szCs w:val="22"/>
                <w:lang w:val="en-AU"/>
              </w:rPr>
            </w:pPr>
          </w:p>
        </w:tc>
        <w:tc>
          <w:tcPr>
            <w:tcW w:w="6520" w:type="dxa"/>
          </w:tcPr>
          <w:p w14:paraId="02B809D4" w14:textId="7091618E" w:rsidR="00C70C1A" w:rsidRPr="009E18F6" w:rsidRDefault="00C70C1A" w:rsidP="00911E89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>Hospitalised road casualties per 100,000 population</w:t>
            </w:r>
          </w:p>
        </w:tc>
        <w:tc>
          <w:tcPr>
            <w:tcW w:w="1276" w:type="dxa"/>
          </w:tcPr>
          <w:p w14:paraId="695DBCE4" w14:textId="6683E585" w:rsidR="00C70C1A" w:rsidRPr="00DF5CC6" w:rsidRDefault="00C70C1A" w:rsidP="00911E89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DF5CC6">
              <w:rPr>
                <w:rFonts w:ascii="Aptos" w:hAnsi="Aptos"/>
                <w:sz w:val="22"/>
                <w:szCs w:val="22"/>
                <w:lang w:val="en-AU"/>
              </w:rPr>
              <w:t>Quarterly</w:t>
            </w:r>
          </w:p>
        </w:tc>
      </w:tr>
      <w:tr w:rsidR="00C70C1A" w:rsidRPr="00DF5CC6" w14:paraId="1B570FF3" w14:textId="77777777" w:rsidTr="00C70C1A">
        <w:trPr>
          <w:trHeight w:val="283"/>
        </w:trPr>
        <w:tc>
          <w:tcPr>
            <w:tcW w:w="2802" w:type="dxa"/>
            <w:vMerge/>
            <w:shd w:val="clear" w:color="auto" w:fill="E6E6E6"/>
          </w:tcPr>
          <w:p w14:paraId="641E6172" w14:textId="77777777" w:rsidR="00C70C1A" w:rsidRPr="00DF5CC6" w:rsidRDefault="00C70C1A" w:rsidP="00911E89">
            <w:pPr>
              <w:pStyle w:val="ListParagraph"/>
              <w:numPr>
                <w:ilvl w:val="0"/>
                <w:numId w:val="15"/>
              </w:numPr>
              <w:rPr>
                <w:rFonts w:ascii="Aptos" w:hAnsi="Aptos"/>
                <w:b/>
                <w:sz w:val="22"/>
                <w:szCs w:val="22"/>
                <w:lang w:val="en-AU"/>
              </w:rPr>
            </w:pPr>
          </w:p>
        </w:tc>
        <w:tc>
          <w:tcPr>
            <w:tcW w:w="6520" w:type="dxa"/>
          </w:tcPr>
          <w:p w14:paraId="7C8D4979" w14:textId="723D0B20" w:rsidR="00C70C1A" w:rsidRPr="009E18F6" w:rsidRDefault="00C70C1A" w:rsidP="00911E89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>Marine fatalities per 100,000 registered vessels regulated in Queensland</w:t>
            </w:r>
          </w:p>
        </w:tc>
        <w:tc>
          <w:tcPr>
            <w:tcW w:w="1276" w:type="dxa"/>
          </w:tcPr>
          <w:p w14:paraId="534898D9" w14:textId="0EA12A4F" w:rsidR="00C70C1A" w:rsidRPr="00DF5CC6" w:rsidRDefault="00C70C1A" w:rsidP="00911E89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DF5CC6">
              <w:rPr>
                <w:rFonts w:ascii="Aptos" w:hAnsi="Aptos"/>
                <w:sz w:val="22"/>
                <w:szCs w:val="22"/>
                <w:lang w:val="en-AU"/>
              </w:rPr>
              <w:t>Quarterly</w:t>
            </w:r>
          </w:p>
        </w:tc>
      </w:tr>
      <w:tr w:rsidR="00C70C1A" w:rsidRPr="00DF5CC6" w14:paraId="01CE80D0" w14:textId="77777777" w:rsidTr="00C70C1A">
        <w:trPr>
          <w:trHeight w:val="283"/>
        </w:trPr>
        <w:tc>
          <w:tcPr>
            <w:tcW w:w="2802" w:type="dxa"/>
            <w:vMerge/>
            <w:shd w:val="clear" w:color="auto" w:fill="E6E6E6"/>
          </w:tcPr>
          <w:p w14:paraId="0D0EE7C0" w14:textId="77777777" w:rsidR="00C70C1A" w:rsidRPr="00DF5CC6" w:rsidRDefault="00C70C1A" w:rsidP="00911E89">
            <w:pPr>
              <w:pStyle w:val="ListParagraph"/>
              <w:numPr>
                <w:ilvl w:val="0"/>
                <w:numId w:val="15"/>
              </w:numPr>
              <w:rPr>
                <w:rFonts w:ascii="Aptos" w:hAnsi="Aptos"/>
                <w:b/>
                <w:sz w:val="22"/>
                <w:szCs w:val="22"/>
                <w:lang w:val="en-AU"/>
              </w:rPr>
            </w:pPr>
          </w:p>
        </w:tc>
        <w:tc>
          <w:tcPr>
            <w:tcW w:w="6520" w:type="dxa"/>
            <w:shd w:val="clear" w:color="auto" w:fill="auto"/>
          </w:tcPr>
          <w:p w14:paraId="03F4083A" w14:textId="78649B4F" w:rsidR="00C70C1A" w:rsidRPr="009E18F6" w:rsidRDefault="00C70C1A" w:rsidP="00911E89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>Percentage of vessel movements without serious incidents:</w:t>
            </w:r>
          </w:p>
          <w:p w14:paraId="16112D50" w14:textId="77777777" w:rsidR="00C70C1A" w:rsidRPr="009E18F6" w:rsidRDefault="00C70C1A" w:rsidP="00715B0F">
            <w:pPr>
              <w:pStyle w:val="ListParagraph"/>
              <w:numPr>
                <w:ilvl w:val="0"/>
                <w:numId w:val="26"/>
              </w:numPr>
              <w:rPr>
                <w:rFonts w:ascii="Aptos" w:hAnsi="Aptos"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 xml:space="preserve">Pilotage areas </w:t>
            </w:r>
          </w:p>
          <w:p w14:paraId="0FDD7BE8" w14:textId="4EF37B38" w:rsidR="00C70C1A" w:rsidRPr="009E18F6" w:rsidRDefault="00C70C1A" w:rsidP="00715B0F">
            <w:pPr>
              <w:pStyle w:val="ListParagraph"/>
              <w:numPr>
                <w:ilvl w:val="0"/>
                <w:numId w:val="26"/>
              </w:numPr>
              <w:rPr>
                <w:rFonts w:ascii="Aptos" w:hAnsi="Aptos"/>
                <w:sz w:val="22"/>
                <w:szCs w:val="22"/>
                <w:lang w:val="en-AU"/>
              </w:rPr>
            </w:pPr>
            <w:proofErr w:type="spellStart"/>
            <w:r w:rsidRPr="009E18F6">
              <w:rPr>
                <w:rFonts w:ascii="Aptos" w:hAnsi="Aptos"/>
                <w:sz w:val="22"/>
                <w:szCs w:val="22"/>
                <w:lang w:val="en-AU"/>
              </w:rPr>
              <w:t>ReefVTS</w:t>
            </w:r>
            <w:proofErr w:type="spellEnd"/>
            <w:r w:rsidRPr="009E18F6">
              <w:rPr>
                <w:rFonts w:ascii="Aptos" w:hAnsi="Aptos"/>
                <w:sz w:val="22"/>
                <w:szCs w:val="22"/>
                <w:lang w:val="en-AU"/>
              </w:rPr>
              <w:t xml:space="preserve"> area</w:t>
            </w:r>
          </w:p>
        </w:tc>
        <w:tc>
          <w:tcPr>
            <w:tcW w:w="1276" w:type="dxa"/>
          </w:tcPr>
          <w:p w14:paraId="3EE72DE0" w14:textId="6400434C" w:rsidR="00C70C1A" w:rsidRPr="00DF5CC6" w:rsidRDefault="00C70C1A" w:rsidP="00911E89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DF5CC6">
              <w:rPr>
                <w:rFonts w:ascii="Aptos" w:hAnsi="Aptos"/>
                <w:sz w:val="22"/>
                <w:szCs w:val="22"/>
                <w:lang w:val="en-AU"/>
              </w:rPr>
              <w:t>Quarterly</w:t>
            </w:r>
          </w:p>
        </w:tc>
      </w:tr>
      <w:tr w:rsidR="00C70C1A" w:rsidRPr="00DF5CC6" w14:paraId="082CBFB8" w14:textId="77777777" w:rsidTr="00C70C1A">
        <w:trPr>
          <w:trHeight w:val="534"/>
        </w:trPr>
        <w:tc>
          <w:tcPr>
            <w:tcW w:w="2802" w:type="dxa"/>
            <w:shd w:val="clear" w:color="auto" w:fill="E6E6E6"/>
          </w:tcPr>
          <w:p w14:paraId="3C0A9229" w14:textId="014B6C0F" w:rsidR="00C70C1A" w:rsidRPr="00DF5CC6" w:rsidRDefault="00C70C1A" w:rsidP="00911E89">
            <w:pPr>
              <w:pStyle w:val="ListParagraph"/>
              <w:numPr>
                <w:ilvl w:val="0"/>
                <w:numId w:val="15"/>
              </w:numPr>
              <w:rPr>
                <w:rFonts w:ascii="Aptos" w:hAnsi="Aptos"/>
                <w:b/>
                <w:bCs/>
                <w:sz w:val="22"/>
                <w:szCs w:val="22"/>
                <w:lang w:val="en-AU"/>
              </w:rPr>
            </w:pPr>
            <w:r w:rsidRPr="00DF5CC6">
              <w:rPr>
                <w:rFonts w:ascii="Aptos" w:hAnsi="Aptos"/>
                <w:b/>
                <w:bCs/>
                <w:sz w:val="22"/>
                <w:szCs w:val="22"/>
                <w:lang w:val="en-AU"/>
              </w:rPr>
              <w:t xml:space="preserve">Customer and community trust in the transport system  </w:t>
            </w:r>
          </w:p>
        </w:tc>
        <w:tc>
          <w:tcPr>
            <w:tcW w:w="6520" w:type="dxa"/>
            <w:shd w:val="clear" w:color="auto" w:fill="auto"/>
          </w:tcPr>
          <w:p w14:paraId="7C960608" w14:textId="3031C3F1" w:rsidR="00C70C1A" w:rsidRPr="009E18F6" w:rsidRDefault="00C70C1A" w:rsidP="009858B8">
            <w:pPr>
              <w:rPr>
                <w:rFonts w:ascii="Aptos" w:hAnsi="Aptos"/>
                <w:bCs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 xml:space="preserve">Customer experience rating: Feeling safe on board </w:t>
            </w:r>
            <w:r w:rsidRPr="009E18F6">
              <w:rPr>
                <w:rFonts w:ascii="Aptos" w:hAnsi="Aptos"/>
                <w:bCs/>
                <w:sz w:val="22"/>
                <w:szCs w:val="22"/>
                <w:lang w:val="en-AU"/>
              </w:rPr>
              <w:t>(</w:t>
            </w:r>
            <w:proofErr w:type="gramStart"/>
            <w:r w:rsidRPr="009E18F6">
              <w:rPr>
                <w:rFonts w:ascii="Aptos" w:hAnsi="Aptos"/>
                <w:bCs/>
                <w:sz w:val="22"/>
                <w:szCs w:val="22"/>
                <w:lang w:val="en-AU"/>
              </w:rPr>
              <w:t>South East</w:t>
            </w:r>
            <w:proofErr w:type="gramEnd"/>
            <w:r w:rsidRPr="009E18F6">
              <w:rPr>
                <w:rFonts w:ascii="Aptos" w:hAnsi="Aptos"/>
                <w:bCs/>
                <w:sz w:val="22"/>
                <w:szCs w:val="22"/>
                <w:lang w:val="en-AU"/>
              </w:rPr>
              <w:t xml:space="preserve"> Queensland – bus, t</w:t>
            </w:r>
            <w:r w:rsidRPr="009E18F6">
              <w:rPr>
                <w:rFonts w:ascii="Aptos" w:hAnsi="Aptos"/>
                <w:sz w:val="22"/>
                <w:szCs w:val="22"/>
                <w:lang w:val="en-AU"/>
              </w:rPr>
              <w:t>rain, tram, ferry)</w:t>
            </w:r>
          </w:p>
        </w:tc>
        <w:tc>
          <w:tcPr>
            <w:tcW w:w="1276" w:type="dxa"/>
          </w:tcPr>
          <w:p w14:paraId="22726AA0" w14:textId="4082FBFB" w:rsidR="00C70C1A" w:rsidRPr="00DF5CC6" w:rsidRDefault="00C70C1A" w:rsidP="00911E89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DF5CC6">
              <w:rPr>
                <w:rFonts w:ascii="Aptos" w:hAnsi="Aptos"/>
                <w:sz w:val="22"/>
                <w:szCs w:val="22"/>
                <w:lang w:val="en-AU"/>
              </w:rPr>
              <w:t>Quarterly</w:t>
            </w:r>
          </w:p>
        </w:tc>
      </w:tr>
    </w:tbl>
    <w:p w14:paraId="2D4BA735" w14:textId="77777777" w:rsidR="005C5B0A" w:rsidRPr="00DF5CC6" w:rsidRDefault="005C5B0A" w:rsidP="005040E8">
      <w:pPr>
        <w:pStyle w:val="BodyText"/>
        <w:rPr>
          <w:rFonts w:ascii="Aptos" w:hAnsi="Aptos"/>
        </w:rPr>
      </w:pPr>
    </w:p>
    <w:p w14:paraId="619BFCDD" w14:textId="72CEF982" w:rsidR="006F75EA" w:rsidRPr="00DF5CC6" w:rsidRDefault="006F75EA" w:rsidP="00653CF4">
      <w:pPr>
        <w:pStyle w:val="BodyText"/>
        <w:numPr>
          <w:ilvl w:val="0"/>
          <w:numId w:val="12"/>
        </w:numPr>
        <w:rPr>
          <w:rFonts w:ascii="Aptos" w:hAnsi="Aptos"/>
          <w:b/>
          <w:bCs/>
          <w:color w:val="1F4E79" w:themeColor="accent5" w:themeShade="80"/>
          <w:sz w:val="28"/>
          <w:szCs w:val="28"/>
        </w:rPr>
      </w:pPr>
      <w:r w:rsidRPr="00DF5CC6">
        <w:rPr>
          <w:rFonts w:ascii="Aptos" w:hAnsi="Aptos"/>
          <w:b/>
          <w:bCs/>
          <w:color w:val="1F4E79" w:themeColor="accent5" w:themeShade="80"/>
          <w:sz w:val="28"/>
          <w:szCs w:val="28"/>
        </w:rPr>
        <w:lastRenderedPageBreak/>
        <w:t>Responsive: A transport system that is responsive and resilient to the changing environment</w:t>
      </w:r>
    </w:p>
    <w:tbl>
      <w:tblPr>
        <w:tblStyle w:val="TableGrid"/>
        <w:tblW w:w="10598" w:type="dxa"/>
        <w:tblInd w:w="-11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6520"/>
        <w:gridCol w:w="1276"/>
      </w:tblGrid>
      <w:tr w:rsidR="00C70C1A" w:rsidRPr="00DF5CC6" w14:paraId="21094AA2" w14:textId="77777777" w:rsidTr="00C70C1A">
        <w:trPr>
          <w:trHeight w:val="737"/>
          <w:tblHeader/>
        </w:trPr>
        <w:tc>
          <w:tcPr>
            <w:tcW w:w="2802" w:type="dxa"/>
            <w:tcBorders>
              <w:bottom w:val="single" w:sz="4" w:space="0" w:color="BFBFBF" w:themeColor="background1" w:themeShade="BF"/>
            </w:tcBorders>
            <w:shd w:val="clear" w:color="auto" w:fill="1F4E79" w:themeFill="accent5" w:themeFillShade="80"/>
            <w:vAlign w:val="center"/>
          </w:tcPr>
          <w:p w14:paraId="0A102EDC" w14:textId="77777777" w:rsidR="00C70C1A" w:rsidRPr="00DF5CC6" w:rsidRDefault="00C70C1A">
            <w:pPr>
              <w:pStyle w:val="TableParagraph"/>
              <w:spacing w:before="0"/>
              <w:ind w:left="0"/>
              <w:rPr>
                <w:rFonts w:ascii="Aptos" w:hAnsi="Aptos" w:cs="Arial"/>
                <w:b/>
                <w:bCs/>
                <w:color w:val="FFFFFF"/>
                <w:sz w:val="22"/>
                <w:szCs w:val="22"/>
                <w:lang w:val="en-AU"/>
              </w:rPr>
            </w:pPr>
            <w:r w:rsidRPr="00DF5CC6">
              <w:rPr>
                <w:rFonts w:ascii="Aptos" w:hAnsi="Aptos" w:cs="Arial"/>
                <w:b/>
                <w:bCs/>
                <w:color w:val="FFFFFF"/>
                <w:sz w:val="22"/>
                <w:szCs w:val="22"/>
                <w:lang w:val="en-AU"/>
              </w:rPr>
              <w:t>Performance indicator</w:t>
            </w:r>
          </w:p>
        </w:tc>
        <w:tc>
          <w:tcPr>
            <w:tcW w:w="6520" w:type="dxa"/>
            <w:shd w:val="clear" w:color="auto" w:fill="1F4E79" w:themeFill="accent5" w:themeFillShade="80"/>
            <w:vAlign w:val="center"/>
          </w:tcPr>
          <w:p w14:paraId="29E27614" w14:textId="77777777" w:rsidR="00C70C1A" w:rsidRPr="00DF5CC6" w:rsidRDefault="00C70C1A">
            <w:pPr>
              <w:pStyle w:val="Tableheadings"/>
              <w:widowControl w:val="0"/>
              <w:autoSpaceDE w:val="0"/>
              <w:autoSpaceDN w:val="0"/>
              <w:spacing w:line="240" w:lineRule="auto"/>
              <w:rPr>
                <w:rFonts w:ascii="Aptos" w:hAnsi="Aptos" w:cs="Arial"/>
                <w:b w:val="0"/>
                <w:sz w:val="22"/>
                <w:szCs w:val="22"/>
                <w:lang w:val="en-AU"/>
              </w:rPr>
            </w:pPr>
            <w:r w:rsidRPr="00DF5CC6">
              <w:rPr>
                <w:rFonts w:ascii="Aptos" w:hAnsi="Aptos" w:cs="Arial"/>
                <w:sz w:val="22"/>
                <w:szCs w:val="22"/>
                <w:lang w:val="en-AU"/>
              </w:rPr>
              <w:t>Strategic measures</w:t>
            </w:r>
          </w:p>
        </w:tc>
        <w:tc>
          <w:tcPr>
            <w:tcW w:w="1276" w:type="dxa"/>
            <w:shd w:val="clear" w:color="auto" w:fill="1F4E79" w:themeFill="accent5" w:themeFillShade="80"/>
            <w:vAlign w:val="center"/>
          </w:tcPr>
          <w:p w14:paraId="6FD8B408" w14:textId="30754B8B" w:rsidR="00C70C1A" w:rsidRPr="00DF5CC6" w:rsidRDefault="00C70C1A">
            <w:pPr>
              <w:pStyle w:val="TableParagraph"/>
              <w:spacing w:before="0"/>
              <w:ind w:left="0"/>
              <w:rPr>
                <w:rFonts w:ascii="Aptos" w:hAnsi="Aptos" w:cs="Arial"/>
                <w:b/>
                <w:bCs/>
                <w:color w:val="FFFFFF"/>
                <w:sz w:val="22"/>
                <w:szCs w:val="22"/>
                <w:lang w:val="en-AU"/>
              </w:rPr>
            </w:pPr>
            <w:r w:rsidRPr="00DF5CC6">
              <w:rPr>
                <w:rFonts w:ascii="Aptos" w:hAnsi="Aptos" w:cs="Arial"/>
                <w:b/>
                <w:bCs/>
                <w:color w:val="FFFFFF"/>
                <w:sz w:val="22"/>
                <w:szCs w:val="22"/>
                <w:lang w:val="en-AU"/>
              </w:rPr>
              <w:t>Frequency</w:t>
            </w:r>
          </w:p>
        </w:tc>
      </w:tr>
      <w:tr w:rsidR="00C70C1A" w:rsidRPr="00DF5CC6" w14:paraId="3B17DAE8" w14:textId="77777777" w:rsidTr="00C70C1A">
        <w:trPr>
          <w:trHeight w:val="283"/>
        </w:trPr>
        <w:tc>
          <w:tcPr>
            <w:tcW w:w="2802" w:type="dxa"/>
            <w:vMerge w:val="restart"/>
            <w:shd w:val="clear" w:color="auto" w:fill="E6E6E6"/>
          </w:tcPr>
          <w:p w14:paraId="09B673A2" w14:textId="4883AF3B" w:rsidR="00C70C1A" w:rsidRPr="009E18F6" w:rsidRDefault="0072728C" w:rsidP="00B01F5F">
            <w:pPr>
              <w:pStyle w:val="ListParagraph"/>
              <w:numPr>
                <w:ilvl w:val="0"/>
                <w:numId w:val="16"/>
              </w:numPr>
              <w:rPr>
                <w:rFonts w:ascii="Aptos" w:hAnsi="Aptos"/>
                <w:b/>
                <w:sz w:val="22"/>
                <w:szCs w:val="22"/>
                <w:lang w:val="en-AU"/>
              </w:rPr>
            </w:pPr>
            <w:r w:rsidRPr="00DF5CC6">
              <w:rPr>
                <w:rFonts w:ascii="Aptos" w:hAnsi="Aptos"/>
                <w:b/>
                <w:sz w:val="22"/>
                <w:szCs w:val="22"/>
                <w:lang w:val="en-AU"/>
              </w:rPr>
              <w:t>Operations and reliability of the transport system</w:t>
            </w:r>
          </w:p>
        </w:tc>
        <w:tc>
          <w:tcPr>
            <w:tcW w:w="6520" w:type="dxa"/>
          </w:tcPr>
          <w:p w14:paraId="377EB2CB" w14:textId="292EC94A" w:rsidR="00C70C1A" w:rsidRPr="009E18F6" w:rsidRDefault="00C70C1A" w:rsidP="00B01F5F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>On-time running: Combined peaks Citytrain services</w:t>
            </w:r>
          </w:p>
        </w:tc>
        <w:tc>
          <w:tcPr>
            <w:tcW w:w="1276" w:type="dxa"/>
          </w:tcPr>
          <w:p w14:paraId="129DDE48" w14:textId="38C79958" w:rsidR="00C70C1A" w:rsidRPr="009E18F6" w:rsidRDefault="00C70C1A" w:rsidP="00B01F5F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>Quarterly</w:t>
            </w:r>
          </w:p>
        </w:tc>
      </w:tr>
      <w:tr w:rsidR="00C70C1A" w:rsidRPr="00DF5CC6" w14:paraId="33AF157A" w14:textId="77777777" w:rsidTr="00C70C1A">
        <w:trPr>
          <w:trHeight w:val="283"/>
        </w:trPr>
        <w:tc>
          <w:tcPr>
            <w:tcW w:w="2802" w:type="dxa"/>
            <w:vMerge/>
            <w:shd w:val="clear" w:color="auto" w:fill="E6E6E6"/>
          </w:tcPr>
          <w:p w14:paraId="1D35BAB1" w14:textId="77777777" w:rsidR="00C70C1A" w:rsidRPr="009E18F6" w:rsidRDefault="00C70C1A" w:rsidP="00B01F5F">
            <w:pPr>
              <w:pStyle w:val="ListParagraph"/>
              <w:numPr>
                <w:ilvl w:val="0"/>
                <w:numId w:val="16"/>
              </w:numPr>
              <w:rPr>
                <w:rFonts w:ascii="Aptos" w:hAnsi="Aptos"/>
                <w:b/>
                <w:sz w:val="22"/>
                <w:szCs w:val="22"/>
                <w:lang w:val="en-AU"/>
              </w:rPr>
            </w:pPr>
          </w:p>
        </w:tc>
        <w:tc>
          <w:tcPr>
            <w:tcW w:w="6520" w:type="dxa"/>
          </w:tcPr>
          <w:p w14:paraId="3147EBEC" w14:textId="34F4B51F" w:rsidR="00C70C1A" w:rsidRPr="009E18F6" w:rsidRDefault="00C70C1A" w:rsidP="00B01F5F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 xml:space="preserve">Reliability: 24/7 Citytrain services </w:t>
            </w:r>
          </w:p>
        </w:tc>
        <w:tc>
          <w:tcPr>
            <w:tcW w:w="1276" w:type="dxa"/>
          </w:tcPr>
          <w:p w14:paraId="2F328B7C" w14:textId="69BFD011" w:rsidR="00C70C1A" w:rsidRPr="009E18F6" w:rsidRDefault="00C70C1A" w:rsidP="00B01F5F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>Quarterly</w:t>
            </w:r>
          </w:p>
        </w:tc>
      </w:tr>
      <w:tr w:rsidR="00C70C1A" w:rsidRPr="00DF5CC6" w14:paraId="3843FD8B" w14:textId="77777777" w:rsidTr="00C70C1A">
        <w:trPr>
          <w:trHeight w:val="534"/>
        </w:trPr>
        <w:tc>
          <w:tcPr>
            <w:tcW w:w="2802" w:type="dxa"/>
            <w:vMerge w:val="restart"/>
            <w:shd w:val="clear" w:color="auto" w:fill="E6E6E6"/>
          </w:tcPr>
          <w:p w14:paraId="077F2F41" w14:textId="607CB59E" w:rsidR="00C70C1A" w:rsidRPr="009E18F6" w:rsidRDefault="00C70C1A" w:rsidP="00B01F5F">
            <w:pPr>
              <w:pStyle w:val="ListParagraph"/>
              <w:numPr>
                <w:ilvl w:val="0"/>
                <w:numId w:val="16"/>
              </w:numPr>
              <w:rPr>
                <w:rFonts w:ascii="Aptos" w:hAnsi="Aptos"/>
                <w:b/>
                <w:bCs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b/>
                <w:bCs/>
                <w:sz w:val="22"/>
                <w:szCs w:val="22"/>
                <w:lang w:val="en-AU"/>
              </w:rPr>
              <w:t xml:space="preserve">Responsive to unplanned events and opportunities </w:t>
            </w:r>
          </w:p>
        </w:tc>
        <w:tc>
          <w:tcPr>
            <w:tcW w:w="6520" w:type="dxa"/>
            <w:shd w:val="clear" w:color="auto" w:fill="auto"/>
          </w:tcPr>
          <w:p w14:paraId="35448C08" w14:textId="3E026C01" w:rsidR="00C70C1A" w:rsidRPr="009E18F6" w:rsidRDefault="00C70C1A" w:rsidP="00B01F5F">
            <w:pPr>
              <w:rPr>
                <w:rFonts w:ascii="Aptos" w:hAnsi="Aptos"/>
                <w:bCs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>Percentage of business areas with a current Process for Continuity of Business in place</w:t>
            </w:r>
          </w:p>
        </w:tc>
        <w:tc>
          <w:tcPr>
            <w:tcW w:w="1276" w:type="dxa"/>
            <w:shd w:val="clear" w:color="auto" w:fill="auto"/>
          </w:tcPr>
          <w:p w14:paraId="21BCEA52" w14:textId="0EFC11B8" w:rsidR="00C70C1A" w:rsidRPr="009E18F6" w:rsidRDefault="00C70C1A" w:rsidP="00B01F5F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>Bi-annual</w:t>
            </w:r>
          </w:p>
        </w:tc>
      </w:tr>
      <w:tr w:rsidR="00C70C1A" w:rsidRPr="00DF5CC6" w14:paraId="18C671DF" w14:textId="77777777" w:rsidTr="00C70C1A">
        <w:trPr>
          <w:trHeight w:val="534"/>
        </w:trPr>
        <w:tc>
          <w:tcPr>
            <w:tcW w:w="2802" w:type="dxa"/>
            <w:vMerge/>
            <w:shd w:val="clear" w:color="auto" w:fill="E6E6E6"/>
          </w:tcPr>
          <w:p w14:paraId="54E5D978" w14:textId="77777777" w:rsidR="00C70C1A" w:rsidRPr="009E18F6" w:rsidRDefault="00C70C1A" w:rsidP="00B01F5F">
            <w:pPr>
              <w:pStyle w:val="ListParagraph"/>
              <w:numPr>
                <w:ilvl w:val="0"/>
                <w:numId w:val="16"/>
              </w:numPr>
              <w:rPr>
                <w:rFonts w:ascii="Aptos" w:hAnsi="Aptos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6520" w:type="dxa"/>
            <w:shd w:val="clear" w:color="auto" w:fill="auto"/>
          </w:tcPr>
          <w:p w14:paraId="10D4A258" w14:textId="1B03B641" w:rsidR="00C70C1A" w:rsidRPr="009E18F6" w:rsidRDefault="00C70C1A" w:rsidP="00B01F5F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>Percentage of business areas having completed their annual continuity exercise</w:t>
            </w:r>
          </w:p>
        </w:tc>
        <w:tc>
          <w:tcPr>
            <w:tcW w:w="1276" w:type="dxa"/>
            <w:shd w:val="clear" w:color="auto" w:fill="auto"/>
          </w:tcPr>
          <w:p w14:paraId="4864C3F7" w14:textId="01B9BE41" w:rsidR="00C70C1A" w:rsidRPr="009E18F6" w:rsidRDefault="00C70C1A" w:rsidP="00B01F5F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>Bi-annual</w:t>
            </w:r>
          </w:p>
        </w:tc>
      </w:tr>
      <w:tr w:rsidR="0072728C" w:rsidRPr="00DF5CC6" w14:paraId="0068632E" w14:textId="77777777" w:rsidTr="00C70C1A">
        <w:trPr>
          <w:trHeight w:val="534"/>
        </w:trPr>
        <w:tc>
          <w:tcPr>
            <w:tcW w:w="2802" w:type="dxa"/>
            <w:vMerge w:val="restart"/>
            <w:shd w:val="clear" w:color="auto" w:fill="E6E6E6"/>
          </w:tcPr>
          <w:p w14:paraId="570A7780" w14:textId="452B49CF" w:rsidR="0072728C" w:rsidRPr="009E18F6" w:rsidRDefault="0072728C" w:rsidP="0072728C">
            <w:pPr>
              <w:pStyle w:val="ListParagraph"/>
              <w:numPr>
                <w:ilvl w:val="0"/>
                <w:numId w:val="16"/>
              </w:numPr>
              <w:rPr>
                <w:rFonts w:ascii="Aptos" w:hAnsi="Aptos"/>
                <w:b/>
                <w:bCs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b/>
                <w:bCs/>
                <w:sz w:val="22"/>
                <w:szCs w:val="22"/>
                <w:lang w:val="en-AU"/>
              </w:rPr>
              <w:t>Responsive and resilient services</w:t>
            </w:r>
          </w:p>
        </w:tc>
        <w:tc>
          <w:tcPr>
            <w:tcW w:w="6520" w:type="dxa"/>
            <w:shd w:val="clear" w:color="auto" w:fill="auto"/>
          </w:tcPr>
          <w:p w14:paraId="437F995B" w14:textId="49D72632" w:rsidR="0072728C" w:rsidRPr="00DF5CC6" w:rsidRDefault="0072728C" w:rsidP="0072728C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DF5CC6">
              <w:rPr>
                <w:rFonts w:ascii="Aptos" w:hAnsi="Aptos"/>
                <w:sz w:val="22"/>
                <w:szCs w:val="22"/>
                <w:lang w:val="en-AU"/>
              </w:rPr>
              <w:t xml:space="preserve">Customer experience ratings of </w:t>
            </w:r>
            <w:r w:rsidR="009520F0">
              <w:rPr>
                <w:rFonts w:ascii="Aptos" w:hAnsi="Aptos"/>
                <w:sz w:val="22"/>
                <w:szCs w:val="22"/>
                <w:lang w:val="en-AU"/>
              </w:rPr>
              <w:t>public</w:t>
            </w:r>
            <w:r w:rsidRPr="00DF5CC6">
              <w:rPr>
                <w:rFonts w:ascii="Aptos" w:hAnsi="Aptos"/>
                <w:sz w:val="22"/>
                <w:szCs w:val="22"/>
                <w:lang w:val="en-AU"/>
              </w:rPr>
              <w:t xml:space="preserve"> transport service by type (on a scale of 1 to 5):</w:t>
            </w:r>
          </w:p>
          <w:p w14:paraId="112B0550" w14:textId="77777777" w:rsidR="0072728C" w:rsidRPr="00DF5CC6" w:rsidRDefault="0072728C" w:rsidP="0072728C">
            <w:pPr>
              <w:pStyle w:val="ListParagraph"/>
              <w:numPr>
                <w:ilvl w:val="0"/>
                <w:numId w:val="28"/>
              </w:numPr>
              <w:rPr>
                <w:rFonts w:ascii="Aptos" w:hAnsi="Aptos"/>
                <w:sz w:val="22"/>
                <w:szCs w:val="22"/>
                <w:lang w:val="en-AU"/>
              </w:rPr>
            </w:pPr>
            <w:proofErr w:type="gramStart"/>
            <w:r w:rsidRPr="00DF5CC6">
              <w:rPr>
                <w:rFonts w:ascii="Aptos" w:hAnsi="Aptos"/>
                <w:sz w:val="22"/>
                <w:szCs w:val="22"/>
                <w:lang w:val="en-AU"/>
              </w:rPr>
              <w:t>South East</w:t>
            </w:r>
            <w:proofErr w:type="gramEnd"/>
            <w:r w:rsidRPr="00DF5CC6">
              <w:rPr>
                <w:rFonts w:ascii="Aptos" w:hAnsi="Aptos"/>
                <w:sz w:val="22"/>
                <w:szCs w:val="22"/>
                <w:lang w:val="en-AU"/>
              </w:rPr>
              <w:t xml:space="preserve"> Queensland bus</w:t>
            </w:r>
          </w:p>
          <w:p w14:paraId="3A778BF4" w14:textId="77777777" w:rsidR="0072728C" w:rsidRPr="00DF5CC6" w:rsidRDefault="0072728C" w:rsidP="0072728C">
            <w:pPr>
              <w:pStyle w:val="ListParagraph"/>
              <w:numPr>
                <w:ilvl w:val="0"/>
                <w:numId w:val="28"/>
              </w:numPr>
              <w:rPr>
                <w:rFonts w:ascii="Aptos" w:hAnsi="Aptos"/>
                <w:sz w:val="22"/>
                <w:szCs w:val="22"/>
                <w:lang w:val="en-AU"/>
              </w:rPr>
            </w:pPr>
            <w:proofErr w:type="gramStart"/>
            <w:r w:rsidRPr="00DF5CC6">
              <w:rPr>
                <w:rFonts w:ascii="Aptos" w:hAnsi="Aptos"/>
                <w:sz w:val="22"/>
                <w:szCs w:val="22"/>
                <w:lang w:val="en-AU"/>
              </w:rPr>
              <w:t>South East</w:t>
            </w:r>
            <w:proofErr w:type="gramEnd"/>
            <w:r w:rsidRPr="00DF5CC6">
              <w:rPr>
                <w:rFonts w:ascii="Aptos" w:hAnsi="Aptos"/>
                <w:sz w:val="22"/>
                <w:szCs w:val="22"/>
                <w:lang w:val="en-AU"/>
              </w:rPr>
              <w:t xml:space="preserve"> Queensland rail</w:t>
            </w:r>
          </w:p>
          <w:p w14:paraId="1740EAD5" w14:textId="77777777" w:rsidR="0072728C" w:rsidRPr="00DF5CC6" w:rsidRDefault="0072728C" w:rsidP="0072728C">
            <w:pPr>
              <w:pStyle w:val="ListParagraph"/>
              <w:numPr>
                <w:ilvl w:val="0"/>
                <w:numId w:val="28"/>
              </w:numPr>
              <w:rPr>
                <w:rFonts w:ascii="Aptos" w:hAnsi="Aptos"/>
                <w:sz w:val="22"/>
                <w:szCs w:val="22"/>
                <w:lang w:val="en-AU"/>
              </w:rPr>
            </w:pPr>
            <w:proofErr w:type="gramStart"/>
            <w:r w:rsidRPr="00DF5CC6">
              <w:rPr>
                <w:rFonts w:ascii="Aptos" w:hAnsi="Aptos"/>
                <w:sz w:val="22"/>
                <w:szCs w:val="22"/>
                <w:lang w:val="en-AU"/>
              </w:rPr>
              <w:t>South East</w:t>
            </w:r>
            <w:proofErr w:type="gramEnd"/>
            <w:r w:rsidRPr="00DF5CC6">
              <w:rPr>
                <w:rFonts w:ascii="Aptos" w:hAnsi="Aptos"/>
                <w:sz w:val="22"/>
                <w:szCs w:val="22"/>
                <w:lang w:val="en-AU"/>
              </w:rPr>
              <w:t xml:space="preserve"> Queensland ferry</w:t>
            </w:r>
          </w:p>
          <w:p w14:paraId="307DA307" w14:textId="77777777" w:rsidR="0072728C" w:rsidRPr="00DF5CC6" w:rsidRDefault="0072728C" w:rsidP="0072728C">
            <w:pPr>
              <w:pStyle w:val="ListParagraph"/>
              <w:numPr>
                <w:ilvl w:val="0"/>
                <w:numId w:val="28"/>
              </w:numPr>
              <w:rPr>
                <w:rFonts w:ascii="Aptos" w:hAnsi="Aptos"/>
                <w:sz w:val="22"/>
                <w:szCs w:val="22"/>
                <w:lang w:val="en-AU"/>
              </w:rPr>
            </w:pPr>
            <w:proofErr w:type="gramStart"/>
            <w:r w:rsidRPr="00DF5CC6">
              <w:rPr>
                <w:rFonts w:ascii="Aptos" w:hAnsi="Aptos"/>
                <w:sz w:val="22"/>
                <w:szCs w:val="22"/>
                <w:lang w:val="en-AU"/>
              </w:rPr>
              <w:t>South East</w:t>
            </w:r>
            <w:proofErr w:type="gramEnd"/>
            <w:r w:rsidRPr="00DF5CC6">
              <w:rPr>
                <w:rFonts w:ascii="Aptos" w:hAnsi="Aptos"/>
                <w:sz w:val="22"/>
                <w:szCs w:val="22"/>
                <w:lang w:val="en-AU"/>
              </w:rPr>
              <w:t xml:space="preserve"> Queensland tram</w:t>
            </w:r>
          </w:p>
          <w:p w14:paraId="4797607C" w14:textId="5EE41F7A" w:rsidR="0072728C" w:rsidRPr="009E18F6" w:rsidRDefault="0072728C" w:rsidP="0072728C">
            <w:pPr>
              <w:rPr>
                <w:rFonts w:ascii="Aptos" w:hAnsi="Aptos"/>
                <w:bCs/>
                <w:sz w:val="22"/>
                <w:szCs w:val="22"/>
                <w:lang w:val="en-AU"/>
              </w:rPr>
            </w:pPr>
            <w:r w:rsidRPr="00DF5CC6">
              <w:rPr>
                <w:rFonts w:ascii="Aptos" w:hAnsi="Aptos"/>
                <w:sz w:val="22"/>
                <w:szCs w:val="22"/>
                <w:lang w:val="en-AU"/>
              </w:rPr>
              <w:t>Regional urban bus</w:t>
            </w:r>
          </w:p>
        </w:tc>
        <w:tc>
          <w:tcPr>
            <w:tcW w:w="1276" w:type="dxa"/>
          </w:tcPr>
          <w:p w14:paraId="155D5FF9" w14:textId="049B04B9" w:rsidR="0072728C" w:rsidRPr="009E18F6" w:rsidRDefault="0072728C" w:rsidP="0072728C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>Quarterly</w:t>
            </w:r>
          </w:p>
        </w:tc>
      </w:tr>
      <w:tr w:rsidR="0072728C" w:rsidRPr="00DF5CC6" w14:paraId="270F95D0" w14:textId="77777777" w:rsidTr="00C70C1A">
        <w:trPr>
          <w:trHeight w:val="534"/>
        </w:trPr>
        <w:tc>
          <w:tcPr>
            <w:tcW w:w="2802" w:type="dxa"/>
            <w:vMerge/>
            <w:shd w:val="clear" w:color="auto" w:fill="E6E6E6"/>
          </w:tcPr>
          <w:p w14:paraId="273D27E9" w14:textId="77777777" w:rsidR="0072728C" w:rsidRPr="0072728C" w:rsidRDefault="0072728C" w:rsidP="0072728C">
            <w:pPr>
              <w:rPr>
                <w:rFonts w:ascii="Aptos" w:hAnsi="Aptos"/>
                <w:b/>
                <w:bCs/>
              </w:rPr>
            </w:pPr>
          </w:p>
        </w:tc>
        <w:tc>
          <w:tcPr>
            <w:tcW w:w="6520" w:type="dxa"/>
            <w:shd w:val="clear" w:color="auto" w:fill="auto"/>
          </w:tcPr>
          <w:p w14:paraId="7030DC00" w14:textId="224D9C99" w:rsidR="0072728C" w:rsidRPr="00DF5CC6" w:rsidRDefault="0072728C" w:rsidP="0072728C">
            <w:pPr>
              <w:rPr>
                <w:rFonts w:ascii="Aptos" w:hAnsi="Aptos"/>
              </w:rPr>
            </w:pPr>
            <w:r w:rsidRPr="00DF5CC6">
              <w:rPr>
                <w:rFonts w:ascii="Aptos" w:hAnsi="Aptos"/>
                <w:sz w:val="22"/>
                <w:szCs w:val="22"/>
                <w:lang w:val="en-AU"/>
              </w:rPr>
              <w:t xml:space="preserve">Customer service complaints in </w:t>
            </w:r>
            <w:proofErr w:type="gramStart"/>
            <w:r w:rsidRPr="00DF5CC6">
              <w:rPr>
                <w:rFonts w:ascii="Aptos" w:hAnsi="Aptos"/>
                <w:sz w:val="22"/>
                <w:szCs w:val="22"/>
                <w:lang w:val="en-AU"/>
              </w:rPr>
              <w:t>South East</w:t>
            </w:r>
            <w:proofErr w:type="gramEnd"/>
            <w:r w:rsidRPr="00DF5CC6">
              <w:rPr>
                <w:rFonts w:ascii="Aptos" w:hAnsi="Aptos"/>
                <w:sz w:val="22"/>
                <w:szCs w:val="22"/>
                <w:lang w:val="en-AU"/>
              </w:rPr>
              <w:t xml:space="preserve"> Queensland per 10,000 </w:t>
            </w:r>
            <w:r w:rsidR="009520F0">
              <w:rPr>
                <w:rFonts w:ascii="Aptos" w:hAnsi="Aptos"/>
                <w:sz w:val="22"/>
                <w:szCs w:val="22"/>
                <w:lang w:val="en-AU"/>
              </w:rPr>
              <w:t>public</w:t>
            </w:r>
            <w:r w:rsidR="009520F0" w:rsidRPr="00DF5CC6">
              <w:rPr>
                <w:rFonts w:ascii="Aptos" w:hAnsi="Aptos"/>
                <w:sz w:val="22"/>
                <w:szCs w:val="22"/>
                <w:lang w:val="en-AU"/>
              </w:rPr>
              <w:t xml:space="preserve"> transport </w:t>
            </w:r>
            <w:r w:rsidRPr="00DF5CC6">
              <w:rPr>
                <w:rFonts w:ascii="Aptos" w:hAnsi="Aptos"/>
                <w:sz w:val="22"/>
                <w:szCs w:val="22"/>
                <w:lang w:val="en-AU"/>
              </w:rPr>
              <w:t>trips</w:t>
            </w:r>
          </w:p>
        </w:tc>
        <w:tc>
          <w:tcPr>
            <w:tcW w:w="1276" w:type="dxa"/>
          </w:tcPr>
          <w:p w14:paraId="1D74DB59" w14:textId="7960E272" w:rsidR="0072728C" w:rsidRPr="009E18F6" w:rsidRDefault="0072728C" w:rsidP="0072728C">
            <w:pPr>
              <w:rPr>
                <w:rFonts w:ascii="Aptos" w:hAnsi="Aptos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>Quarterly</w:t>
            </w:r>
          </w:p>
        </w:tc>
      </w:tr>
    </w:tbl>
    <w:p w14:paraId="06698255" w14:textId="2439E925" w:rsidR="000E64D4" w:rsidRPr="00DF5CC6" w:rsidRDefault="000E64D4">
      <w:pPr>
        <w:spacing w:after="160" w:line="259" w:lineRule="auto"/>
        <w:rPr>
          <w:rFonts w:ascii="Aptos" w:hAnsi="Aptos"/>
        </w:rPr>
      </w:pPr>
    </w:p>
    <w:p w14:paraId="4998409B" w14:textId="152CE7FF" w:rsidR="00304C64" w:rsidRPr="00DF5CC6" w:rsidRDefault="00304C64" w:rsidP="006D6CD5">
      <w:pPr>
        <w:pStyle w:val="BodyText"/>
        <w:numPr>
          <w:ilvl w:val="0"/>
          <w:numId w:val="12"/>
        </w:numPr>
        <w:rPr>
          <w:rFonts w:ascii="Aptos" w:hAnsi="Aptos"/>
          <w:b/>
          <w:bCs/>
          <w:color w:val="1F4E79" w:themeColor="accent5" w:themeShade="80"/>
        </w:rPr>
      </w:pPr>
      <w:r w:rsidRPr="00DF5CC6">
        <w:rPr>
          <w:rFonts w:ascii="Aptos" w:hAnsi="Aptos"/>
          <w:b/>
          <w:bCs/>
          <w:color w:val="1F4E79" w:themeColor="accent5" w:themeShade="80"/>
          <w:sz w:val="28"/>
          <w:szCs w:val="28"/>
        </w:rPr>
        <w:t>Efficient and productive: A transport system that is a key enabler of economic activity</w:t>
      </w:r>
    </w:p>
    <w:tbl>
      <w:tblPr>
        <w:tblStyle w:val="TableGrid"/>
        <w:tblW w:w="10598" w:type="dxa"/>
        <w:tblInd w:w="-11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6520"/>
        <w:gridCol w:w="1276"/>
      </w:tblGrid>
      <w:tr w:rsidR="00C70C1A" w:rsidRPr="00DF5CC6" w14:paraId="0857D42B" w14:textId="77777777" w:rsidTr="00474315">
        <w:trPr>
          <w:trHeight w:val="737"/>
          <w:tblHeader/>
        </w:trPr>
        <w:tc>
          <w:tcPr>
            <w:tcW w:w="2802" w:type="dxa"/>
            <w:tcBorders>
              <w:bottom w:val="single" w:sz="4" w:space="0" w:color="BFBFBF" w:themeColor="background1" w:themeShade="BF"/>
            </w:tcBorders>
            <w:shd w:val="clear" w:color="auto" w:fill="1F4E79" w:themeFill="accent5" w:themeFillShade="80"/>
            <w:vAlign w:val="center"/>
          </w:tcPr>
          <w:p w14:paraId="0C823186" w14:textId="77777777" w:rsidR="00C70C1A" w:rsidRPr="00DF5CC6" w:rsidRDefault="00C70C1A">
            <w:pPr>
              <w:pStyle w:val="TableParagraph"/>
              <w:spacing w:before="0"/>
              <w:ind w:left="0"/>
              <w:rPr>
                <w:rFonts w:ascii="Aptos" w:hAnsi="Aptos" w:cs="Arial"/>
                <w:b/>
                <w:bCs/>
                <w:color w:val="FFFFFF"/>
                <w:sz w:val="22"/>
                <w:szCs w:val="22"/>
                <w:lang w:val="en-AU"/>
              </w:rPr>
            </w:pPr>
            <w:r w:rsidRPr="00DF5CC6">
              <w:rPr>
                <w:rFonts w:ascii="Aptos" w:hAnsi="Aptos" w:cs="Arial"/>
                <w:b/>
                <w:bCs/>
                <w:color w:val="FFFFFF"/>
                <w:sz w:val="22"/>
                <w:szCs w:val="22"/>
                <w:lang w:val="en-AU"/>
              </w:rPr>
              <w:t>Performance indicator</w:t>
            </w:r>
          </w:p>
        </w:tc>
        <w:tc>
          <w:tcPr>
            <w:tcW w:w="6520" w:type="dxa"/>
            <w:shd w:val="clear" w:color="auto" w:fill="1F4E79" w:themeFill="accent5" w:themeFillShade="80"/>
            <w:vAlign w:val="center"/>
          </w:tcPr>
          <w:p w14:paraId="79B2A689" w14:textId="77777777" w:rsidR="00C70C1A" w:rsidRPr="00DF5CC6" w:rsidRDefault="00C70C1A">
            <w:pPr>
              <w:pStyle w:val="Tableheadings"/>
              <w:widowControl w:val="0"/>
              <w:autoSpaceDE w:val="0"/>
              <w:autoSpaceDN w:val="0"/>
              <w:spacing w:line="240" w:lineRule="auto"/>
              <w:rPr>
                <w:rFonts w:ascii="Aptos" w:hAnsi="Aptos" w:cs="Arial"/>
                <w:b w:val="0"/>
                <w:sz w:val="22"/>
                <w:szCs w:val="22"/>
                <w:lang w:val="en-AU"/>
              </w:rPr>
            </w:pPr>
            <w:r w:rsidRPr="00DF5CC6">
              <w:rPr>
                <w:rFonts w:ascii="Aptos" w:hAnsi="Aptos" w:cs="Arial"/>
                <w:sz w:val="22"/>
                <w:szCs w:val="22"/>
                <w:lang w:val="en-AU"/>
              </w:rPr>
              <w:t>Strategic measures</w:t>
            </w:r>
          </w:p>
        </w:tc>
        <w:tc>
          <w:tcPr>
            <w:tcW w:w="1276" w:type="dxa"/>
            <w:shd w:val="clear" w:color="auto" w:fill="1F4E79" w:themeFill="accent5" w:themeFillShade="80"/>
            <w:vAlign w:val="center"/>
          </w:tcPr>
          <w:p w14:paraId="55ABD333" w14:textId="5F950CA8" w:rsidR="00C70C1A" w:rsidRPr="00DF5CC6" w:rsidRDefault="00C70C1A">
            <w:pPr>
              <w:pStyle w:val="TableParagraph"/>
              <w:spacing w:before="0"/>
              <w:ind w:left="0"/>
              <w:rPr>
                <w:rFonts w:ascii="Aptos" w:hAnsi="Aptos" w:cs="Arial"/>
                <w:b/>
                <w:bCs/>
                <w:color w:val="FFFFFF"/>
                <w:sz w:val="22"/>
                <w:szCs w:val="22"/>
                <w:lang w:val="en-AU"/>
              </w:rPr>
            </w:pPr>
            <w:r w:rsidRPr="00DF5CC6">
              <w:rPr>
                <w:rFonts w:ascii="Aptos" w:hAnsi="Aptos" w:cs="Arial"/>
                <w:b/>
                <w:bCs/>
                <w:color w:val="FFFFFF"/>
                <w:sz w:val="22"/>
                <w:szCs w:val="22"/>
                <w:lang w:val="en-AU"/>
              </w:rPr>
              <w:t>Frequency</w:t>
            </w:r>
          </w:p>
        </w:tc>
      </w:tr>
      <w:tr w:rsidR="00C70C1A" w:rsidRPr="00DF5CC6" w14:paraId="627613FC" w14:textId="77777777" w:rsidTr="00474315">
        <w:trPr>
          <w:trHeight w:val="283"/>
        </w:trPr>
        <w:tc>
          <w:tcPr>
            <w:tcW w:w="2802" w:type="dxa"/>
            <w:vMerge w:val="restart"/>
            <w:shd w:val="clear" w:color="auto" w:fill="E6E6E6"/>
          </w:tcPr>
          <w:p w14:paraId="2C732DBE" w14:textId="466C368B" w:rsidR="00C70C1A" w:rsidRPr="00DF5CC6" w:rsidRDefault="00C70C1A" w:rsidP="00304C64">
            <w:pPr>
              <w:pStyle w:val="ListParagraph"/>
              <w:numPr>
                <w:ilvl w:val="0"/>
                <w:numId w:val="17"/>
              </w:numPr>
              <w:rPr>
                <w:rFonts w:ascii="Aptos" w:hAnsi="Aptos"/>
                <w:b/>
                <w:sz w:val="22"/>
                <w:szCs w:val="22"/>
                <w:lang w:val="en-AU"/>
              </w:rPr>
            </w:pPr>
            <w:r w:rsidRPr="00DF5CC6">
              <w:rPr>
                <w:rFonts w:ascii="Aptos" w:hAnsi="Aptos"/>
                <w:b/>
                <w:sz w:val="22"/>
                <w:szCs w:val="22"/>
                <w:lang w:val="en-AU"/>
              </w:rPr>
              <w:t>Efficiency and reliability in the movement of goods and services</w:t>
            </w:r>
          </w:p>
        </w:tc>
        <w:tc>
          <w:tcPr>
            <w:tcW w:w="6520" w:type="dxa"/>
          </w:tcPr>
          <w:p w14:paraId="59AEADBC" w14:textId="0CE0EB82" w:rsidR="00C70C1A" w:rsidRPr="009E18F6" w:rsidRDefault="00C70C1A" w:rsidP="00304C64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 xml:space="preserve">Administrative cost to plan and develop the Queensland Transport and Roads Investment Program (QTRIP) per $1,000 of the overall value of the program </w:t>
            </w:r>
          </w:p>
        </w:tc>
        <w:tc>
          <w:tcPr>
            <w:tcW w:w="1276" w:type="dxa"/>
          </w:tcPr>
          <w:p w14:paraId="1D4BEBBA" w14:textId="2B903F77" w:rsidR="00C70C1A" w:rsidRPr="00DF5CC6" w:rsidRDefault="00C70C1A" w:rsidP="00304C64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DF5CC6">
              <w:rPr>
                <w:rFonts w:ascii="Aptos" w:hAnsi="Aptos"/>
                <w:sz w:val="22"/>
                <w:szCs w:val="22"/>
                <w:lang w:val="en-AU"/>
              </w:rPr>
              <w:t>Quarterly</w:t>
            </w:r>
          </w:p>
        </w:tc>
      </w:tr>
      <w:tr w:rsidR="00C70C1A" w:rsidRPr="00DF5CC6" w14:paraId="65419083" w14:textId="77777777" w:rsidTr="00474315">
        <w:trPr>
          <w:trHeight w:val="283"/>
        </w:trPr>
        <w:tc>
          <w:tcPr>
            <w:tcW w:w="2802" w:type="dxa"/>
            <w:vMerge/>
            <w:shd w:val="clear" w:color="auto" w:fill="E6E6E6"/>
          </w:tcPr>
          <w:p w14:paraId="2F74F99C" w14:textId="77777777" w:rsidR="00C70C1A" w:rsidRPr="00DF5CC6" w:rsidRDefault="00C70C1A" w:rsidP="00E25CDC">
            <w:pPr>
              <w:pStyle w:val="ListParagraph"/>
              <w:numPr>
                <w:ilvl w:val="0"/>
                <w:numId w:val="17"/>
              </w:numPr>
              <w:rPr>
                <w:rFonts w:ascii="Aptos" w:hAnsi="Aptos"/>
                <w:b/>
                <w:sz w:val="22"/>
                <w:szCs w:val="22"/>
                <w:lang w:val="en-AU"/>
              </w:rPr>
            </w:pPr>
          </w:p>
        </w:tc>
        <w:tc>
          <w:tcPr>
            <w:tcW w:w="6520" w:type="dxa"/>
            <w:shd w:val="clear" w:color="auto" w:fill="auto"/>
          </w:tcPr>
          <w:p w14:paraId="3598A373" w14:textId="5A47E8EE" w:rsidR="00C70C1A" w:rsidRPr="009E18F6" w:rsidRDefault="00C70C1A" w:rsidP="00E25CDC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>Urban road system condition – the percentage of urban state-controlled roads with condition better than the specified benchmark</w:t>
            </w:r>
          </w:p>
        </w:tc>
        <w:tc>
          <w:tcPr>
            <w:tcW w:w="1276" w:type="dxa"/>
          </w:tcPr>
          <w:p w14:paraId="3BC33B15" w14:textId="31E60869" w:rsidR="00C70C1A" w:rsidRPr="00DF5CC6" w:rsidRDefault="00C70C1A" w:rsidP="00E25CDC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DF5CC6">
              <w:rPr>
                <w:rFonts w:ascii="Aptos" w:hAnsi="Aptos"/>
                <w:sz w:val="22"/>
                <w:szCs w:val="22"/>
                <w:lang w:val="en-AU"/>
              </w:rPr>
              <w:t>Quarterly</w:t>
            </w:r>
          </w:p>
        </w:tc>
      </w:tr>
      <w:tr w:rsidR="00C70C1A" w:rsidRPr="00DF5CC6" w14:paraId="43EFEC05" w14:textId="77777777" w:rsidTr="00474315">
        <w:trPr>
          <w:trHeight w:val="283"/>
        </w:trPr>
        <w:tc>
          <w:tcPr>
            <w:tcW w:w="2802" w:type="dxa"/>
            <w:vMerge/>
            <w:shd w:val="clear" w:color="auto" w:fill="E6E6E6"/>
          </w:tcPr>
          <w:p w14:paraId="0646285D" w14:textId="77777777" w:rsidR="00C70C1A" w:rsidRPr="00DF5CC6" w:rsidRDefault="00C70C1A" w:rsidP="00222C99">
            <w:pPr>
              <w:pStyle w:val="ListParagraph"/>
              <w:numPr>
                <w:ilvl w:val="0"/>
                <w:numId w:val="17"/>
              </w:numPr>
              <w:rPr>
                <w:rFonts w:ascii="Aptos" w:hAnsi="Aptos"/>
                <w:b/>
                <w:sz w:val="22"/>
                <w:szCs w:val="22"/>
                <w:lang w:val="en-AU"/>
              </w:rPr>
            </w:pPr>
          </w:p>
        </w:tc>
        <w:tc>
          <w:tcPr>
            <w:tcW w:w="6520" w:type="dxa"/>
            <w:shd w:val="clear" w:color="auto" w:fill="auto"/>
          </w:tcPr>
          <w:p w14:paraId="4C873719" w14:textId="3BECE091" w:rsidR="00C70C1A" w:rsidRPr="009E18F6" w:rsidRDefault="00C70C1A" w:rsidP="00222C99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>Rural road system condition – the percentage of rural state-controlled roads with condition better than the specified benchmark</w:t>
            </w:r>
          </w:p>
        </w:tc>
        <w:tc>
          <w:tcPr>
            <w:tcW w:w="1276" w:type="dxa"/>
          </w:tcPr>
          <w:p w14:paraId="7A59A693" w14:textId="285A2AB5" w:rsidR="00C70C1A" w:rsidRPr="00DF5CC6" w:rsidRDefault="00C70C1A" w:rsidP="00222C99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DF5CC6">
              <w:rPr>
                <w:rFonts w:ascii="Aptos" w:hAnsi="Aptos"/>
                <w:sz w:val="22"/>
                <w:szCs w:val="22"/>
                <w:lang w:val="en-AU"/>
              </w:rPr>
              <w:t>Quarterly</w:t>
            </w:r>
          </w:p>
        </w:tc>
      </w:tr>
      <w:tr w:rsidR="00C70C1A" w:rsidRPr="00DF5CC6" w14:paraId="60A1FED6" w14:textId="77777777" w:rsidTr="00474315">
        <w:trPr>
          <w:trHeight w:val="283"/>
        </w:trPr>
        <w:tc>
          <w:tcPr>
            <w:tcW w:w="2802" w:type="dxa"/>
            <w:vMerge/>
            <w:shd w:val="clear" w:color="auto" w:fill="E6E6E6"/>
          </w:tcPr>
          <w:p w14:paraId="7B3913E4" w14:textId="77777777" w:rsidR="00C70C1A" w:rsidRPr="00DF5CC6" w:rsidRDefault="00C70C1A" w:rsidP="00222C99">
            <w:pPr>
              <w:pStyle w:val="ListParagraph"/>
              <w:numPr>
                <w:ilvl w:val="0"/>
                <w:numId w:val="17"/>
              </w:numPr>
              <w:rPr>
                <w:rFonts w:ascii="Aptos" w:hAnsi="Aptos"/>
                <w:b/>
                <w:sz w:val="22"/>
                <w:szCs w:val="22"/>
                <w:lang w:val="en-AU"/>
              </w:rPr>
            </w:pPr>
          </w:p>
        </w:tc>
        <w:tc>
          <w:tcPr>
            <w:tcW w:w="6520" w:type="dxa"/>
            <w:shd w:val="clear" w:color="auto" w:fill="auto"/>
          </w:tcPr>
          <w:p w14:paraId="57BD11BB" w14:textId="32D785E2" w:rsidR="00C70C1A" w:rsidRPr="009E18F6" w:rsidRDefault="00C70C1A" w:rsidP="00222C99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>Road ride quality – Traffic weighted roughness (percentage of the network in very poor/poor condition)</w:t>
            </w:r>
          </w:p>
        </w:tc>
        <w:tc>
          <w:tcPr>
            <w:tcW w:w="1276" w:type="dxa"/>
          </w:tcPr>
          <w:p w14:paraId="0B5E0F2D" w14:textId="7D15CBC4" w:rsidR="00C70C1A" w:rsidRPr="00DF5CC6" w:rsidRDefault="00C70C1A" w:rsidP="00222C99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DF5CC6">
              <w:rPr>
                <w:rFonts w:ascii="Aptos" w:hAnsi="Aptos"/>
                <w:sz w:val="22"/>
                <w:szCs w:val="22"/>
                <w:lang w:val="en-AU"/>
              </w:rPr>
              <w:t>Quarterly</w:t>
            </w:r>
          </w:p>
        </w:tc>
      </w:tr>
      <w:tr w:rsidR="00C70C1A" w:rsidRPr="00DF5CC6" w14:paraId="19CEC35C" w14:textId="77777777" w:rsidTr="00474315">
        <w:trPr>
          <w:trHeight w:val="283"/>
        </w:trPr>
        <w:tc>
          <w:tcPr>
            <w:tcW w:w="2802" w:type="dxa"/>
            <w:vMerge/>
            <w:shd w:val="clear" w:color="auto" w:fill="E6E6E6"/>
          </w:tcPr>
          <w:p w14:paraId="66E99159" w14:textId="77777777" w:rsidR="00C70C1A" w:rsidRPr="00DF5CC6" w:rsidRDefault="00C70C1A" w:rsidP="004D1465">
            <w:pPr>
              <w:pStyle w:val="ListParagraph"/>
              <w:numPr>
                <w:ilvl w:val="0"/>
                <w:numId w:val="17"/>
              </w:numPr>
              <w:rPr>
                <w:rFonts w:ascii="Aptos" w:hAnsi="Aptos"/>
                <w:b/>
                <w:sz w:val="22"/>
                <w:szCs w:val="22"/>
                <w:lang w:val="en-AU"/>
              </w:rPr>
            </w:pPr>
          </w:p>
        </w:tc>
        <w:tc>
          <w:tcPr>
            <w:tcW w:w="6520" w:type="dxa"/>
          </w:tcPr>
          <w:p w14:paraId="797BF600" w14:textId="77777777" w:rsidR="00C70C1A" w:rsidRPr="009E18F6" w:rsidRDefault="00C70C1A" w:rsidP="004D1465">
            <w:pPr>
              <w:rPr>
                <w:rFonts w:ascii="Aptos" w:hAnsi="Aptos"/>
                <w:sz w:val="22"/>
                <w:szCs w:val="22"/>
                <w:lang w:val="en-AU"/>
              </w:rPr>
            </w:pPr>
            <w:proofErr w:type="gramStart"/>
            <w:r w:rsidRPr="009E18F6">
              <w:rPr>
                <w:rFonts w:ascii="Aptos" w:hAnsi="Aptos"/>
                <w:sz w:val="22"/>
                <w:szCs w:val="22"/>
                <w:lang w:val="en-AU"/>
              </w:rPr>
              <w:t>South East</w:t>
            </w:r>
            <w:proofErr w:type="gramEnd"/>
            <w:r w:rsidRPr="009E18F6">
              <w:rPr>
                <w:rFonts w:ascii="Aptos" w:hAnsi="Aptos"/>
                <w:sz w:val="22"/>
                <w:szCs w:val="22"/>
                <w:lang w:val="en-AU"/>
              </w:rPr>
              <w:t xml:space="preserve"> Queensland road network efficiency – Average travel time (minutes) per 10km:</w:t>
            </w:r>
          </w:p>
          <w:p w14:paraId="30C95301" w14:textId="77777777" w:rsidR="00C70C1A" w:rsidRPr="009E18F6" w:rsidRDefault="00C70C1A" w:rsidP="000D78C7">
            <w:pPr>
              <w:pStyle w:val="ListParagraph"/>
              <w:numPr>
                <w:ilvl w:val="0"/>
                <w:numId w:val="29"/>
              </w:numPr>
              <w:rPr>
                <w:rFonts w:ascii="Aptos" w:hAnsi="Aptos"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>AM peak</w:t>
            </w:r>
          </w:p>
          <w:p w14:paraId="2583FB18" w14:textId="77777777" w:rsidR="00C70C1A" w:rsidRPr="009E18F6" w:rsidRDefault="00C70C1A" w:rsidP="000D78C7">
            <w:pPr>
              <w:pStyle w:val="ListParagraph"/>
              <w:numPr>
                <w:ilvl w:val="0"/>
                <w:numId w:val="29"/>
              </w:numPr>
              <w:rPr>
                <w:rFonts w:ascii="Aptos" w:hAnsi="Aptos"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 xml:space="preserve">Off peak </w:t>
            </w:r>
          </w:p>
          <w:p w14:paraId="2979E544" w14:textId="0C987AB2" w:rsidR="00C70C1A" w:rsidRPr="009E18F6" w:rsidRDefault="00C70C1A" w:rsidP="000D78C7">
            <w:pPr>
              <w:pStyle w:val="ListParagraph"/>
              <w:numPr>
                <w:ilvl w:val="0"/>
                <w:numId w:val="29"/>
              </w:numPr>
              <w:rPr>
                <w:rFonts w:ascii="Aptos" w:hAnsi="Aptos"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>PM peak</w:t>
            </w:r>
          </w:p>
        </w:tc>
        <w:tc>
          <w:tcPr>
            <w:tcW w:w="1276" w:type="dxa"/>
          </w:tcPr>
          <w:p w14:paraId="445D24B0" w14:textId="572F6C6C" w:rsidR="00C70C1A" w:rsidRPr="00DF5CC6" w:rsidRDefault="00C70C1A" w:rsidP="004D1465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DF5CC6">
              <w:rPr>
                <w:rFonts w:ascii="Aptos" w:hAnsi="Aptos"/>
                <w:sz w:val="22"/>
                <w:szCs w:val="22"/>
                <w:lang w:val="en-AU"/>
              </w:rPr>
              <w:t>Quarterly</w:t>
            </w:r>
          </w:p>
        </w:tc>
      </w:tr>
      <w:tr w:rsidR="00C70C1A" w:rsidRPr="00DF5CC6" w14:paraId="55C8EF43" w14:textId="77777777" w:rsidTr="00474315">
        <w:trPr>
          <w:trHeight w:val="283"/>
        </w:trPr>
        <w:tc>
          <w:tcPr>
            <w:tcW w:w="2802" w:type="dxa"/>
            <w:vMerge/>
            <w:shd w:val="clear" w:color="auto" w:fill="E6E6E6"/>
          </w:tcPr>
          <w:p w14:paraId="2C296F79" w14:textId="77777777" w:rsidR="00C70C1A" w:rsidRPr="00DF5CC6" w:rsidRDefault="00C70C1A" w:rsidP="004D1465">
            <w:pPr>
              <w:pStyle w:val="ListParagraph"/>
              <w:numPr>
                <w:ilvl w:val="0"/>
                <w:numId w:val="17"/>
              </w:numPr>
              <w:rPr>
                <w:rFonts w:ascii="Aptos" w:hAnsi="Aptos"/>
                <w:b/>
                <w:sz w:val="22"/>
                <w:szCs w:val="22"/>
                <w:lang w:val="en-AU"/>
              </w:rPr>
            </w:pPr>
          </w:p>
        </w:tc>
        <w:tc>
          <w:tcPr>
            <w:tcW w:w="6520" w:type="dxa"/>
          </w:tcPr>
          <w:p w14:paraId="15EF8476" w14:textId="77777777" w:rsidR="00C70C1A" w:rsidRPr="009E18F6" w:rsidRDefault="00C70C1A" w:rsidP="004D1465">
            <w:pPr>
              <w:rPr>
                <w:rFonts w:ascii="Aptos" w:hAnsi="Aptos"/>
                <w:sz w:val="22"/>
                <w:szCs w:val="22"/>
                <w:lang w:val="en-AU"/>
              </w:rPr>
            </w:pPr>
            <w:proofErr w:type="gramStart"/>
            <w:r w:rsidRPr="009E18F6">
              <w:rPr>
                <w:rFonts w:ascii="Aptos" w:hAnsi="Aptos"/>
                <w:sz w:val="22"/>
                <w:szCs w:val="22"/>
                <w:lang w:val="en-AU"/>
              </w:rPr>
              <w:t>South East</w:t>
            </w:r>
            <w:proofErr w:type="gramEnd"/>
            <w:r w:rsidRPr="009E18F6">
              <w:rPr>
                <w:rFonts w:ascii="Aptos" w:hAnsi="Aptos"/>
                <w:sz w:val="22"/>
                <w:szCs w:val="22"/>
                <w:lang w:val="en-AU"/>
              </w:rPr>
              <w:t xml:space="preserve"> Queensland road network reliability – Percentage of the road network with reliable travel times:</w:t>
            </w:r>
          </w:p>
          <w:p w14:paraId="17D37E1B" w14:textId="77777777" w:rsidR="00C70C1A" w:rsidRPr="009E18F6" w:rsidRDefault="00C70C1A" w:rsidP="000D78C7">
            <w:pPr>
              <w:pStyle w:val="ListParagraph"/>
              <w:numPr>
                <w:ilvl w:val="0"/>
                <w:numId w:val="29"/>
              </w:numPr>
              <w:rPr>
                <w:rFonts w:ascii="Aptos" w:hAnsi="Aptos"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>AM peak</w:t>
            </w:r>
          </w:p>
          <w:p w14:paraId="279991A6" w14:textId="77777777" w:rsidR="00C70C1A" w:rsidRPr="009E18F6" w:rsidRDefault="00C70C1A" w:rsidP="000D78C7">
            <w:pPr>
              <w:pStyle w:val="ListParagraph"/>
              <w:numPr>
                <w:ilvl w:val="0"/>
                <w:numId w:val="29"/>
              </w:numPr>
              <w:rPr>
                <w:rFonts w:ascii="Aptos" w:hAnsi="Aptos"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 xml:space="preserve">Off peak </w:t>
            </w:r>
          </w:p>
          <w:p w14:paraId="4CA640A2" w14:textId="132F004A" w:rsidR="00C70C1A" w:rsidRPr="009E18F6" w:rsidRDefault="00C70C1A" w:rsidP="004D1465">
            <w:pPr>
              <w:pStyle w:val="ListParagraph"/>
              <w:numPr>
                <w:ilvl w:val="0"/>
                <w:numId w:val="29"/>
              </w:numPr>
              <w:rPr>
                <w:rFonts w:ascii="Aptos" w:hAnsi="Aptos"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>PM peak</w:t>
            </w:r>
          </w:p>
        </w:tc>
        <w:tc>
          <w:tcPr>
            <w:tcW w:w="1276" w:type="dxa"/>
          </w:tcPr>
          <w:p w14:paraId="210A723A" w14:textId="4DD5C7FD" w:rsidR="00C70C1A" w:rsidRPr="00DF5CC6" w:rsidRDefault="00C70C1A" w:rsidP="004D1465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DF5CC6">
              <w:rPr>
                <w:rFonts w:ascii="Aptos" w:hAnsi="Aptos"/>
                <w:sz w:val="22"/>
                <w:szCs w:val="22"/>
                <w:lang w:val="en-AU"/>
              </w:rPr>
              <w:t>Quarterly</w:t>
            </w:r>
          </w:p>
        </w:tc>
      </w:tr>
      <w:tr w:rsidR="00C70C1A" w:rsidRPr="00DF5CC6" w14:paraId="1174CAEF" w14:textId="77777777" w:rsidTr="00474315">
        <w:trPr>
          <w:trHeight w:val="283"/>
        </w:trPr>
        <w:tc>
          <w:tcPr>
            <w:tcW w:w="2802" w:type="dxa"/>
            <w:vMerge/>
            <w:shd w:val="clear" w:color="auto" w:fill="E6E6E6"/>
          </w:tcPr>
          <w:p w14:paraId="188FB682" w14:textId="77777777" w:rsidR="00C70C1A" w:rsidRPr="00DF5CC6" w:rsidRDefault="00C70C1A" w:rsidP="004D1465">
            <w:pPr>
              <w:pStyle w:val="ListParagraph"/>
              <w:numPr>
                <w:ilvl w:val="0"/>
                <w:numId w:val="17"/>
              </w:numPr>
              <w:rPr>
                <w:rFonts w:ascii="Aptos" w:hAnsi="Aptos"/>
                <w:b/>
                <w:sz w:val="22"/>
                <w:szCs w:val="22"/>
                <w:lang w:val="en-AU"/>
              </w:rPr>
            </w:pPr>
          </w:p>
        </w:tc>
        <w:tc>
          <w:tcPr>
            <w:tcW w:w="6520" w:type="dxa"/>
          </w:tcPr>
          <w:p w14:paraId="61DCDD9C" w14:textId="77777777" w:rsidR="00C70C1A" w:rsidRPr="009E18F6" w:rsidRDefault="00C70C1A" w:rsidP="004D1465">
            <w:pPr>
              <w:rPr>
                <w:rFonts w:ascii="Aptos" w:hAnsi="Aptos"/>
                <w:sz w:val="22"/>
                <w:szCs w:val="22"/>
                <w:lang w:val="en-AU"/>
              </w:rPr>
            </w:pPr>
            <w:proofErr w:type="gramStart"/>
            <w:r w:rsidRPr="009E18F6">
              <w:rPr>
                <w:rFonts w:ascii="Aptos" w:hAnsi="Aptos"/>
                <w:sz w:val="22"/>
                <w:szCs w:val="22"/>
                <w:lang w:val="en-AU"/>
              </w:rPr>
              <w:t>South East</w:t>
            </w:r>
            <w:proofErr w:type="gramEnd"/>
            <w:r w:rsidRPr="009E18F6">
              <w:rPr>
                <w:rFonts w:ascii="Aptos" w:hAnsi="Aptos"/>
                <w:sz w:val="22"/>
                <w:szCs w:val="22"/>
                <w:lang w:val="en-AU"/>
              </w:rPr>
              <w:t xml:space="preserve"> Queensland road network productivity – Percentage of the road network with good productivity: </w:t>
            </w:r>
          </w:p>
          <w:p w14:paraId="712E8CCD" w14:textId="77777777" w:rsidR="00C70C1A" w:rsidRPr="009E18F6" w:rsidRDefault="00C70C1A" w:rsidP="000D78C7">
            <w:pPr>
              <w:pStyle w:val="ListParagraph"/>
              <w:numPr>
                <w:ilvl w:val="0"/>
                <w:numId w:val="29"/>
              </w:numPr>
              <w:rPr>
                <w:rFonts w:ascii="Aptos" w:hAnsi="Aptos"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>AM peak</w:t>
            </w:r>
          </w:p>
          <w:p w14:paraId="21DC7A3A" w14:textId="77777777" w:rsidR="00C70C1A" w:rsidRPr="009E18F6" w:rsidRDefault="00C70C1A" w:rsidP="000D78C7">
            <w:pPr>
              <w:pStyle w:val="ListParagraph"/>
              <w:numPr>
                <w:ilvl w:val="0"/>
                <w:numId w:val="29"/>
              </w:numPr>
              <w:rPr>
                <w:rFonts w:ascii="Aptos" w:hAnsi="Aptos"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lastRenderedPageBreak/>
              <w:t xml:space="preserve">Off peak </w:t>
            </w:r>
          </w:p>
          <w:p w14:paraId="5C59528C" w14:textId="2249D053" w:rsidR="00C70C1A" w:rsidRPr="009E18F6" w:rsidRDefault="00C70C1A" w:rsidP="000D78C7">
            <w:pPr>
              <w:pStyle w:val="ListParagraph"/>
              <w:numPr>
                <w:ilvl w:val="0"/>
                <w:numId w:val="29"/>
              </w:numPr>
              <w:rPr>
                <w:rFonts w:ascii="Aptos" w:hAnsi="Aptos"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>PM peak</w:t>
            </w:r>
          </w:p>
        </w:tc>
        <w:tc>
          <w:tcPr>
            <w:tcW w:w="1276" w:type="dxa"/>
          </w:tcPr>
          <w:p w14:paraId="69C09CF9" w14:textId="710B5981" w:rsidR="00C70C1A" w:rsidRPr="00DF5CC6" w:rsidRDefault="00C70C1A" w:rsidP="004D1465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DF5CC6">
              <w:rPr>
                <w:rFonts w:ascii="Aptos" w:hAnsi="Aptos"/>
                <w:sz w:val="22"/>
                <w:szCs w:val="22"/>
                <w:lang w:val="en-AU"/>
              </w:rPr>
              <w:lastRenderedPageBreak/>
              <w:t>Quarterly</w:t>
            </w:r>
          </w:p>
        </w:tc>
      </w:tr>
      <w:tr w:rsidR="00C70C1A" w:rsidRPr="00DF5CC6" w14:paraId="183142EA" w14:textId="77777777" w:rsidTr="00474315">
        <w:trPr>
          <w:trHeight w:val="283"/>
        </w:trPr>
        <w:tc>
          <w:tcPr>
            <w:tcW w:w="2802" w:type="dxa"/>
            <w:vMerge/>
            <w:shd w:val="clear" w:color="auto" w:fill="E6E6E6"/>
          </w:tcPr>
          <w:p w14:paraId="324C4E34" w14:textId="77777777" w:rsidR="00C70C1A" w:rsidRPr="00DF5CC6" w:rsidRDefault="00C70C1A" w:rsidP="004D1465">
            <w:pPr>
              <w:pStyle w:val="ListParagraph"/>
              <w:numPr>
                <w:ilvl w:val="0"/>
                <w:numId w:val="17"/>
              </w:numPr>
              <w:rPr>
                <w:rFonts w:ascii="Aptos" w:hAnsi="Aptos"/>
                <w:b/>
                <w:sz w:val="22"/>
                <w:szCs w:val="22"/>
                <w:lang w:val="en-AU"/>
              </w:rPr>
            </w:pPr>
          </w:p>
        </w:tc>
        <w:tc>
          <w:tcPr>
            <w:tcW w:w="6520" w:type="dxa"/>
          </w:tcPr>
          <w:p w14:paraId="00B58CC0" w14:textId="77777777" w:rsidR="00C70C1A" w:rsidRPr="009E18F6" w:rsidRDefault="00C70C1A" w:rsidP="004D1465">
            <w:pPr>
              <w:rPr>
                <w:rFonts w:ascii="Aptos" w:hAnsi="Aptos"/>
                <w:sz w:val="22"/>
                <w:szCs w:val="22"/>
                <w:lang w:val="en-AU"/>
              </w:rPr>
            </w:pPr>
            <w:proofErr w:type="gramStart"/>
            <w:r w:rsidRPr="009E18F6">
              <w:rPr>
                <w:rFonts w:ascii="Aptos" w:hAnsi="Aptos"/>
                <w:sz w:val="22"/>
                <w:szCs w:val="22"/>
                <w:lang w:val="en-AU"/>
              </w:rPr>
              <w:t>South East</w:t>
            </w:r>
            <w:proofErr w:type="gramEnd"/>
            <w:r w:rsidRPr="009E18F6">
              <w:rPr>
                <w:rFonts w:ascii="Aptos" w:hAnsi="Aptos"/>
                <w:sz w:val="22"/>
                <w:szCs w:val="22"/>
                <w:lang w:val="en-AU"/>
              </w:rPr>
              <w:t xml:space="preserve"> Queensland arterial intersection performance – Percentage of intersections congested less than 20 minutes per hour:</w:t>
            </w:r>
          </w:p>
          <w:p w14:paraId="4FE561BD" w14:textId="77777777" w:rsidR="00C70C1A" w:rsidRPr="009E18F6" w:rsidRDefault="00C70C1A" w:rsidP="000D78C7">
            <w:pPr>
              <w:pStyle w:val="ListParagraph"/>
              <w:numPr>
                <w:ilvl w:val="0"/>
                <w:numId w:val="29"/>
              </w:numPr>
              <w:rPr>
                <w:rFonts w:ascii="Aptos" w:hAnsi="Aptos"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>AM peak</w:t>
            </w:r>
          </w:p>
          <w:p w14:paraId="7006CCBE" w14:textId="77777777" w:rsidR="00C70C1A" w:rsidRPr="009E18F6" w:rsidRDefault="00C70C1A" w:rsidP="000D78C7">
            <w:pPr>
              <w:pStyle w:val="ListParagraph"/>
              <w:numPr>
                <w:ilvl w:val="0"/>
                <w:numId w:val="29"/>
              </w:numPr>
              <w:rPr>
                <w:rFonts w:ascii="Aptos" w:hAnsi="Aptos"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 xml:space="preserve">Off peak </w:t>
            </w:r>
          </w:p>
          <w:p w14:paraId="3460E6A6" w14:textId="097BDE2B" w:rsidR="00C70C1A" w:rsidRPr="009E18F6" w:rsidRDefault="00C70C1A" w:rsidP="000D78C7">
            <w:pPr>
              <w:pStyle w:val="ListParagraph"/>
              <w:numPr>
                <w:ilvl w:val="0"/>
                <w:numId w:val="29"/>
              </w:numPr>
              <w:rPr>
                <w:rFonts w:ascii="Aptos" w:hAnsi="Aptos"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>PM peak</w:t>
            </w:r>
          </w:p>
        </w:tc>
        <w:tc>
          <w:tcPr>
            <w:tcW w:w="1276" w:type="dxa"/>
          </w:tcPr>
          <w:p w14:paraId="047D4C45" w14:textId="48D9C4A7" w:rsidR="00C70C1A" w:rsidRPr="00DF5CC6" w:rsidRDefault="00C70C1A" w:rsidP="004D1465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DF5CC6">
              <w:rPr>
                <w:rFonts w:ascii="Aptos" w:hAnsi="Aptos"/>
                <w:sz w:val="22"/>
                <w:szCs w:val="22"/>
                <w:lang w:val="en-AU"/>
              </w:rPr>
              <w:t>Quarterly</w:t>
            </w:r>
          </w:p>
        </w:tc>
      </w:tr>
      <w:tr w:rsidR="00C70C1A" w:rsidRPr="00DF5CC6" w14:paraId="0158AA38" w14:textId="77777777" w:rsidTr="00474315">
        <w:trPr>
          <w:trHeight w:val="283"/>
        </w:trPr>
        <w:tc>
          <w:tcPr>
            <w:tcW w:w="2802" w:type="dxa"/>
            <w:vMerge/>
            <w:shd w:val="clear" w:color="auto" w:fill="E6E6E6"/>
          </w:tcPr>
          <w:p w14:paraId="34E0C77A" w14:textId="77777777" w:rsidR="00C70C1A" w:rsidRPr="00DF5CC6" w:rsidRDefault="00C70C1A" w:rsidP="004D1465">
            <w:pPr>
              <w:pStyle w:val="ListParagraph"/>
              <w:numPr>
                <w:ilvl w:val="0"/>
                <w:numId w:val="17"/>
              </w:numPr>
              <w:rPr>
                <w:rFonts w:ascii="Aptos" w:hAnsi="Aptos"/>
                <w:b/>
                <w:sz w:val="22"/>
                <w:szCs w:val="22"/>
                <w:lang w:val="en-AU"/>
              </w:rPr>
            </w:pPr>
          </w:p>
        </w:tc>
        <w:tc>
          <w:tcPr>
            <w:tcW w:w="6520" w:type="dxa"/>
            <w:shd w:val="clear" w:color="auto" w:fill="auto"/>
          </w:tcPr>
          <w:p w14:paraId="2E515D33" w14:textId="09DAA043" w:rsidR="00C70C1A" w:rsidRPr="009E18F6" w:rsidRDefault="00C70C1A" w:rsidP="00C70C1A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>Average cost per 100 vehicle kilometres travelled to operate state-controlled roads</w:t>
            </w:r>
          </w:p>
        </w:tc>
        <w:tc>
          <w:tcPr>
            <w:tcW w:w="1276" w:type="dxa"/>
          </w:tcPr>
          <w:p w14:paraId="02714B1E" w14:textId="5E109BED" w:rsidR="009C069E" w:rsidRPr="00DF5CC6" w:rsidRDefault="009C069E" w:rsidP="004D1465">
            <w:pPr>
              <w:rPr>
                <w:rFonts w:ascii="Aptos" w:hAnsi="Aptos"/>
                <w:sz w:val="22"/>
                <w:szCs w:val="22"/>
                <w:lang w:val="en-AU"/>
              </w:rPr>
            </w:pPr>
            <w:r>
              <w:rPr>
                <w:rFonts w:ascii="Aptos" w:hAnsi="Aptos"/>
                <w:sz w:val="22"/>
                <w:szCs w:val="22"/>
                <w:lang w:val="en-AU"/>
              </w:rPr>
              <w:t>Annual</w:t>
            </w:r>
          </w:p>
        </w:tc>
      </w:tr>
      <w:tr w:rsidR="00C70C1A" w:rsidRPr="00DF5CC6" w14:paraId="43485FD3" w14:textId="77777777" w:rsidTr="00474315">
        <w:trPr>
          <w:trHeight w:val="283"/>
        </w:trPr>
        <w:tc>
          <w:tcPr>
            <w:tcW w:w="2802" w:type="dxa"/>
            <w:vMerge/>
            <w:shd w:val="clear" w:color="auto" w:fill="E6E6E6"/>
          </w:tcPr>
          <w:p w14:paraId="4186D194" w14:textId="77777777" w:rsidR="00C70C1A" w:rsidRPr="00DF5CC6" w:rsidRDefault="00C70C1A" w:rsidP="004D1465">
            <w:pPr>
              <w:pStyle w:val="ListParagraph"/>
              <w:numPr>
                <w:ilvl w:val="0"/>
                <w:numId w:val="17"/>
              </w:numPr>
              <w:rPr>
                <w:rFonts w:ascii="Aptos" w:hAnsi="Aptos"/>
                <w:b/>
                <w:sz w:val="22"/>
                <w:szCs w:val="22"/>
                <w:lang w:val="en-AU"/>
              </w:rPr>
            </w:pPr>
          </w:p>
        </w:tc>
        <w:tc>
          <w:tcPr>
            <w:tcW w:w="6520" w:type="dxa"/>
          </w:tcPr>
          <w:p w14:paraId="6C22ED2F" w14:textId="6D43F5F1" w:rsidR="00C70C1A" w:rsidRPr="009E18F6" w:rsidRDefault="00C70C1A" w:rsidP="004D1465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 xml:space="preserve">Administrative cost of delivering the Queensland Transport and Roads Investment Program (QTRIP) per $1,000 of the QTRIP published budget </w:t>
            </w:r>
          </w:p>
        </w:tc>
        <w:tc>
          <w:tcPr>
            <w:tcW w:w="1276" w:type="dxa"/>
          </w:tcPr>
          <w:p w14:paraId="12F22840" w14:textId="0FEB80B0" w:rsidR="00C70C1A" w:rsidRPr="00DF5CC6" w:rsidRDefault="00C70C1A" w:rsidP="004D1465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DF5CC6">
              <w:rPr>
                <w:rFonts w:ascii="Aptos" w:hAnsi="Aptos"/>
                <w:sz w:val="22"/>
                <w:szCs w:val="22"/>
                <w:lang w:val="en-AU"/>
              </w:rPr>
              <w:t>Quarterly</w:t>
            </w:r>
          </w:p>
        </w:tc>
      </w:tr>
      <w:tr w:rsidR="00C70C1A" w:rsidRPr="00DF5CC6" w14:paraId="3AFF8BE5" w14:textId="77777777" w:rsidTr="00474315">
        <w:trPr>
          <w:trHeight w:val="283"/>
        </w:trPr>
        <w:tc>
          <w:tcPr>
            <w:tcW w:w="2802" w:type="dxa"/>
            <w:vMerge/>
            <w:shd w:val="clear" w:color="auto" w:fill="E6E6E6"/>
          </w:tcPr>
          <w:p w14:paraId="4A9103E2" w14:textId="77777777" w:rsidR="00C70C1A" w:rsidRPr="00DF5CC6" w:rsidRDefault="00C70C1A" w:rsidP="004D1465">
            <w:pPr>
              <w:pStyle w:val="ListParagraph"/>
              <w:numPr>
                <w:ilvl w:val="0"/>
                <w:numId w:val="17"/>
              </w:numPr>
              <w:rPr>
                <w:rFonts w:ascii="Aptos" w:hAnsi="Aptos"/>
                <w:b/>
                <w:sz w:val="22"/>
                <w:szCs w:val="22"/>
                <w:lang w:val="en-AU"/>
              </w:rPr>
            </w:pPr>
          </w:p>
        </w:tc>
        <w:tc>
          <w:tcPr>
            <w:tcW w:w="6520" w:type="dxa"/>
          </w:tcPr>
          <w:p w14:paraId="384ED3F6" w14:textId="55C51D6F" w:rsidR="00C70C1A" w:rsidRPr="009E18F6" w:rsidRDefault="00C70C1A" w:rsidP="004D1465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 xml:space="preserve">Direct operational cost of Vessel Traffic Services per monitored vessel movement </w:t>
            </w:r>
          </w:p>
        </w:tc>
        <w:tc>
          <w:tcPr>
            <w:tcW w:w="1276" w:type="dxa"/>
          </w:tcPr>
          <w:p w14:paraId="43265C8F" w14:textId="214349CC" w:rsidR="00C70C1A" w:rsidRPr="00DF5CC6" w:rsidRDefault="00C70C1A" w:rsidP="004D1465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DF5CC6">
              <w:rPr>
                <w:rFonts w:ascii="Aptos" w:hAnsi="Aptos"/>
                <w:sz w:val="22"/>
                <w:szCs w:val="22"/>
                <w:lang w:val="en-AU"/>
              </w:rPr>
              <w:t>Quarterly</w:t>
            </w:r>
          </w:p>
        </w:tc>
      </w:tr>
      <w:tr w:rsidR="00C70C1A" w:rsidRPr="00DF5CC6" w14:paraId="56D23BAF" w14:textId="77777777" w:rsidTr="00474315">
        <w:trPr>
          <w:trHeight w:val="283"/>
        </w:trPr>
        <w:tc>
          <w:tcPr>
            <w:tcW w:w="2802" w:type="dxa"/>
            <w:vMerge/>
            <w:shd w:val="clear" w:color="auto" w:fill="E6E6E6"/>
          </w:tcPr>
          <w:p w14:paraId="4DF10C8B" w14:textId="77777777" w:rsidR="00C70C1A" w:rsidRPr="00DF5CC6" w:rsidRDefault="00C70C1A" w:rsidP="004D1465">
            <w:pPr>
              <w:pStyle w:val="ListParagraph"/>
              <w:numPr>
                <w:ilvl w:val="0"/>
                <w:numId w:val="17"/>
              </w:numPr>
              <w:rPr>
                <w:rFonts w:ascii="Aptos" w:hAnsi="Aptos"/>
                <w:b/>
                <w:sz w:val="22"/>
                <w:szCs w:val="22"/>
                <w:lang w:val="en-AU"/>
              </w:rPr>
            </w:pPr>
          </w:p>
        </w:tc>
        <w:tc>
          <w:tcPr>
            <w:tcW w:w="6520" w:type="dxa"/>
          </w:tcPr>
          <w:p w14:paraId="337B1ABF" w14:textId="255AFC71" w:rsidR="00C70C1A" w:rsidRPr="009E18F6" w:rsidRDefault="00C70C1A" w:rsidP="004D1465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>Average cost per customer interaction – Translink Contact Centre</w:t>
            </w:r>
          </w:p>
        </w:tc>
        <w:tc>
          <w:tcPr>
            <w:tcW w:w="1276" w:type="dxa"/>
          </w:tcPr>
          <w:p w14:paraId="14BDDA98" w14:textId="3FB2BDB6" w:rsidR="00C70C1A" w:rsidRPr="00DF5CC6" w:rsidRDefault="00C70C1A" w:rsidP="004D1465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DF5CC6">
              <w:rPr>
                <w:rFonts w:ascii="Aptos" w:hAnsi="Aptos"/>
                <w:sz w:val="22"/>
                <w:szCs w:val="22"/>
                <w:lang w:val="en-AU"/>
              </w:rPr>
              <w:t>Quarterly</w:t>
            </w:r>
          </w:p>
        </w:tc>
      </w:tr>
      <w:tr w:rsidR="00C70C1A" w:rsidRPr="00DF5CC6" w14:paraId="0ACA17CF" w14:textId="77777777" w:rsidTr="00474315">
        <w:trPr>
          <w:trHeight w:val="283"/>
        </w:trPr>
        <w:tc>
          <w:tcPr>
            <w:tcW w:w="2802" w:type="dxa"/>
            <w:vMerge/>
            <w:shd w:val="clear" w:color="auto" w:fill="E6E6E6"/>
          </w:tcPr>
          <w:p w14:paraId="3F035308" w14:textId="77777777" w:rsidR="00C70C1A" w:rsidRPr="00DF5CC6" w:rsidRDefault="00C70C1A" w:rsidP="004D1465">
            <w:pPr>
              <w:pStyle w:val="ListParagraph"/>
              <w:numPr>
                <w:ilvl w:val="0"/>
                <w:numId w:val="17"/>
              </w:numPr>
              <w:rPr>
                <w:rFonts w:ascii="Aptos" w:hAnsi="Aptos"/>
                <w:b/>
                <w:sz w:val="22"/>
                <w:szCs w:val="22"/>
                <w:lang w:val="en-AU"/>
              </w:rPr>
            </w:pPr>
          </w:p>
        </w:tc>
        <w:tc>
          <w:tcPr>
            <w:tcW w:w="6520" w:type="dxa"/>
          </w:tcPr>
          <w:p w14:paraId="7D952E6C" w14:textId="44817770" w:rsidR="00C70C1A" w:rsidRPr="009E18F6" w:rsidRDefault="00C70C1A" w:rsidP="004D1465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>Cost per passenger trip to administer statewide government contracted passenger transport services</w:t>
            </w:r>
          </w:p>
        </w:tc>
        <w:tc>
          <w:tcPr>
            <w:tcW w:w="1276" w:type="dxa"/>
          </w:tcPr>
          <w:p w14:paraId="5F22E13D" w14:textId="6752A6CA" w:rsidR="00C70C1A" w:rsidRPr="00DF5CC6" w:rsidRDefault="00C70C1A" w:rsidP="004D1465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DF5CC6">
              <w:rPr>
                <w:rFonts w:ascii="Aptos" w:hAnsi="Aptos"/>
                <w:sz w:val="22"/>
                <w:szCs w:val="22"/>
                <w:lang w:val="en-AU"/>
              </w:rPr>
              <w:t>Quarterly</w:t>
            </w:r>
          </w:p>
        </w:tc>
      </w:tr>
      <w:tr w:rsidR="00C70C1A" w:rsidRPr="00DF5CC6" w14:paraId="24417C0E" w14:textId="77777777" w:rsidTr="00474315">
        <w:trPr>
          <w:trHeight w:val="283"/>
        </w:trPr>
        <w:tc>
          <w:tcPr>
            <w:tcW w:w="2802" w:type="dxa"/>
            <w:vMerge/>
            <w:shd w:val="clear" w:color="auto" w:fill="E6E6E6"/>
          </w:tcPr>
          <w:p w14:paraId="06001554" w14:textId="77777777" w:rsidR="00C70C1A" w:rsidRPr="00DF5CC6" w:rsidRDefault="00C70C1A" w:rsidP="004D1465">
            <w:pPr>
              <w:pStyle w:val="ListParagraph"/>
              <w:numPr>
                <w:ilvl w:val="0"/>
                <w:numId w:val="17"/>
              </w:numPr>
              <w:rPr>
                <w:rFonts w:ascii="Aptos" w:hAnsi="Aptos"/>
                <w:b/>
                <w:sz w:val="22"/>
                <w:szCs w:val="22"/>
                <w:lang w:val="en-AU"/>
              </w:rPr>
            </w:pPr>
          </w:p>
        </w:tc>
        <w:tc>
          <w:tcPr>
            <w:tcW w:w="6520" w:type="dxa"/>
          </w:tcPr>
          <w:p w14:paraId="4C3EE2AD" w14:textId="62612531" w:rsidR="00C70C1A" w:rsidRPr="009E18F6" w:rsidRDefault="00C70C1A" w:rsidP="004D1465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>Customers’ and stakeholders’ overall value of RoadTek (on a scale of 1 to 5)</w:t>
            </w:r>
          </w:p>
        </w:tc>
        <w:tc>
          <w:tcPr>
            <w:tcW w:w="1276" w:type="dxa"/>
          </w:tcPr>
          <w:p w14:paraId="238AD24D" w14:textId="60D9FDB6" w:rsidR="00C70C1A" w:rsidRPr="00DF5CC6" w:rsidRDefault="00C70C1A" w:rsidP="004D1465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DF5CC6">
              <w:rPr>
                <w:rFonts w:ascii="Aptos" w:hAnsi="Aptos"/>
                <w:sz w:val="22"/>
                <w:szCs w:val="22"/>
                <w:lang w:val="en-AU"/>
              </w:rPr>
              <w:t>Quarterly</w:t>
            </w:r>
          </w:p>
        </w:tc>
      </w:tr>
      <w:tr w:rsidR="00C70C1A" w:rsidRPr="00DF5CC6" w14:paraId="4A32845E" w14:textId="77777777" w:rsidTr="00474315">
        <w:trPr>
          <w:trHeight w:val="283"/>
        </w:trPr>
        <w:tc>
          <w:tcPr>
            <w:tcW w:w="2802" w:type="dxa"/>
            <w:vMerge/>
            <w:shd w:val="clear" w:color="auto" w:fill="E6E6E6"/>
          </w:tcPr>
          <w:p w14:paraId="7F40F81A" w14:textId="77777777" w:rsidR="00C70C1A" w:rsidRPr="00DF5CC6" w:rsidRDefault="00C70C1A" w:rsidP="004D1465">
            <w:pPr>
              <w:pStyle w:val="ListParagraph"/>
              <w:numPr>
                <w:ilvl w:val="0"/>
                <w:numId w:val="17"/>
              </w:numPr>
              <w:rPr>
                <w:rFonts w:ascii="Aptos" w:hAnsi="Aptos"/>
                <w:b/>
                <w:sz w:val="22"/>
                <w:szCs w:val="22"/>
                <w:lang w:val="en-AU"/>
              </w:rPr>
            </w:pPr>
          </w:p>
        </w:tc>
        <w:tc>
          <w:tcPr>
            <w:tcW w:w="6520" w:type="dxa"/>
          </w:tcPr>
          <w:p w14:paraId="7A7B0789" w14:textId="16604346" w:rsidR="00C70C1A" w:rsidRPr="009E18F6" w:rsidRDefault="00C70C1A" w:rsidP="004D1465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 xml:space="preserve">Long term debt / equity </w:t>
            </w:r>
          </w:p>
        </w:tc>
        <w:tc>
          <w:tcPr>
            <w:tcW w:w="1276" w:type="dxa"/>
          </w:tcPr>
          <w:p w14:paraId="5CDD09FB" w14:textId="2D353AD2" w:rsidR="00C70C1A" w:rsidRPr="00DF5CC6" w:rsidRDefault="00C70C1A" w:rsidP="004D1465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DF5CC6">
              <w:rPr>
                <w:rFonts w:ascii="Aptos" w:hAnsi="Aptos"/>
                <w:sz w:val="22"/>
                <w:szCs w:val="22"/>
                <w:lang w:val="en-AU"/>
              </w:rPr>
              <w:t>Quarterly</w:t>
            </w:r>
          </w:p>
        </w:tc>
      </w:tr>
      <w:tr w:rsidR="00C70C1A" w:rsidRPr="00DF5CC6" w14:paraId="5A2C2415" w14:textId="77777777" w:rsidTr="00474315">
        <w:trPr>
          <w:trHeight w:val="283"/>
        </w:trPr>
        <w:tc>
          <w:tcPr>
            <w:tcW w:w="2802" w:type="dxa"/>
            <w:vMerge/>
            <w:shd w:val="clear" w:color="auto" w:fill="E6E6E6"/>
          </w:tcPr>
          <w:p w14:paraId="0F0CF407" w14:textId="77777777" w:rsidR="00C70C1A" w:rsidRPr="00DF5CC6" w:rsidRDefault="00C70C1A" w:rsidP="004D1465">
            <w:pPr>
              <w:pStyle w:val="ListParagraph"/>
              <w:numPr>
                <w:ilvl w:val="0"/>
                <w:numId w:val="17"/>
              </w:numPr>
              <w:rPr>
                <w:rFonts w:ascii="Aptos" w:hAnsi="Aptos"/>
                <w:b/>
                <w:sz w:val="22"/>
                <w:szCs w:val="22"/>
                <w:lang w:val="en-AU"/>
              </w:rPr>
            </w:pPr>
          </w:p>
        </w:tc>
        <w:tc>
          <w:tcPr>
            <w:tcW w:w="6520" w:type="dxa"/>
          </w:tcPr>
          <w:p w14:paraId="7EFA56E7" w14:textId="763862C3" w:rsidR="00C70C1A" w:rsidRPr="00DF5CC6" w:rsidRDefault="00C70C1A" w:rsidP="004D1465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DF5CC6">
              <w:rPr>
                <w:rFonts w:ascii="Aptos" w:hAnsi="Aptos"/>
                <w:sz w:val="22"/>
                <w:szCs w:val="22"/>
                <w:lang w:val="en-AU"/>
              </w:rPr>
              <w:t xml:space="preserve">Long term debt / total assets </w:t>
            </w:r>
          </w:p>
        </w:tc>
        <w:tc>
          <w:tcPr>
            <w:tcW w:w="1276" w:type="dxa"/>
          </w:tcPr>
          <w:p w14:paraId="64E4DC1E" w14:textId="1DFFC2A8" w:rsidR="00C70C1A" w:rsidRPr="00DF5CC6" w:rsidRDefault="00C70C1A" w:rsidP="004D1465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DF5CC6">
              <w:rPr>
                <w:rFonts w:ascii="Aptos" w:hAnsi="Aptos"/>
                <w:sz w:val="22"/>
                <w:szCs w:val="22"/>
                <w:lang w:val="en-AU"/>
              </w:rPr>
              <w:t>Quarterly</w:t>
            </w:r>
          </w:p>
        </w:tc>
      </w:tr>
      <w:tr w:rsidR="00C70C1A" w:rsidRPr="00DF5CC6" w14:paraId="42388D1A" w14:textId="77777777" w:rsidTr="00474315">
        <w:trPr>
          <w:trHeight w:val="283"/>
        </w:trPr>
        <w:tc>
          <w:tcPr>
            <w:tcW w:w="2802" w:type="dxa"/>
            <w:vMerge/>
            <w:shd w:val="clear" w:color="auto" w:fill="E6E6E6"/>
          </w:tcPr>
          <w:p w14:paraId="6A712A18" w14:textId="77777777" w:rsidR="00C70C1A" w:rsidRPr="00DF5CC6" w:rsidRDefault="00C70C1A" w:rsidP="004D1465">
            <w:pPr>
              <w:pStyle w:val="ListParagraph"/>
              <w:numPr>
                <w:ilvl w:val="0"/>
                <w:numId w:val="17"/>
              </w:numPr>
              <w:rPr>
                <w:rFonts w:ascii="Aptos" w:hAnsi="Aptos"/>
                <w:b/>
                <w:sz w:val="22"/>
                <w:szCs w:val="22"/>
                <w:lang w:val="en-AU"/>
              </w:rPr>
            </w:pPr>
          </w:p>
        </w:tc>
        <w:tc>
          <w:tcPr>
            <w:tcW w:w="6520" w:type="dxa"/>
          </w:tcPr>
          <w:p w14:paraId="1268CD36" w14:textId="51ADAC89" w:rsidR="00C70C1A" w:rsidRPr="00DF5CC6" w:rsidRDefault="00C70C1A" w:rsidP="004D1465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DF5CC6">
              <w:rPr>
                <w:rFonts w:ascii="Aptos" w:hAnsi="Aptos"/>
                <w:sz w:val="22"/>
                <w:szCs w:val="22"/>
                <w:lang w:val="en-AU"/>
              </w:rPr>
              <w:t>Return on equity</w:t>
            </w:r>
          </w:p>
        </w:tc>
        <w:tc>
          <w:tcPr>
            <w:tcW w:w="1276" w:type="dxa"/>
          </w:tcPr>
          <w:p w14:paraId="59955912" w14:textId="35DE36E2" w:rsidR="00C70C1A" w:rsidRPr="00DF5CC6" w:rsidRDefault="00C70C1A" w:rsidP="004D1465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DF5CC6">
              <w:rPr>
                <w:rFonts w:ascii="Aptos" w:hAnsi="Aptos"/>
                <w:sz w:val="22"/>
                <w:szCs w:val="22"/>
                <w:lang w:val="en-AU"/>
              </w:rPr>
              <w:t>Quarterly</w:t>
            </w:r>
          </w:p>
        </w:tc>
      </w:tr>
      <w:tr w:rsidR="00C70C1A" w:rsidRPr="00DF5CC6" w14:paraId="40574DEB" w14:textId="77777777" w:rsidTr="00474315">
        <w:trPr>
          <w:trHeight w:val="283"/>
        </w:trPr>
        <w:tc>
          <w:tcPr>
            <w:tcW w:w="2802" w:type="dxa"/>
            <w:vMerge/>
            <w:shd w:val="clear" w:color="auto" w:fill="E6E6E6"/>
          </w:tcPr>
          <w:p w14:paraId="0E8A08D9" w14:textId="77777777" w:rsidR="00C70C1A" w:rsidRPr="00DF5CC6" w:rsidRDefault="00C70C1A" w:rsidP="004D1465">
            <w:pPr>
              <w:pStyle w:val="ListParagraph"/>
              <w:numPr>
                <w:ilvl w:val="0"/>
                <w:numId w:val="17"/>
              </w:numPr>
              <w:rPr>
                <w:rFonts w:ascii="Aptos" w:hAnsi="Aptos"/>
                <w:b/>
                <w:sz w:val="22"/>
                <w:szCs w:val="22"/>
                <w:lang w:val="en-AU"/>
              </w:rPr>
            </w:pPr>
          </w:p>
        </w:tc>
        <w:tc>
          <w:tcPr>
            <w:tcW w:w="6520" w:type="dxa"/>
          </w:tcPr>
          <w:p w14:paraId="60821D9C" w14:textId="660233A7" w:rsidR="00C70C1A" w:rsidRPr="00DF5CC6" w:rsidRDefault="00C70C1A" w:rsidP="004D1465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DF5CC6">
              <w:rPr>
                <w:rFonts w:ascii="Aptos" w:hAnsi="Aptos"/>
                <w:sz w:val="22"/>
                <w:szCs w:val="22"/>
                <w:lang w:val="en-AU"/>
              </w:rPr>
              <w:t xml:space="preserve">Return on revenue (after tax) </w:t>
            </w:r>
          </w:p>
        </w:tc>
        <w:tc>
          <w:tcPr>
            <w:tcW w:w="1276" w:type="dxa"/>
          </w:tcPr>
          <w:p w14:paraId="7AB6CD06" w14:textId="09CCFCB7" w:rsidR="00C70C1A" w:rsidRPr="00DF5CC6" w:rsidRDefault="00C70C1A" w:rsidP="004D1465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DF5CC6">
              <w:rPr>
                <w:rFonts w:ascii="Aptos" w:hAnsi="Aptos"/>
                <w:sz w:val="22"/>
                <w:szCs w:val="22"/>
                <w:lang w:val="en-AU"/>
              </w:rPr>
              <w:t>Quarterly</w:t>
            </w:r>
          </w:p>
        </w:tc>
      </w:tr>
      <w:tr w:rsidR="00C70C1A" w:rsidRPr="00DF5CC6" w14:paraId="01371A30" w14:textId="77777777" w:rsidTr="00474315">
        <w:trPr>
          <w:trHeight w:val="283"/>
        </w:trPr>
        <w:tc>
          <w:tcPr>
            <w:tcW w:w="2802" w:type="dxa"/>
            <w:vMerge/>
            <w:shd w:val="clear" w:color="auto" w:fill="E6E6E6"/>
          </w:tcPr>
          <w:p w14:paraId="70550EC7" w14:textId="77777777" w:rsidR="00C70C1A" w:rsidRPr="00DF5CC6" w:rsidRDefault="00C70C1A" w:rsidP="004D1465">
            <w:pPr>
              <w:pStyle w:val="ListParagraph"/>
              <w:numPr>
                <w:ilvl w:val="0"/>
                <w:numId w:val="17"/>
              </w:numPr>
              <w:rPr>
                <w:rFonts w:ascii="Aptos" w:hAnsi="Aptos"/>
                <w:b/>
                <w:sz w:val="22"/>
                <w:szCs w:val="22"/>
                <w:lang w:val="en-AU"/>
              </w:rPr>
            </w:pPr>
          </w:p>
        </w:tc>
        <w:tc>
          <w:tcPr>
            <w:tcW w:w="6520" w:type="dxa"/>
          </w:tcPr>
          <w:p w14:paraId="0A24E367" w14:textId="2B0D402B" w:rsidR="00C70C1A" w:rsidRPr="00DF5CC6" w:rsidRDefault="00C70C1A" w:rsidP="004D1465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DF5CC6">
              <w:rPr>
                <w:rFonts w:ascii="Aptos" w:hAnsi="Aptos"/>
                <w:sz w:val="22"/>
                <w:szCs w:val="22"/>
                <w:lang w:val="en-AU"/>
              </w:rPr>
              <w:t xml:space="preserve">Profit margin (earnings before income tax / user charges) </w:t>
            </w:r>
          </w:p>
        </w:tc>
        <w:tc>
          <w:tcPr>
            <w:tcW w:w="1276" w:type="dxa"/>
          </w:tcPr>
          <w:p w14:paraId="4434AAAD" w14:textId="79066B8D" w:rsidR="00C70C1A" w:rsidRPr="00DF5CC6" w:rsidRDefault="00C70C1A" w:rsidP="004D1465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DF5CC6">
              <w:rPr>
                <w:rFonts w:ascii="Aptos" w:hAnsi="Aptos"/>
                <w:sz w:val="22"/>
                <w:szCs w:val="22"/>
                <w:lang w:val="en-AU"/>
              </w:rPr>
              <w:t>Quarterly</w:t>
            </w:r>
          </w:p>
        </w:tc>
      </w:tr>
      <w:tr w:rsidR="00835255" w:rsidRPr="00DF5CC6" w14:paraId="2B995F53" w14:textId="77777777" w:rsidTr="00474315">
        <w:trPr>
          <w:trHeight w:val="331"/>
        </w:trPr>
        <w:tc>
          <w:tcPr>
            <w:tcW w:w="2802" w:type="dxa"/>
            <w:vMerge w:val="restart"/>
            <w:shd w:val="clear" w:color="auto" w:fill="E6E6E6"/>
          </w:tcPr>
          <w:p w14:paraId="37A9ADBE" w14:textId="4EC98172" w:rsidR="00835255" w:rsidRPr="00DF5CC6" w:rsidRDefault="00835255" w:rsidP="00835255">
            <w:pPr>
              <w:pStyle w:val="ListParagraph"/>
              <w:numPr>
                <w:ilvl w:val="0"/>
                <w:numId w:val="17"/>
              </w:numPr>
              <w:rPr>
                <w:rFonts w:ascii="Aptos" w:hAnsi="Aptos"/>
                <w:b/>
                <w:bCs/>
                <w:sz w:val="22"/>
                <w:szCs w:val="22"/>
                <w:lang w:val="en-AU"/>
              </w:rPr>
            </w:pPr>
            <w:r w:rsidRPr="00DF5CC6">
              <w:rPr>
                <w:rFonts w:ascii="Aptos" w:hAnsi="Aptos"/>
                <w:b/>
                <w:bCs/>
                <w:sz w:val="22"/>
                <w:szCs w:val="22"/>
                <w:lang w:val="en-AU"/>
              </w:rPr>
              <w:t>Procurement from small businesses and First Nations suppliers</w:t>
            </w:r>
          </w:p>
        </w:tc>
        <w:tc>
          <w:tcPr>
            <w:tcW w:w="6520" w:type="dxa"/>
            <w:shd w:val="clear" w:color="auto" w:fill="auto"/>
          </w:tcPr>
          <w:p w14:paraId="037B2C04" w14:textId="05C90948" w:rsidR="00835255" w:rsidRPr="00DF5CC6" w:rsidRDefault="00835255" w:rsidP="00835255">
            <w:pPr>
              <w:rPr>
                <w:rFonts w:ascii="Aptos" w:hAnsi="Aptos"/>
                <w:bCs/>
                <w:sz w:val="22"/>
                <w:szCs w:val="22"/>
                <w:lang w:val="en-AU"/>
              </w:rPr>
            </w:pPr>
            <w:r w:rsidRPr="00DF5CC6">
              <w:rPr>
                <w:rFonts w:ascii="Aptos" w:hAnsi="Aptos"/>
                <w:sz w:val="22"/>
                <w:szCs w:val="22"/>
                <w:lang w:val="en-AU"/>
              </w:rPr>
              <w:t>Number of First Nations businesses engaged</w:t>
            </w:r>
          </w:p>
        </w:tc>
        <w:tc>
          <w:tcPr>
            <w:tcW w:w="1276" w:type="dxa"/>
          </w:tcPr>
          <w:p w14:paraId="27544EB3" w14:textId="66D22DA8" w:rsidR="00835255" w:rsidRPr="00DF5CC6" w:rsidRDefault="00835255" w:rsidP="00835255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99224C">
              <w:rPr>
                <w:rFonts w:ascii="Aptos" w:hAnsi="Aptos"/>
                <w:sz w:val="22"/>
                <w:szCs w:val="22"/>
                <w:lang w:val="en-AU"/>
              </w:rPr>
              <w:t>Annual</w:t>
            </w:r>
          </w:p>
        </w:tc>
      </w:tr>
      <w:tr w:rsidR="00835255" w:rsidRPr="00DF5CC6" w14:paraId="6B269CA1" w14:textId="77777777" w:rsidTr="00474315">
        <w:trPr>
          <w:trHeight w:val="534"/>
        </w:trPr>
        <w:tc>
          <w:tcPr>
            <w:tcW w:w="2802" w:type="dxa"/>
            <w:vMerge/>
            <w:shd w:val="clear" w:color="auto" w:fill="E6E6E6"/>
          </w:tcPr>
          <w:p w14:paraId="72EDD741" w14:textId="77777777" w:rsidR="00835255" w:rsidRPr="00DF5CC6" w:rsidRDefault="00835255" w:rsidP="00835255">
            <w:pPr>
              <w:pStyle w:val="ListParagraph"/>
              <w:numPr>
                <w:ilvl w:val="0"/>
                <w:numId w:val="17"/>
              </w:numPr>
              <w:rPr>
                <w:rFonts w:ascii="Aptos" w:hAnsi="Aptos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6520" w:type="dxa"/>
            <w:shd w:val="clear" w:color="auto" w:fill="auto"/>
          </w:tcPr>
          <w:p w14:paraId="2967DFDC" w14:textId="2E83F399" w:rsidR="00835255" w:rsidRPr="00DF5CC6" w:rsidRDefault="00835255" w:rsidP="00835255">
            <w:pPr>
              <w:rPr>
                <w:rFonts w:ascii="Aptos" w:hAnsi="Aptos"/>
                <w:bCs/>
                <w:sz w:val="22"/>
                <w:szCs w:val="22"/>
                <w:lang w:val="en-AU"/>
              </w:rPr>
            </w:pPr>
            <w:r w:rsidRPr="00DF5CC6">
              <w:rPr>
                <w:rFonts w:ascii="Aptos" w:hAnsi="Aptos"/>
                <w:sz w:val="22"/>
                <w:szCs w:val="22"/>
                <w:lang w:val="en-AU"/>
              </w:rPr>
              <w:t xml:space="preserve">Direct procurement </w:t>
            </w:r>
            <w:proofErr w:type="gramStart"/>
            <w:r w:rsidRPr="00DF5CC6">
              <w:rPr>
                <w:rFonts w:ascii="Aptos" w:hAnsi="Aptos"/>
                <w:sz w:val="22"/>
                <w:szCs w:val="22"/>
                <w:lang w:val="en-AU"/>
              </w:rPr>
              <w:t>spend</w:t>
            </w:r>
            <w:proofErr w:type="gramEnd"/>
            <w:r w:rsidRPr="00DF5CC6">
              <w:rPr>
                <w:rFonts w:ascii="Aptos" w:hAnsi="Aptos"/>
                <w:sz w:val="22"/>
                <w:szCs w:val="22"/>
                <w:lang w:val="en-AU"/>
              </w:rPr>
              <w:t xml:space="preserve"> with First Nations Suppliers</w:t>
            </w:r>
          </w:p>
        </w:tc>
        <w:tc>
          <w:tcPr>
            <w:tcW w:w="1276" w:type="dxa"/>
          </w:tcPr>
          <w:p w14:paraId="1103CF85" w14:textId="182BE826" w:rsidR="00835255" w:rsidRPr="00DF5CC6" w:rsidRDefault="00835255" w:rsidP="00835255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99224C">
              <w:rPr>
                <w:rFonts w:ascii="Aptos" w:hAnsi="Aptos"/>
                <w:sz w:val="22"/>
                <w:szCs w:val="22"/>
                <w:lang w:val="en-AU"/>
              </w:rPr>
              <w:t>Annual</w:t>
            </w:r>
          </w:p>
        </w:tc>
      </w:tr>
      <w:tr w:rsidR="00835255" w:rsidRPr="00DF5CC6" w14:paraId="205CD8D4" w14:textId="77777777" w:rsidTr="00474315">
        <w:trPr>
          <w:trHeight w:val="534"/>
        </w:trPr>
        <w:tc>
          <w:tcPr>
            <w:tcW w:w="2802" w:type="dxa"/>
            <w:vMerge/>
            <w:shd w:val="clear" w:color="auto" w:fill="E6E6E6"/>
          </w:tcPr>
          <w:p w14:paraId="39450740" w14:textId="77777777" w:rsidR="00835255" w:rsidRPr="00DF5CC6" w:rsidRDefault="00835255" w:rsidP="00835255">
            <w:pPr>
              <w:pStyle w:val="ListParagraph"/>
              <w:numPr>
                <w:ilvl w:val="0"/>
                <w:numId w:val="17"/>
              </w:numPr>
              <w:rPr>
                <w:rFonts w:ascii="Aptos" w:hAnsi="Aptos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6520" w:type="dxa"/>
            <w:shd w:val="clear" w:color="auto" w:fill="auto"/>
          </w:tcPr>
          <w:p w14:paraId="2833F965" w14:textId="0FD74A72" w:rsidR="00835255" w:rsidRPr="00DF5CC6" w:rsidRDefault="00835255" w:rsidP="00835255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DF5CC6">
              <w:rPr>
                <w:rFonts w:ascii="Aptos" w:hAnsi="Aptos"/>
                <w:sz w:val="22"/>
                <w:szCs w:val="22"/>
                <w:lang w:val="en-AU"/>
              </w:rPr>
              <w:t xml:space="preserve">Direct procurement </w:t>
            </w:r>
            <w:proofErr w:type="gramStart"/>
            <w:r w:rsidRPr="00DF5CC6">
              <w:rPr>
                <w:rFonts w:ascii="Aptos" w:hAnsi="Aptos"/>
                <w:sz w:val="22"/>
                <w:szCs w:val="22"/>
                <w:lang w:val="en-AU"/>
              </w:rPr>
              <w:t>spend</w:t>
            </w:r>
            <w:proofErr w:type="gramEnd"/>
            <w:r w:rsidRPr="00DF5CC6">
              <w:rPr>
                <w:rFonts w:ascii="Aptos" w:hAnsi="Aptos"/>
                <w:sz w:val="22"/>
                <w:szCs w:val="22"/>
                <w:lang w:val="en-AU"/>
              </w:rPr>
              <w:t xml:space="preserve"> with small businesses</w:t>
            </w:r>
          </w:p>
        </w:tc>
        <w:tc>
          <w:tcPr>
            <w:tcW w:w="1276" w:type="dxa"/>
          </w:tcPr>
          <w:p w14:paraId="6CF354AE" w14:textId="2B0957DC" w:rsidR="00835255" w:rsidRPr="00DF5CC6" w:rsidRDefault="00835255" w:rsidP="00835255">
            <w:pPr>
              <w:rPr>
                <w:rFonts w:ascii="Aptos" w:hAnsi="Aptos"/>
                <w:sz w:val="22"/>
                <w:szCs w:val="22"/>
                <w:highlight w:val="yellow"/>
                <w:lang w:val="en-AU"/>
              </w:rPr>
            </w:pPr>
            <w:r w:rsidRPr="0099224C">
              <w:rPr>
                <w:rFonts w:ascii="Aptos" w:hAnsi="Aptos"/>
                <w:sz w:val="22"/>
                <w:szCs w:val="22"/>
                <w:lang w:val="en-AU"/>
              </w:rPr>
              <w:t>Annual</w:t>
            </w:r>
          </w:p>
        </w:tc>
      </w:tr>
    </w:tbl>
    <w:p w14:paraId="266FEF3B" w14:textId="46A3A485" w:rsidR="00C70C1A" w:rsidRDefault="00C70C1A" w:rsidP="00386154">
      <w:pPr>
        <w:pStyle w:val="BodyText"/>
        <w:ind w:left="360"/>
        <w:rPr>
          <w:rFonts w:ascii="Aptos" w:hAnsi="Aptos"/>
          <w:b/>
          <w:bCs/>
          <w:color w:val="1F4E79" w:themeColor="accent5" w:themeShade="80"/>
        </w:rPr>
      </w:pPr>
    </w:p>
    <w:p w14:paraId="0EEB6F7E" w14:textId="77777777" w:rsidR="00C70C1A" w:rsidRDefault="00C70C1A">
      <w:pPr>
        <w:spacing w:after="160" w:line="259" w:lineRule="auto"/>
        <w:rPr>
          <w:rFonts w:ascii="Aptos" w:hAnsi="Aptos"/>
          <w:b/>
          <w:bCs/>
          <w:color w:val="1F4E79" w:themeColor="accent5" w:themeShade="80"/>
        </w:rPr>
      </w:pPr>
      <w:r>
        <w:rPr>
          <w:rFonts w:ascii="Aptos" w:hAnsi="Aptos"/>
          <w:b/>
          <w:bCs/>
          <w:color w:val="1F4E79" w:themeColor="accent5" w:themeShade="80"/>
        </w:rPr>
        <w:br w:type="page"/>
      </w:r>
    </w:p>
    <w:p w14:paraId="6432B547" w14:textId="5F1EC340" w:rsidR="00544AE5" w:rsidRPr="00DF5CC6" w:rsidRDefault="00ED3D60" w:rsidP="006D6CD5">
      <w:pPr>
        <w:pStyle w:val="BodyText"/>
        <w:numPr>
          <w:ilvl w:val="0"/>
          <w:numId w:val="12"/>
        </w:numPr>
        <w:rPr>
          <w:rFonts w:ascii="Aptos" w:hAnsi="Aptos"/>
          <w:b/>
          <w:bCs/>
          <w:color w:val="1F4E79" w:themeColor="accent5" w:themeShade="80"/>
        </w:rPr>
      </w:pPr>
      <w:r w:rsidRPr="00DF5CC6">
        <w:rPr>
          <w:rFonts w:ascii="Aptos" w:hAnsi="Aptos"/>
          <w:b/>
          <w:bCs/>
          <w:color w:val="1F4E79" w:themeColor="accent5" w:themeShade="80"/>
          <w:sz w:val="28"/>
          <w:szCs w:val="28"/>
        </w:rPr>
        <w:lastRenderedPageBreak/>
        <w:t>Sustainable: A transport system that contributes to environmental, economic and social sustainability</w:t>
      </w:r>
    </w:p>
    <w:tbl>
      <w:tblPr>
        <w:tblStyle w:val="TableGrid"/>
        <w:tblW w:w="10598" w:type="dxa"/>
        <w:tblInd w:w="-11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6520"/>
        <w:gridCol w:w="1276"/>
      </w:tblGrid>
      <w:tr w:rsidR="00C70C1A" w:rsidRPr="00DF5CC6" w14:paraId="24299898" w14:textId="77777777" w:rsidTr="00474315">
        <w:trPr>
          <w:trHeight w:val="737"/>
          <w:tblHeader/>
        </w:trPr>
        <w:tc>
          <w:tcPr>
            <w:tcW w:w="2802" w:type="dxa"/>
            <w:tcBorders>
              <w:bottom w:val="single" w:sz="4" w:space="0" w:color="BFBFBF" w:themeColor="background1" w:themeShade="BF"/>
            </w:tcBorders>
            <w:shd w:val="clear" w:color="auto" w:fill="1F4E79" w:themeFill="accent5" w:themeFillShade="80"/>
            <w:vAlign w:val="center"/>
          </w:tcPr>
          <w:p w14:paraId="6D8D7FDF" w14:textId="77777777" w:rsidR="00C70C1A" w:rsidRPr="00DF5CC6" w:rsidRDefault="00C70C1A" w:rsidP="00DD1DB7">
            <w:pPr>
              <w:pStyle w:val="TableParagraph"/>
              <w:spacing w:before="0"/>
              <w:ind w:left="0"/>
              <w:rPr>
                <w:rFonts w:ascii="Aptos" w:hAnsi="Aptos" w:cs="Arial"/>
                <w:b/>
                <w:bCs/>
                <w:color w:val="FFFFFF"/>
                <w:sz w:val="22"/>
                <w:szCs w:val="22"/>
                <w:lang w:val="en-AU"/>
              </w:rPr>
            </w:pPr>
            <w:r w:rsidRPr="00DF5CC6">
              <w:rPr>
                <w:rFonts w:ascii="Aptos" w:hAnsi="Aptos" w:cs="Arial"/>
                <w:b/>
                <w:bCs/>
                <w:color w:val="FFFFFF"/>
                <w:sz w:val="22"/>
                <w:szCs w:val="22"/>
                <w:lang w:val="en-AU"/>
              </w:rPr>
              <w:t>Performance indicator</w:t>
            </w:r>
          </w:p>
        </w:tc>
        <w:tc>
          <w:tcPr>
            <w:tcW w:w="6520" w:type="dxa"/>
            <w:shd w:val="clear" w:color="auto" w:fill="1F4E79" w:themeFill="accent5" w:themeFillShade="80"/>
            <w:vAlign w:val="center"/>
          </w:tcPr>
          <w:p w14:paraId="686F7BB4" w14:textId="77777777" w:rsidR="00C70C1A" w:rsidRPr="00DF5CC6" w:rsidRDefault="00C70C1A" w:rsidP="00DD1DB7">
            <w:pPr>
              <w:pStyle w:val="Tableheadings"/>
              <w:widowControl w:val="0"/>
              <w:autoSpaceDE w:val="0"/>
              <w:autoSpaceDN w:val="0"/>
              <w:spacing w:line="240" w:lineRule="auto"/>
              <w:rPr>
                <w:rFonts w:ascii="Aptos" w:hAnsi="Aptos" w:cs="Arial"/>
                <w:b w:val="0"/>
                <w:sz w:val="22"/>
                <w:szCs w:val="22"/>
                <w:lang w:val="en-AU"/>
              </w:rPr>
            </w:pPr>
            <w:r w:rsidRPr="00DF5CC6">
              <w:rPr>
                <w:rFonts w:ascii="Aptos" w:hAnsi="Aptos" w:cs="Arial"/>
                <w:sz w:val="22"/>
                <w:szCs w:val="22"/>
                <w:lang w:val="en-AU"/>
              </w:rPr>
              <w:t>Strategic measures</w:t>
            </w:r>
          </w:p>
        </w:tc>
        <w:tc>
          <w:tcPr>
            <w:tcW w:w="1276" w:type="dxa"/>
            <w:shd w:val="clear" w:color="auto" w:fill="1F4E79" w:themeFill="accent5" w:themeFillShade="80"/>
            <w:vAlign w:val="center"/>
          </w:tcPr>
          <w:p w14:paraId="17E9A599" w14:textId="723CD97C" w:rsidR="00C70C1A" w:rsidRPr="00DF5CC6" w:rsidRDefault="00C70C1A" w:rsidP="00DD1DB7">
            <w:pPr>
              <w:pStyle w:val="TableParagraph"/>
              <w:spacing w:before="0"/>
              <w:ind w:left="0"/>
              <w:rPr>
                <w:rFonts w:ascii="Aptos" w:hAnsi="Aptos" w:cs="Arial"/>
                <w:b/>
                <w:bCs/>
                <w:color w:val="FFFFFF"/>
                <w:sz w:val="22"/>
                <w:szCs w:val="22"/>
                <w:lang w:val="en-AU"/>
              </w:rPr>
            </w:pPr>
            <w:r w:rsidRPr="00DF5CC6">
              <w:rPr>
                <w:rFonts w:ascii="Aptos" w:hAnsi="Aptos" w:cs="Arial"/>
                <w:b/>
                <w:bCs/>
                <w:color w:val="FFFFFF"/>
                <w:sz w:val="22"/>
                <w:szCs w:val="22"/>
                <w:lang w:val="en-AU"/>
              </w:rPr>
              <w:t>Frequency</w:t>
            </w:r>
          </w:p>
        </w:tc>
      </w:tr>
      <w:tr w:rsidR="00C70C1A" w:rsidRPr="00DF5CC6" w14:paraId="5B4FBC51" w14:textId="77777777" w:rsidTr="00474315">
        <w:trPr>
          <w:trHeight w:val="283"/>
        </w:trPr>
        <w:tc>
          <w:tcPr>
            <w:tcW w:w="2802" w:type="dxa"/>
            <w:shd w:val="clear" w:color="auto" w:fill="E6E6E6"/>
          </w:tcPr>
          <w:p w14:paraId="6ACFBE88" w14:textId="7F7EA2E8" w:rsidR="00C70C1A" w:rsidRPr="00DF5CC6" w:rsidRDefault="00C70C1A" w:rsidP="005C5B0A">
            <w:pPr>
              <w:pStyle w:val="ListParagraph"/>
              <w:numPr>
                <w:ilvl w:val="0"/>
                <w:numId w:val="18"/>
              </w:numPr>
              <w:rPr>
                <w:rFonts w:ascii="Aptos" w:hAnsi="Aptos"/>
                <w:b/>
                <w:sz w:val="22"/>
                <w:szCs w:val="22"/>
                <w:lang w:val="en-AU"/>
              </w:rPr>
            </w:pPr>
            <w:r w:rsidRPr="00DF5CC6">
              <w:rPr>
                <w:rFonts w:ascii="Aptos" w:hAnsi="Aptos"/>
                <w:b/>
                <w:sz w:val="22"/>
                <w:szCs w:val="22"/>
                <w:lang w:val="en-AU"/>
              </w:rPr>
              <w:t>Minimal impact on the natural environment</w:t>
            </w:r>
          </w:p>
        </w:tc>
        <w:tc>
          <w:tcPr>
            <w:tcW w:w="6520" w:type="dxa"/>
            <w:shd w:val="clear" w:color="auto" w:fill="auto"/>
          </w:tcPr>
          <w:p w14:paraId="3ECD53E7" w14:textId="7AED8F3B" w:rsidR="00C70C1A" w:rsidRPr="009E18F6" w:rsidRDefault="00C70C1A" w:rsidP="005C5B0A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 xml:space="preserve"> Overall waste diversion rate for TMR</w:t>
            </w:r>
          </w:p>
        </w:tc>
        <w:tc>
          <w:tcPr>
            <w:tcW w:w="1276" w:type="dxa"/>
            <w:shd w:val="clear" w:color="auto" w:fill="auto"/>
          </w:tcPr>
          <w:p w14:paraId="66189F5B" w14:textId="287E2409" w:rsidR="00C70C1A" w:rsidRPr="00DF5CC6" w:rsidRDefault="00C70C1A" w:rsidP="005C5B0A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DF5CC6">
              <w:rPr>
                <w:rFonts w:ascii="Aptos" w:hAnsi="Aptos"/>
                <w:sz w:val="22"/>
                <w:szCs w:val="22"/>
                <w:lang w:val="en-AU"/>
              </w:rPr>
              <w:t>Annual</w:t>
            </w:r>
          </w:p>
        </w:tc>
      </w:tr>
      <w:tr w:rsidR="00C70C1A" w:rsidRPr="00DF5CC6" w14:paraId="1A010E90" w14:textId="77777777" w:rsidTr="00474315">
        <w:trPr>
          <w:trHeight w:val="283"/>
        </w:trPr>
        <w:tc>
          <w:tcPr>
            <w:tcW w:w="2802" w:type="dxa"/>
            <w:vMerge w:val="restart"/>
            <w:shd w:val="clear" w:color="auto" w:fill="E6E6E6"/>
          </w:tcPr>
          <w:p w14:paraId="59DDAB10" w14:textId="7C8ACE80" w:rsidR="00C70C1A" w:rsidRPr="00DF5CC6" w:rsidRDefault="00C70C1A" w:rsidP="00DA64CA">
            <w:pPr>
              <w:pStyle w:val="ListParagraph"/>
              <w:numPr>
                <w:ilvl w:val="0"/>
                <w:numId w:val="18"/>
              </w:numPr>
              <w:rPr>
                <w:rFonts w:ascii="Aptos" w:hAnsi="Aptos"/>
                <w:b/>
                <w:bCs/>
                <w:sz w:val="22"/>
                <w:szCs w:val="22"/>
                <w:lang w:val="en-AU"/>
              </w:rPr>
            </w:pPr>
            <w:r w:rsidRPr="00DF5CC6">
              <w:rPr>
                <w:rFonts w:ascii="Aptos" w:hAnsi="Aptos"/>
                <w:b/>
                <w:bCs/>
                <w:sz w:val="22"/>
                <w:szCs w:val="22"/>
                <w:lang w:val="en-AU"/>
              </w:rPr>
              <w:t>Fiscal sustainability</w:t>
            </w:r>
          </w:p>
        </w:tc>
        <w:tc>
          <w:tcPr>
            <w:tcW w:w="6520" w:type="dxa"/>
            <w:shd w:val="clear" w:color="auto" w:fill="auto"/>
          </w:tcPr>
          <w:p w14:paraId="27F85F41" w14:textId="354D1338" w:rsidR="00C70C1A" w:rsidRPr="009E18F6" w:rsidRDefault="00C70C1A" w:rsidP="00DA64CA">
            <w:pPr>
              <w:rPr>
                <w:rFonts w:ascii="Aptos" w:hAnsi="Aptos"/>
                <w:bCs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>Capital program performance (forecast end-of-year result)</w:t>
            </w:r>
          </w:p>
        </w:tc>
        <w:tc>
          <w:tcPr>
            <w:tcW w:w="1276" w:type="dxa"/>
          </w:tcPr>
          <w:p w14:paraId="7E6AFD4D" w14:textId="4D25AB7F" w:rsidR="00C70C1A" w:rsidRPr="00DF5CC6" w:rsidRDefault="00C70C1A" w:rsidP="00DA64CA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DF5CC6">
              <w:rPr>
                <w:rFonts w:ascii="Aptos" w:hAnsi="Aptos"/>
                <w:sz w:val="22"/>
                <w:szCs w:val="22"/>
                <w:lang w:val="en-AU"/>
              </w:rPr>
              <w:t>Annual</w:t>
            </w:r>
          </w:p>
        </w:tc>
      </w:tr>
      <w:tr w:rsidR="00C70C1A" w:rsidRPr="00DF5CC6" w14:paraId="2464677B" w14:textId="77777777" w:rsidTr="00474315">
        <w:trPr>
          <w:trHeight w:val="283"/>
        </w:trPr>
        <w:tc>
          <w:tcPr>
            <w:tcW w:w="2802" w:type="dxa"/>
            <w:vMerge/>
            <w:shd w:val="clear" w:color="auto" w:fill="E6E6E6"/>
          </w:tcPr>
          <w:p w14:paraId="1AC99887" w14:textId="77777777" w:rsidR="00C70C1A" w:rsidRPr="00DF5CC6" w:rsidRDefault="00C70C1A" w:rsidP="00DA64CA">
            <w:pPr>
              <w:pStyle w:val="ListParagraph"/>
              <w:numPr>
                <w:ilvl w:val="0"/>
                <w:numId w:val="18"/>
              </w:numPr>
              <w:rPr>
                <w:rFonts w:ascii="Aptos" w:hAnsi="Aptos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6520" w:type="dxa"/>
            <w:shd w:val="clear" w:color="auto" w:fill="auto"/>
          </w:tcPr>
          <w:p w14:paraId="42ED338E" w14:textId="638D6501" w:rsidR="00C70C1A" w:rsidRPr="009E18F6" w:rsidRDefault="00C70C1A" w:rsidP="00DA64CA">
            <w:pPr>
              <w:rPr>
                <w:rFonts w:ascii="Aptos" w:hAnsi="Aptos"/>
                <w:bCs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bCs/>
                <w:sz w:val="22"/>
                <w:szCs w:val="22"/>
                <w:lang w:val="en-AU"/>
              </w:rPr>
              <w:t>Operating budget performance (forecast end-of-year result)</w:t>
            </w:r>
          </w:p>
        </w:tc>
        <w:tc>
          <w:tcPr>
            <w:tcW w:w="1276" w:type="dxa"/>
          </w:tcPr>
          <w:p w14:paraId="20DFB77D" w14:textId="2A1E900D" w:rsidR="00C70C1A" w:rsidRPr="00DF5CC6" w:rsidRDefault="00C70C1A" w:rsidP="00DA64CA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DF5CC6">
              <w:rPr>
                <w:rFonts w:ascii="Aptos" w:hAnsi="Aptos"/>
                <w:sz w:val="22"/>
                <w:szCs w:val="22"/>
                <w:lang w:val="en-AU"/>
              </w:rPr>
              <w:t>Annual</w:t>
            </w:r>
          </w:p>
        </w:tc>
      </w:tr>
      <w:tr w:rsidR="00C70C1A" w:rsidRPr="00DF5CC6" w14:paraId="4D77A4D1" w14:textId="77777777" w:rsidTr="00474315">
        <w:trPr>
          <w:trHeight w:val="283"/>
        </w:trPr>
        <w:tc>
          <w:tcPr>
            <w:tcW w:w="2802" w:type="dxa"/>
            <w:vMerge w:val="restart"/>
            <w:shd w:val="clear" w:color="auto" w:fill="E6E6E6"/>
          </w:tcPr>
          <w:p w14:paraId="359860DC" w14:textId="4AEAA592" w:rsidR="00C70C1A" w:rsidRPr="00DF5CC6" w:rsidRDefault="00C70C1A" w:rsidP="005C5B0A">
            <w:pPr>
              <w:pStyle w:val="ListParagraph"/>
              <w:numPr>
                <w:ilvl w:val="0"/>
                <w:numId w:val="18"/>
              </w:numPr>
              <w:rPr>
                <w:rFonts w:ascii="Aptos" w:hAnsi="Aptos"/>
                <w:b/>
                <w:bCs/>
                <w:sz w:val="22"/>
                <w:szCs w:val="22"/>
                <w:lang w:val="en-AU"/>
              </w:rPr>
            </w:pPr>
            <w:r w:rsidRPr="00DF5CC6">
              <w:rPr>
                <w:rFonts w:ascii="Aptos" w:hAnsi="Aptos"/>
                <w:b/>
                <w:bCs/>
                <w:sz w:val="22"/>
                <w:szCs w:val="22"/>
                <w:lang w:val="en-AU"/>
              </w:rPr>
              <w:t>Active and shared transport modes</w:t>
            </w:r>
          </w:p>
        </w:tc>
        <w:tc>
          <w:tcPr>
            <w:tcW w:w="6520" w:type="dxa"/>
            <w:shd w:val="clear" w:color="auto" w:fill="auto"/>
          </w:tcPr>
          <w:p w14:paraId="41C8C01F" w14:textId="77777777" w:rsidR="00C70C1A" w:rsidRPr="009E18F6" w:rsidRDefault="00C70C1A" w:rsidP="005C5B0A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>Active transport mode share</w:t>
            </w:r>
            <w:r w:rsidR="00B17FA8" w:rsidRPr="009E18F6">
              <w:rPr>
                <w:rFonts w:ascii="Aptos" w:hAnsi="Aptos"/>
                <w:sz w:val="22"/>
                <w:szCs w:val="22"/>
                <w:lang w:val="en-AU"/>
              </w:rPr>
              <w:t xml:space="preserve"> – </w:t>
            </w:r>
            <w:proofErr w:type="gramStart"/>
            <w:r w:rsidR="00B17FA8" w:rsidRPr="009E18F6">
              <w:rPr>
                <w:rFonts w:ascii="Aptos" w:hAnsi="Aptos"/>
                <w:sz w:val="22"/>
                <w:szCs w:val="22"/>
                <w:lang w:val="en-AU"/>
              </w:rPr>
              <w:t>South East</w:t>
            </w:r>
            <w:proofErr w:type="gramEnd"/>
            <w:r w:rsidR="00B17FA8" w:rsidRPr="009E18F6">
              <w:rPr>
                <w:rFonts w:ascii="Aptos" w:hAnsi="Aptos"/>
                <w:sz w:val="22"/>
                <w:szCs w:val="22"/>
                <w:lang w:val="en-AU"/>
              </w:rPr>
              <w:t xml:space="preserve"> Queensland</w:t>
            </w:r>
          </w:p>
          <w:p w14:paraId="2A317D47" w14:textId="77777777" w:rsidR="00B17FA8" w:rsidRPr="009E18F6" w:rsidRDefault="00B17FA8" w:rsidP="00B17FA8">
            <w:pPr>
              <w:pStyle w:val="ListParagraph"/>
              <w:numPr>
                <w:ilvl w:val="0"/>
                <w:numId w:val="33"/>
              </w:numPr>
              <w:rPr>
                <w:rFonts w:ascii="Aptos" w:hAnsi="Aptos"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>Bicycle</w:t>
            </w:r>
          </w:p>
          <w:p w14:paraId="31C8BAC1" w14:textId="4B85549A" w:rsidR="00B17FA8" w:rsidRPr="009E18F6" w:rsidRDefault="00B17FA8" w:rsidP="00B17FA8">
            <w:pPr>
              <w:pStyle w:val="ListParagraph"/>
              <w:numPr>
                <w:ilvl w:val="0"/>
                <w:numId w:val="33"/>
              </w:numPr>
              <w:rPr>
                <w:rFonts w:ascii="Aptos" w:hAnsi="Aptos"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>Pedestrian</w:t>
            </w:r>
          </w:p>
        </w:tc>
        <w:tc>
          <w:tcPr>
            <w:tcW w:w="1276" w:type="dxa"/>
            <w:shd w:val="clear" w:color="auto" w:fill="auto"/>
          </w:tcPr>
          <w:p w14:paraId="7CB147FD" w14:textId="324AC6CF" w:rsidR="00C70C1A" w:rsidRPr="00DF5CC6" w:rsidRDefault="00C70C1A" w:rsidP="005C5B0A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DF5CC6">
              <w:rPr>
                <w:rFonts w:ascii="Aptos" w:hAnsi="Aptos"/>
                <w:sz w:val="22"/>
                <w:szCs w:val="22"/>
                <w:lang w:val="en-AU"/>
              </w:rPr>
              <w:t>Annual</w:t>
            </w:r>
          </w:p>
        </w:tc>
      </w:tr>
      <w:tr w:rsidR="00C70C1A" w:rsidRPr="00DF5CC6" w14:paraId="2020DDA0" w14:textId="77777777" w:rsidTr="00474315">
        <w:trPr>
          <w:trHeight w:val="542"/>
        </w:trPr>
        <w:tc>
          <w:tcPr>
            <w:tcW w:w="2802" w:type="dxa"/>
            <w:vMerge/>
            <w:shd w:val="clear" w:color="auto" w:fill="E6E6E6"/>
          </w:tcPr>
          <w:p w14:paraId="6E6C8D13" w14:textId="77777777" w:rsidR="00C70C1A" w:rsidRPr="00DF5CC6" w:rsidRDefault="00C70C1A" w:rsidP="005C5B0A">
            <w:pPr>
              <w:pStyle w:val="ListParagraph"/>
              <w:numPr>
                <w:ilvl w:val="0"/>
                <w:numId w:val="18"/>
              </w:numPr>
              <w:rPr>
                <w:rFonts w:ascii="Aptos" w:hAnsi="Aptos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6520" w:type="dxa"/>
            <w:shd w:val="clear" w:color="auto" w:fill="auto"/>
          </w:tcPr>
          <w:p w14:paraId="765A42DC" w14:textId="77777777" w:rsidR="00131DC6" w:rsidRPr="009E18F6" w:rsidRDefault="00C70C1A" w:rsidP="005C5B0A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>Proportion of Queensland population with good access to a range of essential services by walking</w:t>
            </w:r>
          </w:p>
          <w:p w14:paraId="18BB6C96" w14:textId="77777777" w:rsidR="00C70C1A" w:rsidRPr="009E18F6" w:rsidRDefault="00C70C1A" w:rsidP="00131DC6">
            <w:pPr>
              <w:pStyle w:val="ListParagraph"/>
              <w:numPr>
                <w:ilvl w:val="0"/>
                <w:numId w:val="33"/>
              </w:numPr>
              <w:rPr>
                <w:rFonts w:ascii="Aptos" w:hAnsi="Aptos"/>
                <w:sz w:val="22"/>
                <w:szCs w:val="22"/>
                <w:lang w:val="en-AU"/>
              </w:rPr>
            </w:pPr>
            <w:proofErr w:type="gramStart"/>
            <w:r w:rsidRPr="009E18F6">
              <w:rPr>
                <w:rFonts w:ascii="Aptos" w:hAnsi="Aptos"/>
                <w:sz w:val="22"/>
                <w:szCs w:val="22"/>
                <w:lang w:val="en-AU"/>
              </w:rPr>
              <w:t>South East</w:t>
            </w:r>
            <w:proofErr w:type="gramEnd"/>
            <w:r w:rsidRPr="009E18F6">
              <w:rPr>
                <w:rFonts w:ascii="Aptos" w:hAnsi="Aptos"/>
                <w:sz w:val="22"/>
                <w:szCs w:val="22"/>
                <w:lang w:val="en-AU"/>
              </w:rPr>
              <w:t xml:space="preserve"> Queensland</w:t>
            </w:r>
          </w:p>
          <w:p w14:paraId="556CFC86" w14:textId="1F583AD4" w:rsidR="00131DC6" w:rsidRPr="009E18F6" w:rsidRDefault="00131DC6" w:rsidP="00131DC6">
            <w:pPr>
              <w:pStyle w:val="ListParagraph"/>
              <w:numPr>
                <w:ilvl w:val="0"/>
                <w:numId w:val="33"/>
              </w:numPr>
              <w:rPr>
                <w:rFonts w:ascii="Aptos" w:hAnsi="Aptos"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>Regional Urban Centres</w:t>
            </w:r>
          </w:p>
        </w:tc>
        <w:tc>
          <w:tcPr>
            <w:tcW w:w="1276" w:type="dxa"/>
            <w:shd w:val="clear" w:color="auto" w:fill="auto"/>
          </w:tcPr>
          <w:p w14:paraId="51208CCD" w14:textId="1F216296" w:rsidR="00C70C1A" w:rsidRPr="00DF5CC6" w:rsidRDefault="00C70C1A" w:rsidP="005C5B0A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DF5CC6">
              <w:rPr>
                <w:rFonts w:ascii="Aptos" w:hAnsi="Aptos"/>
                <w:sz w:val="22"/>
                <w:szCs w:val="22"/>
                <w:lang w:val="en-AU"/>
              </w:rPr>
              <w:t>Annual</w:t>
            </w:r>
          </w:p>
        </w:tc>
      </w:tr>
      <w:tr w:rsidR="00C70C1A" w:rsidRPr="00DF5CC6" w14:paraId="37268197" w14:textId="77777777" w:rsidTr="00474315">
        <w:trPr>
          <w:trHeight w:val="505"/>
        </w:trPr>
        <w:tc>
          <w:tcPr>
            <w:tcW w:w="2802" w:type="dxa"/>
            <w:vMerge/>
            <w:shd w:val="clear" w:color="auto" w:fill="E6E6E6"/>
          </w:tcPr>
          <w:p w14:paraId="29E3A1BF" w14:textId="77777777" w:rsidR="00C70C1A" w:rsidRPr="00DF5CC6" w:rsidRDefault="00C70C1A" w:rsidP="005C5B0A">
            <w:pPr>
              <w:pStyle w:val="ListParagraph"/>
              <w:numPr>
                <w:ilvl w:val="0"/>
                <w:numId w:val="18"/>
              </w:numPr>
              <w:rPr>
                <w:rFonts w:ascii="Aptos" w:hAnsi="Aptos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6520" w:type="dxa"/>
            <w:shd w:val="clear" w:color="auto" w:fill="auto"/>
          </w:tcPr>
          <w:p w14:paraId="1970F279" w14:textId="77777777" w:rsidR="00131DC6" w:rsidRPr="009E18F6" w:rsidRDefault="00C70C1A" w:rsidP="005C5B0A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>Proportion of Queensland population with good access to a range of essential services by bike riding</w:t>
            </w:r>
          </w:p>
          <w:p w14:paraId="5F39612B" w14:textId="3F660A37" w:rsidR="00C70C1A" w:rsidRPr="009E18F6" w:rsidRDefault="00C70C1A" w:rsidP="00131DC6">
            <w:pPr>
              <w:pStyle w:val="ListParagraph"/>
              <w:numPr>
                <w:ilvl w:val="0"/>
                <w:numId w:val="33"/>
              </w:numPr>
              <w:rPr>
                <w:rFonts w:ascii="Aptos" w:hAnsi="Aptos"/>
                <w:sz w:val="22"/>
                <w:szCs w:val="22"/>
                <w:lang w:val="en-AU"/>
              </w:rPr>
            </w:pPr>
            <w:proofErr w:type="gramStart"/>
            <w:r w:rsidRPr="009E18F6">
              <w:rPr>
                <w:rFonts w:ascii="Aptos" w:hAnsi="Aptos"/>
                <w:sz w:val="22"/>
                <w:szCs w:val="22"/>
                <w:lang w:val="en-AU"/>
              </w:rPr>
              <w:t>South East</w:t>
            </w:r>
            <w:proofErr w:type="gramEnd"/>
            <w:r w:rsidRPr="009E18F6">
              <w:rPr>
                <w:rFonts w:ascii="Aptos" w:hAnsi="Aptos"/>
                <w:sz w:val="22"/>
                <w:szCs w:val="22"/>
                <w:lang w:val="en-AU"/>
              </w:rPr>
              <w:t xml:space="preserve"> Queensland</w:t>
            </w:r>
          </w:p>
          <w:p w14:paraId="1CC0ECF0" w14:textId="37519DF7" w:rsidR="00131DC6" w:rsidRPr="009E18F6" w:rsidRDefault="00131DC6" w:rsidP="00131DC6">
            <w:pPr>
              <w:pStyle w:val="ListParagraph"/>
              <w:numPr>
                <w:ilvl w:val="0"/>
                <w:numId w:val="33"/>
              </w:numPr>
              <w:rPr>
                <w:rFonts w:ascii="Aptos" w:hAnsi="Aptos"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>Regional Urban Centres</w:t>
            </w:r>
          </w:p>
        </w:tc>
        <w:tc>
          <w:tcPr>
            <w:tcW w:w="1276" w:type="dxa"/>
            <w:shd w:val="clear" w:color="auto" w:fill="auto"/>
          </w:tcPr>
          <w:p w14:paraId="304E70C8" w14:textId="658A7781" w:rsidR="00C70C1A" w:rsidRPr="00DF5CC6" w:rsidRDefault="00C70C1A" w:rsidP="005C5B0A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DF5CC6">
              <w:rPr>
                <w:rFonts w:ascii="Aptos" w:hAnsi="Aptos"/>
                <w:sz w:val="22"/>
                <w:szCs w:val="22"/>
                <w:lang w:val="en-AU"/>
              </w:rPr>
              <w:t>Annual</w:t>
            </w:r>
          </w:p>
        </w:tc>
      </w:tr>
    </w:tbl>
    <w:p w14:paraId="4B2FD323" w14:textId="5DC5A0EE" w:rsidR="005C5B0A" w:rsidRPr="00DF5CC6" w:rsidRDefault="005C5B0A">
      <w:pPr>
        <w:spacing w:after="160" w:line="259" w:lineRule="auto"/>
        <w:rPr>
          <w:rFonts w:ascii="Aptos" w:hAnsi="Aptos"/>
          <w:b/>
          <w:bCs/>
          <w:color w:val="1F4E79" w:themeColor="accent5" w:themeShade="80"/>
        </w:rPr>
      </w:pPr>
    </w:p>
    <w:p w14:paraId="2E890CE9" w14:textId="29CCC5BF" w:rsidR="00127D80" w:rsidRPr="00DF5CC6" w:rsidRDefault="00127D80" w:rsidP="006D6CD5">
      <w:pPr>
        <w:pStyle w:val="BodyText"/>
        <w:numPr>
          <w:ilvl w:val="0"/>
          <w:numId w:val="12"/>
        </w:numPr>
        <w:rPr>
          <w:rFonts w:ascii="Aptos" w:hAnsi="Aptos"/>
          <w:b/>
          <w:bCs/>
          <w:color w:val="1F4E79" w:themeColor="accent5" w:themeShade="80"/>
        </w:rPr>
      </w:pPr>
      <w:r w:rsidRPr="00DF5CC6">
        <w:rPr>
          <w:rFonts w:ascii="Aptos" w:hAnsi="Aptos"/>
          <w:b/>
          <w:bCs/>
          <w:color w:val="1F4E79" w:themeColor="accent5" w:themeShade="80"/>
          <w:sz w:val="28"/>
          <w:szCs w:val="28"/>
        </w:rPr>
        <w:t xml:space="preserve">Capable, adaptable and aligned: A positive, </w:t>
      </w:r>
      <w:r w:rsidR="00DD1DB7" w:rsidRPr="00DF5CC6">
        <w:rPr>
          <w:rFonts w:ascii="Aptos" w:hAnsi="Aptos"/>
          <w:b/>
          <w:bCs/>
          <w:color w:val="1F4E79" w:themeColor="accent5" w:themeShade="80"/>
          <w:sz w:val="28"/>
          <w:szCs w:val="28"/>
        </w:rPr>
        <w:t>effective and accountable organisation</w:t>
      </w:r>
    </w:p>
    <w:tbl>
      <w:tblPr>
        <w:tblStyle w:val="TableGrid"/>
        <w:tblW w:w="10598" w:type="dxa"/>
        <w:tblInd w:w="-11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6520"/>
        <w:gridCol w:w="1276"/>
      </w:tblGrid>
      <w:tr w:rsidR="00C70C1A" w:rsidRPr="00DF5CC6" w14:paraId="29808C1B" w14:textId="77777777" w:rsidTr="00474315">
        <w:trPr>
          <w:trHeight w:val="737"/>
          <w:tblHeader/>
        </w:trPr>
        <w:tc>
          <w:tcPr>
            <w:tcW w:w="2802" w:type="dxa"/>
            <w:tcBorders>
              <w:bottom w:val="single" w:sz="4" w:space="0" w:color="BFBFBF" w:themeColor="background1" w:themeShade="BF"/>
            </w:tcBorders>
            <w:shd w:val="clear" w:color="auto" w:fill="1F4E79" w:themeFill="accent5" w:themeFillShade="80"/>
            <w:vAlign w:val="center"/>
          </w:tcPr>
          <w:p w14:paraId="672B84F3" w14:textId="77777777" w:rsidR="00C70C1A" w:rsidRPr="00DF5CC6" w:rsidRDefault="00C70C1A">
            <w:pPr>
              <w:pStyle w:val="TableParagraph"/>
              <w:spacing w:before="0"/>
              <w:ind w:left="0"/>
              <w:rPr>
                <w:rFonts w:ascii="Aptos" w:hAnsi="Aptos" w:cs="Arial"/>
                <w:b/>
                <w:bCs/>
                <w:color w:val="FFFFFF"/>
                <w:sz w:val="22"/>
                <w:szCs w:val="22"/>
                <w:lang w:val="en-AU"/>
              </w:rPr>
            </w:pPr>
            <w:bookmarkStart w:id="0" w:name="_Hlk195263656"/>
            <w:r w:rsidRPr="00DF5CC6">
              <w:rPr>
                <w:rFonts w:ascii="Aptos" w:hAnsi="Aptos" w:cs="Arial"/>
                <w:b/>
                <w:bCs/>
                <w:color w:val="FFFFFF"/>
                <w:sz w:val="22"/>
                <w:szCs w:val="22"/>
                <w:lang w:val="en-AU"/>
              </w:rPr>
              <w:t>Performance indicator</w:t>
            </w:r>
          </w:p>
        </w:tc>
        <w:tc>
          <w:tcPr>
            <w:tcW w:w="6520" w:type="dxa"/>
            <w:shd w:val="clear" w:color="auto" w:fill="1F4E79" w:themeFill="accent5" w:themeFillShade="80"/>
            <w:vAlign w:val="center"/>
          </w:tcPr>
          <w:p w14:paraId="0B984E14" w14:textId="77777777" w:rsidR="00C70C1A" w:rsidRPr="00DF5CC6" w:rsidRDefault="00C70C1A">
            <w:pPr>
              <w:pStyle w:val="Tableheadings"/>
              <w:widowControl w:val="0"/>
              <w:autoSpaceDE w:val="0"/>
              <w:autoSpaceDN w:val="0"/>
              <w:spacing w:line="240" w:lineRule="auto"/>
              <w:rPr>
                <w:rFonts w:ascii="Aptos" w:hAnsi="Aptos" w:cs="Arial"/>
                <w:b w:val="0"/>
                <w:sz w:val="22"/>
                <w:szCs w:val="22"/>
                <w:lang w:val="en-AU"/>
              </w:rPr>
            </w:pPr>
            <w:r w:rsidRPr="00DF5CC6">
              <w:rPr>
                <w:rFonts w:ascii="Aptos" w:hAnsi="Aptos" w:cs="Arial"/>
                <w:sz w:val="22"/>
                <w:szCs w:val="22"/>
                <w:lang w:val="en-AU"/>
              </w:rPr>
              <w:t>Strategic measures</w:t>
            </w:r>
          </w:p>
        </w:tc>
        <w:tc>
          <w:tcPr>
            <w:tcW w:w="1276" w:type="dxa"/>
            <w:shd w:val="clear" w:color="auto" w:fill="1F4E79" w:themeFill="accent5" w:themeFillShade="80"/>
            <w:vAlign w:val="center"/>
          </w:tcPr>
          <w:p w14:paraId="6CF7F9AE" w14:textId="574CF604" w:rsidR="00C70C1A" w:rsidRPr="00DF5CC6" w:rsidRDefault="00C70C1A">
            <w:pPr>
              <w:pStyle w:val="TableParagraph"/>
              <w:spacing w:before="0"/>
              <w:ind w:left="0"/>
              <w:rPr>
                <w:rFonts w:ascii="Aptos" w:hAnsi="Aptos" w:cs="Arial"/>
                <w:b/>
                <w:bCs/>
                <w:color w:val="FFFFFF"/>
                <w:sz w:val="22"/>
                <w:szCs w:val="22"/>
                <w:lang w:val="en-AU"/>
              </w:rPr>
            </w:pPr>
            <w:r w:rsidRPr="00DF5CC6">
              <w:rPr>
                <w:rFonts w:ascii="Aptos" w:hAnsi="Aptos" w:cs="Arial"/>
                <w:b/>
                <w:bCs/>
                <w:color w:val="FFFFFF"/>
                <w:sz w:val="22"/>
                <w:szCs w:val="22"/>
                <w:lang w:val="en-AU"/>
              </w:rPr>
              <w:t>Frequency</w:t>
            </w:r>
          </w:p>
        </w:tc>
      </w:tr>
      <w:tr w:rsidR="00C70C1A" w:rsidRPr="00DF5CC6" w14:paraId="7D737492" w14:textId="77777777" w:rsidTr="00474315">
        <w:trPr>
          <w:trHeight w:val="283"/>
        </w:trPr>
        <w:tc>
          <w:tcPr>
            <w:tcW w:w="2802" w:type="dxa"/>
            <w:shd w:val="clear" w:color="auto" w:fill="E6E6E6"/>
          </w:tcPr>
          <w:p w14:paraId="4CDAEB17" w14:textId="71A66194" w:rsidR="00C70C1A" w:rsidRPr="00DF5CC6" w:rsidRDefault="00C70C1A" w:rsidP="005C5B0A">
            <w:pPr>
              <w:pStyle w:val="ListParagraph"/>
              <w:numPr>
                <w:ilvl w:val="0"/>
                <w:numId w:val="20"/>
              </w:numPr>
              <w:rPr>
                <w:rFonts w:ascii="Aptos" w:hAnsi="Aptos"/>
                <w:b/>
                <w:sz w:val="22"/>
                <w:szCs w:val="22"/>
                <w:lang w:val="en-AU"/>
              </w:rPr>
            </w:pPr>
            <w:r w:rsidRPr="00DF5CC6">
              <w:rPr>
                <w:rFonts w:ascii="Aptos" w:hAnsi="Aptos"/>
                <w:b/>
                <w:sz w:val="22"/>
                <w:szCs w:val="22"/>
                <w:lang w:val="en-AU"/>
              </w:rPr>
              <w:t>Effective leadership</w:t>
            </w:r>
          </w:p>
        </w:tc>
        <w:tc>
          <w:tcPr>
            <w:tcW w:w="6520" w:type="dxa"/>
            <w:shd w:val="clear" w:color="auto" w:fill="auto"/>
          </w:tcPr>
          <w:p w14:paraId="585157C6" w14:textId="39EC10AE" w:rsidR="00C70C1A" w:rsidRPr="009E18F6" w:rsidRDefault="00C70C1A" w:rsidP="005C5B0A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 xml:space="preserve">Organisational leadership </w:t>
            </w:r>
            <w:r w:rsidRPr="009E18F6">
              <w:rPr>
                <w:rFonts w:ascii="Aptos" w:hAnsi="Aptos"/>
                <w:bCs/>
                <w:sz w:val="22"/>
                <w:szCs w:val="22"/>
                <w:lang w:val="en-AU"/>
              </w:rPr>
              <w:t xml:space="preserve">(% favourable) </w:t>
            </w:r>
            <w:r w:rsidRPr="009E18F6">
              <w:rPr>
                <w:rFonts w:ascii="Aptos" w:hAnsi="Aptos"/>
                <w:sz w:val="22"/>
                <w:szCs w:val="22"/>
                <w:lang w:val="en-AU"/>
              </w:rPr>
              <w:t>as measured in the department’s Working for Queensland Survey</w:t>
            </w:r>
          </w:p>
          <w:p w14:paraId="6597DBCE" w14:textId="235EB979" w:rsidR="00C70C1A" w:rsidRPr="009E18F6" w:rsidRDefault="00C70C1A" w:rsidP="00131DC6">
            <w:pPr>
              <w:pStyle w:val="ListParagraph"/>
              <w:numPr>
                <w:ilvl w:val="0"/>
                <w:numId w:val="33"/>
              </w:numPr>
              <w:rPr>
                <w:rFonts w:ascii="Aptos" w:hAnsi="Aptos"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>Executive Group</w:t>
            </w:r>
          </w:p>
          <w:p w14:paraId="0579A5A7" w14:textId="4437F4E5" w:rsidR="00C70C1A" w:rsidRPr="009E18F6" w:rsidRDefault="00C70C1A" w:rsidP="00131DC6">
            <w:pPr>
              <w:pStyle w:val="ListParagraph"/>
              <w:numPr>
                <w:ilvl w:val="0"/>
                <w:numId w:val="33"/>
              </w:numPr>
              <w:rPr>
                <w:rFonts w:ascii="Aptos" w:hAnsi="Aptos"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 xml:space="preserve">Senior Manager </w:t>
            </w:r>
          </w:p>
        </w:tc>
        <w:tc>
          <w:tcPr>
            <w:tcW w:w="1276" w:type="dxa"/>
            <w:shd w:val="clear" w:color="auto" w:fill="auto"/>
          </w:tcPr>
          <w:p w14:paraId="26D4B868" w14:textId="62C6B466" w:rsidR="00C70C1A" w:rsidRPr="009E18F6" w:rsidRDefault="00C70C1A" w:rsidP="005C5B0A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>Annual</w:t>
            </w:r>
          </w:p>
        </w:tc>
      </w:tr>
      <w:tr w:rsidR="00C70C1A" w:rsidRPr="00DF5CC6" w14:paraId="744F2B48" w14:textId="77777777" w:rsidTr="00474315">
        <w:trPr>
          <w:trHeight w:val="283"/>
        </w:trPr>
        <w:tc>
          <w:tcPr>
            <w:tcW w:w="2802" w:type="dxa"/>
            <w:vMerge w:val="restart"/>
            <w:shd w:val="clear" w:color="auto" w:fill="E6E6E6"/>
          </w:tcPr>
          <w:p w14:paraId="438BBE6D" w14:textId="5600DC0D" w:rsidR="00C70C1A" w:rsidRPr="00DF5CC6" w:rsidRDefault="00C70C1A" w:rsidP="005C5B0A">
            <w:pPr>
              <w:pStyle w:val="ListParagraph"/>
              <w:numPr>
                <w:ilvl w:val="0"/>
                <w:numId w:val="20"/>
              </w:numPr>
              <w:rPr>
                <w:rFonts w:ascii="Aptos" w:hAnsi="Aptos"/>
                <w:b/>
                <w:sz w:val="22"/>
                <w:szCs w:val="22"/>
                <w:lang w:val="en-AU"/>
              </w:rPr>
            </w:pPr>
            <w:r w:rsidRPr="00DF5CC6">
              <w:rPr>
                <w:rFonts w:ascii="Aptos" w:hAnsi="Aptos"/>
                <w:b/>
                <w:bCs/>
                <w:sz w:val="22"/>
                <w:szCs w:val="22"/>
                <w:lang w:val="en-AU"/>
              </w:rPr>
              <w:t>Inclusive, diverse and s</w:t>
            </w:r>
            <w:r w:rsidRPr="00DF5CC6">
              <w:rPr>
                <w:rFonts w:ascii="Aptos" w:hAnsi="Aptos"/>
                <w:b/>
                <w:sz w:val="22"/>
                <w:szCs w:val="22"/>
                <w:lang w:val="en-AU"/>
              </w:rPr>
              <w:t>afe workforce</w:t>
            </w:r>
          </w:p>
        </w:tc>
        <w:tc>
          <w:tcPr>
            <w:tcW w:w="6520" w:type="dxa"/>
            <w:shd w:val="clear" w:color="auto" w:fill="auto"/>
          </w:tcPr>
          <w:p w14:paraId="631542EC" w14:textId="04EFF713" w:rsidR="00C70C1A" w:rsidRPr="009E18F6" w:rsidRDefault="00C70C1A" w:rsidP="005C5B0A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>Percentage of investigations completed for high potential incidents</w:t>
            </w:r>
          </w:p>
        </w:tc>
        <w:tc>
          <w:tcPr>
            <w:tcW w:w="1276" w:type="dxa"/>
          </w:tcPr>
          <w:p w14:paraId="41B54415" w14:textId="6F9C3231" w:rsidR="00C70C1A" w:rsidRPr="009E18F6" w:rsidRDefault="00C70C1A" w:rsidP="005C5B0A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>Quarterly</w:t>
            </w:r>
          </w:p>
        </w:tc>
      </w:tr>
      <w:tr w:rsidR="00C70C1A" w:rsidRPr="00DF5CC6" w14:paraId="6C05C3AC" w14:textId="77777777" w:rsidTr="00474315">
        <w:trPr>
          <w:trHeight w:val="283"/>
        </w:trPr>
        <w:tc>
          <w:tcPr>
            <w:tcW w:w="2802" w:type="dxa"/>
            <w:vMerge/>
            <w:shd w:val="clear" w:color="auto" w:fill="E6E6E6"/>
          </w:tcPr>
          <w:p w14:paraId="1C3C6D8F" w14:textId="77777777" w:rsidR="00C70C1A" w:rsidRPr="00DF5CC6" w:rsidRDefault="00C70C1A" w:rsidP="005C5B0A">
            <w:pPr>
              <w:pStyle w:val="ListParagraph"/>
              <w:numPr>
                <w:ilvl w:val="0"/>
                <w:numId w:val="20"/>
              </w:numPr>
              <w:rPr>
                <w:rFonts w:ascii="Aptos" w:hAnsi="Aptos"/>
                <w:b/>
                <w:sz w:val="22"/>
                <w:szCs w:val="22"/>
                <w:lang w:val="en-AU"/>
              </w:rPr>
            </w:pPr>
          </w:p>
        </w:tc>
        <w:tc>
          <w:tcPr>
            <w:tcW w:w="6520" w:type="dxa"/>
            <w:shd w:val="clear" w:color="auto" w:fill="auto"/>
          </w:tcPr>
          <w:p w14:paraId="5543B8ED" w14:textId="04E64B81" w:rsidR="00C70C1A" w:rsidRPr="009E18F6" w:rsidRDefault="00C70C1A" w:rsidP="005C5B0A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>Percentage of incidents with corrective actions</w:t>
            </w:r>
          </w:p>
        </w:tc>
        <w:tc>
          <w:tcPr>
            <w:tcW w:w="1276" w:type="dxa"/>
          </w:tcPr>
          <w:p w14:paraId="221A3BDC" w14:textId="3561E575" w:rsidR="00C70C1A" w:rsidRPr="009E18F6" w:rsidRDefault="00C70C1A" w:rsidP="005C5B0A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>Quarterly</w:t>
            </w:r>
          </w:p>
        </w:tc>
      </w:tr>
      <w:tr w:rsidR="00C70C1A" w:rsidRPr="00DF5CC6" w14:paraId="5EB9A6E4" w14:textId="77777777" w:rsidTr="00474315">
        <w:trPr>
          <w:trHeight w:val="283"/>
        </w:trPr>
        <w:tc>
          <w:tcPr>
            <w:tcW w:w="2802" w:type="dxa"/>
            <w:vMerge/>
            <w:shd w:val="clear" w:color="auto" w:fill="E6E6E6"/>
          </w:tcPr>
          <w:p w14:paraId="094888CF" w14:textId="77777777" w:rsidR="00C70C1A" w:rsidRPr="00DF5CC6" w:rsidRDefault="00C70C1A" w:rsidP="005C5B0A">
            <w:pPr>
              <w:pStyle w:val="ListParagraph"/>
              <w:numPr>
                <w:ilvl w:val="0"/>
                <w:numId w:val="20"/>
              </w:numPr>
              <w:rPr>
                <w:rFonts w:ascii="Aptos" w:hAnsi="Aptos"/>
                <w:b/>
                <w:sz w:val="22"/>
                <w:szCs w:val="22"/>
                <w:lang w:val="en-AU"/>
              </w:rPr>
            </w:pPr>
          </w:p>
        </w:tc>
        <w:tc>
          <w:tcPr>
            <w:tcW w:w="6520" w:type="dxa"/>
            <w:shd w:val="clear" w:color="auto" w:fill="auto"/>
          </w:tcPr>
          <w:p w14:paraId="3EB51AFB" w14:textId="74D7BCDD" w:rsidR="00C70C1A" w:rsidRPr="009E18F6" w:rsidRDefault="00C70C1A" w:rsidP="005C5B0A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>Language other than English at home</w:t>
            </w:r>
          </w:p>
        </w:tc>
        <w:tc>
          <w:tcPr>
            <w:tcW w:w="1276" w:type="dxa"/>
          </w:tcPr>
          <w:p w14:paraId="50567E04" w14:textId="4CD02BD0" w:rsidR="00C70C1A" w:rsidRPr="009E18F6" w:rsidRDefault="008D40A9" w:rsidP="005C5B0A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>Annual</w:t>
            </w:r>
          </w:p>
        </w:tc>
      </w:tr>
      <w:tr w:rsidR="00C70C1A" w:rsidRPr="00DF5CC6" w14:paraId="6CCC386A" w14:textId="77777777" w:rsidTr="00474315">
        <w:trPr>
          <w:trHeight w:val="283"/>
        </w:trPr>
        <w:tc>
          <w:tcPr>
            <w:tcW w:w="2802" w:type="dxa"/>
            <w:vMerge/>
            <w:shd w:val="clear" w:color="auto" w:fill="E6E6E6"/>
          </w:tcPr>
          <w:p w14:paraId="716B7C53" w14:textId="77777777" w:rsidR="00C70C1A" w:rsidRPr="00DF5CC6" w:rsidRDefault="00C70C1A" w:rsidP="005C5B0A">
            <w:pPr>
              <w:pStyle w:val="ListParagraph"/>
              <w:numPr>
                <w:ilvl w:val="0"/>
                <w:numId w:val="20"/>
              </w:numPr>
              <w:rPr>
                <w:rFonts w:ascii="Aptos" w:hAnsi="Aptos"/>
                <w:b/>
                <w:sz w:val="22"/>
                <w:szCs w:val="22"/>
                <w:lang w:val="en-AU"/>
              </w:rPr>
            </w:pPr>
          </w:p>
        </w:tc>
        <w:tc>
          <w:tcPr>
            <w:tcW w:w="6520" w:type="dxa"/>
            <w:shd w:val="clear" w:color="auto" w:fill="auto"/>
          </w:tcPr>
          <w:p w14:paraId="438D6F3E" w14:textId="138B090E" w:rsidR="00C70C1A" w:rsidRPr="009E18F6" w:rsidRDefault="00C70C1A" w:rsidP="005C5B0A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>People with disability</w:t>
            </w:r>
          </w:p>
        </w:tc>
        <w:tc>
          <w:tcPr>
            <w:tcW w:w="1276" w:type="dxa"/>
          </w:tcPr>
          <w:p w14:paraId="017CFC76" w14:textId="15BE43F7" w:rsidR="00C70C1A" w:rsidRPr="009E18F6" w:rsidRDefault="008D40A9" w:rsidP="005C5B0A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>Annual</w:t>
            </w:r>
          </w:p>
        </w:tc>
      </w:tr>
      <w:tr w:rsidR="00C70C1A" w:rsidRPr="00DF5CC6" w14:paraId="49FE6A90" w14:textId="77777777" w:rsidTr="00474315">
        <w:trPr>
          <w:trHeight w:val="283"/>
        </w:trPr>
        <w:tc>
          <w:tcPr>
            <w:tcW w:w="2802" w:type="dxa"/>
            <w:vMerge/>
            <w:shd w:val="clear" w:color="auto" w:fill="E6E6E6"/>
          </w:tcPr>
          <w:p w14:paraId="6C39059C" w14:textId="77777777" w:rsidR="00C70C1A" w:rsidRPr="00DF5CC6" w:rsidRDefault="00C70C1A" w:rsidP="005C5B0A">
            <w:pPr>
              <w:pStyle w:val="ListParagraph"/>
              <w:numPr>
                <w:ilvl w:val="0"/>
                <w:numId w:val="20"/>
              </w:numPr>
              <w:rPr>
                <w:rFonts w:ascii="Aptos" w:hAnsi="Aptos"/>
                <w:b/>
                <w:sz w:val="22"/>
                <w:szCs w:val="22"/>
                <w:lang w:val="en-AU"/>
              </w:rPr>
            </w:pPr>
          </w:p>
        </w:tc>
        <w:tc>
          <w:tcPr>
            <w:tcW w:w="6520" w:type="dxa"/>
            <w:shd w:val="clear" w:color="auto" w:fill="auto"/>
          </w:tcPr>
          <w:p w14:paraId="6299316C" w14:textId="3C86CE6B" w:rsidR="00C70C1A" w:rsidRPr="009E18F6" w:rsidRDefault="00C70C1A" w:rsidP="005C5B0A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>Aboriginal and Torres Strait Islander Peoples</w:t>
            </w:r>
          </w:p>
        </w:tc>
        <w:tc>
          <w:tcPr>
            <w:tcW w:w="1276" w:type="dxa"/>
          </w:tcPr>
          <w:p w14:paraId="5A6B7A46" w14:textId="661EE24B" w:rsidR="00C70C1A" w:rsidRPr="009E18F6" w:rsidRDefault="008D40A9" w:rsidP="005C5B0A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>Annual</w:t>
            </w:r>
          </w:p>
        </w:tc>
      </w:tr>
      <w:tr w:rsidR="00C70C1A" w:rsidRPr="00DF5CC6" w14:paraId="73F28B7C" w14:textId="77777777" w:rsidTr="00474315">
        <w:trPr>
          <w:trHeight w:val="283"/>
        </w:trPr>
        <w:tc>
          <w:tcPr>
            <w:tcW w:w="2802" w:type="dxa"/>
            <w:vMerge/>
            <w:shd w:val="clear" w:color="auto" w:fill="E6E6E6"/>
          </w:tcPr>
          <w:p w14:paraId="6C32867A" w14:textId="77777777" w:rsidR="00C70C1A" w:rsidRPr="00DF5CC6" w:rsidRDefault="00C70C1A" w:rsidP="005C5B0A">
            <w:pPr>
              <w:pStyle w:val="ListParagraph"/>
              <w:numPr>
                <w:ilvl w:val="0"/>
                <w:numId w:val="20"/>
              </w:numPr>
              <w:rPr>
                <w:rFonts w:ascii="Aptos" w:hAnsi="Aptos"/>
                <w:b/>
                <w:sz w:val="22"/>
                <w:szCs w:val="22"/>
                <w:lang w:val="en-AU"/>
              </w:rPr>
            </w:pPr>
          </w:p>
        </w:tc>
        <w:tc>
          <w:tcPr>
            <w:tcW w:w="6520" w:type="dxa"/>
            <w:shd w:val="clear" w:color="auto" w:fill="auto"/>
          </w:tcPr>
          <w:p w14:paraId="695DFA6B" w14:textId="64784211" w:rsidR="00C70C1A" w:rsidRPr="009E18F6" w:rsidRDefault="00C70C1A" w:rsidP="005C5B0A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>Women in Leadership (SO/SES)</w:t>
            </w:r>
          </w:p>
        </w:tc>
        <w:tc>
          <w:tcPr>
            <w:tcW w:w="1276" w:type="dxa"/>
          </w:tcPr>
          <w:p w14:paraId="61E66C45" w14:textId="206ABE1F" w:rsidR="00C70C1A" w:rsidRPr="009E18F6" w:rsidRDefault="008D40A9" w:rsidP="005C5B0A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>Annual</w:t>
            </w:r>
          </w:p>
        </w:tc>
      </w:tr>
      <w:tr w:rsidR="00C70C1A" w:rsidRPr="00DF5CC6" w14:paraId="51DE5738" w14:textId="77777777" w:rsidTr="00474315">
        <w:trPr>
          <w:trHeight w:val="283"/>
        </w:trPr>
        <w:tc>
          <w:tcPr>
            <w:tcW w:w="2802" w:type="dxa"/>
            <w:vMerge w:val="restart"/>
            <w:shd w:val="clear" w:color="auto" w:fill="E6E6E6"/>
          </w:tcPr>
          <w:p w14:paraId="3430894F" w14:textId="6EBE1188" w:rsidR="00C70C1A" w:rsidRPr="00DF5CC6" w:rsidRDefault="00C70C1A" w:rsidP="005C5B0A">
            <w:pPr>
              <w:pStyle w:val="ListParagraph"/>
              <w:numPr>
                <w:ilvl w:val="0"/>
                <w:numId w:val="20"/>
              </w:numPr>
              <w:rPr>
                <w:rFonts w:ascii="Aptos" w:hAnsi="Aptos"/>
                <w:b/>
                <w:bCs/>
                <w:sz w:val="22"/>
                <w:szCs w:val="22"/>
                <w:lang w:val="en-AU"/>
              </w:rPr>
            </w:pPr>
            <w:r w:rsidRPr="00DF5CC6">
              <w:rPr>
                <w:rFonts w:ascii="Aptos" w:hAnsi="Aptos"/>
                <w:b/>
                <w:bCs/>
                <w:sz w:val="22"/>
                <w:szCs w:val="22"/>
                <w:lang w:val="en-AU"/>
              </w:rPr>
              <w:t>Learning and development opportunities</w:t>
            </w:r>
          </w:p>
        </w:tc>
        <w:tc>
          <w:tcPr>
            <w:tcW w:w="6520" w:type="dxa"/>
            <w:shd w:val="clear" w:color="auto" w:fill="auto"/>
          </w:tcPr>
          <w:p w14:paraId="45105DDC" w14:textId="1FA14DE5" w:rsidR="00C70C1A" w:rsidRPr="009E18F6" w:rsidRDefault="00C70C1A" w:rsidP="005C5B0A">
            <w:pPr>
              <w:rPr>
                <w:rFonts w:ascii="Aptos" w:hAnsi="Aptos"/>
                <w:bCs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>Percentage of staff with current employee performance plan</w:t>
            </w:r>
          </w:p>
        </w:tc>
        <w:tc>
          <w:tcPr>
            <w:tcW w:w="1276" w:type="dxa"/>
          </w:tcPr>
          <w:p w14:paraId="1FEDA9AD" w14:textId="0ADFC4B4" w:rsidR="00C70C1A" w:rsidRPr="009E18F6" w:rsidRDefault="008D40A9" w:rsidP="005C5B0A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>Annual</w:t>
            </w:r>
          </w:p>
        </w:tc>
      </w:tr>
      <w:tr w:rsidR="00C70C1A" w:rsidRPr="00DF5CC6" w14:paraId="40E257F8" w14:textId="77777777" w:rsidTr="00474315">
        <w:trPr>
          <w:trHeight w:val="283"/>
        </w:trPr>
        <w:tc>
          <w:tcPr>
            <w:tcW w:w="2802" w:type="dxa"/>
            <w:vMerge/>
            <w:shd w:val="clear" w:color="auto" w:fill="E6E6E6"/>
          </w:tcPr>
          <w:p w14:paraId="59C4F1C2" w14:textId="77777777" w:rsidR="00C70C1A" w:rsidRPr="00DF5CC6" w:rsidRDefault="00C70C1A" w:rsidP="0026294C">
            <w:pPr>
              <w:pStyle w:val="ListParagraph"/>
              <w:numPr>
                <w:ilvl w:val="0"/>
                <w:numId w:val="20"/>
              </w:numPr>
              <w:rPr>
                <w:rFonts w:ascii="Aptos" w:hAnsi="Aptos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6520" w:type="dxa"/>
            <w:shd w:val="clear" w:color="auto" w:fill="auto"/>
          </w:tcPr>
          <w:p w14:paraId="737B8753" w14:textId="54DB5496" w:rsidR="00C70C1A" w:rsidRPr="009E18F6" w:rsidRDefault="00C70C1A" w:rsidP="0026294C">
            <w:pPr>
              <w:rPr>
                <w:rFonts w:ascii="Aptos" w:hAnsi="Aptos"/>
                <w:bCs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 xml:space="preserve">Completion of mandatory courses </w:t>
            </w:r>
          </w:p>
        </w:tc>
        <w:tc>
          <w:tcPr>
            <w:tcW w:w="1276" w:type="dxa"/>
          </w:tcPr>
          <w:p w14:paraId="650371E9" w14:textId="53F4E84C" w:rsidR="00C70C1A" w:rsidRPr="009E18F6" w:rsidRDefault="008D40A9" w:rsidP="0026294C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>Annual</w:t>
            </w:r>
          </w:p>
        </w:tc>
      </w:tr>
      <w:tr w:rsidR="00C70C1A" w:rsidRPr="00DF5CC6" w14:paraId="0B17D9CE" w14:textId="77777777" w:rsidTr="00474315">
        <w:trPr>
          <w:trHeight w:val="283"/>
        </w:trPr>
        <w:tc>
          <w:tcPr>
            <w:tcW w:w="2802" w:type="dxa"/>
            <w:shd w:val="clear" w:color="auto" w:fill="E6E6E6"/>
          </w:tcPr>
          <w:p w14:paraId="4F0CD965" w14:textId="05A5E9D0" w:rsidR="00C70C1A" w:rsidRPr="00DF5CC6" w:rsidRDefault="00C70C1A" w:rsidP="0026294C">
            <w:pPr>
              <w:pStyle w:val="ListParagraph"/>
              <w:numPr>
                <w:ilvl w:val="0"/>
                <w:numId w:val="20"/>
              </w:numPr>
              <w:rPr>
                <w:rFonts w:ascii="Aptos" w:hAnsi="Aptos"/>
                <w:b/>
                <w:bCs/>
                <w:sz w:val="22"/>
                <w:szCs w:val="22"/>
                <w:lang w:val="en-AU"/>
              </w:rPr>
            </w:pPr>
            <w:r w:rsidRPr="00DF5CC6">
              <w:rPr>
                <w:rFonts w:ascii="Aptos" w:hAnsi="Aptos"/>
                <w:b/>
                <w:bCs/>
                <w:sz w:val="22"/>
                <w:szCs w:val="22"/>
                <w:lang w:val="en-AU"/>
              </w:rPr>
              <w:t>Employee satisfaction</w:t>
            </w:r>
          </w:p>
        </w:tc>
        <w:tc>
          <w:tcPr>
            <w:tcW w:w="6520" w:type="dxa"/>
            <w:shd w:val="clear" w:color="auto" w:fill="auto"/>
          </w:tcPr>
          <w:p w14:paraId="3AFCE5B0" w14:textId="3DC45DE0" w:rsidR="00C70C1A" w:rsidRPr="009E18F6" w:rsidRDefault="00C70C1A" w:rsidP="0026294C">
            <w:pPr>
              <w:rPr>
                <w:rFonts w:ascii="Aptos" w:hAnsi="Aptos"/>
                <w:bCs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bCs/>
                <w:sz w:val="22"/>
                <w:szCs w:val="22"/>
                <w:lang w:val="en-AU"/>
              </w:rPr>
              <w:t xml:space="preserve">Employee Engagement (% favourable) </w:t>
            </w:r>
            <w:r w:rsidRPr="009E18F6">
              <w:rPr>
                <w:rFonts w:ascii="Aptos" w:hAnsi="Aptos"/>
                <w:sz w:val="22"/>
                <w:szCs w:val="22"/>
                <w:lang w:val="en-AU"/>
              </w:rPr>
              <w:t>as measured in the department’s Working for Queensland Survey</w:t>
            </w:r>
          </w:p>
        </w:tc>
        <w:tc>
          <w:tcPr>
            <w:tcW w:w="1276" w:type="dxa"/>
            <w:shd w:val="clear" w:color="auto" w:fill="auto"/>
          </w:tcPr>
          <w:p w14:paraId="13045D4B" w14:textId="080CE2AD" w:rsidR="00C70C1A" w:rsidRPr="009E18F6" w:rsidRDefault="00C70C1A" w:rsidP="0026294C">
            <w:pPr>
              <w:rPr>
                <w:rFonts w:ascii="Aptos" w:hAnsi="Aptos"/>
                <w:sz w:val="22"/>
                <w:szCs w:val="22"/>
                <w:lang w:val="en-AU"/>
              </w:rPr>
            </w:pPr>
            <w:r w:rsidRPr="009E18F6">
              <w:rPr>
                <w:rFonts w:ascii="Aptos" w:hAnsi="Aptos"/>
                <w:sz w:val="22"/>
                <w:szCs w:val="22"/>
                <w:lang w:val="en-AU"/>
              </w:rPr>
              <w:t>Annual</w:t>
            </w:r>
          </w:p>
        </w:tc>
      </w:tr>
      <w:bookmarkEnd w:id="0"/>
    </w:tbl>
    <w:p w14:paraId="3ECB08DF" w14:textId="77777777" w:rsidR="00A7183E" w:rsidRDefault="00A7183E" w:rsidP="00DE13FF">
      <w:pPr>
        <w:pStyle w:val="BodyText"/>
        <w:rPr>
          <w:rFonts w:ascii="Aptos" w:hAnsi="Aptos"/>
          <w:b/>
          <w:bCs/>
          <w:color w:val="1F4E79" w:themeColor="accent5" w:themeShade="80"/>
          <w:sz w:val="28"/>
          <w:szCs w:val="28"/>
        </w:rPr>
      </w:pPr>
    </w:p>
    <w:p w14:paraId="52D75642" w14:textId="77777777" w:rsidR="00C70C1A" w:rsidRDefault="00C70C1A" w:rsidP="00DE13FF">
      <w:pPr>
        <w:pStyle w:val="BodyText"/>
        <w:rPr>
          <w:rFonts w:ascii="Aptos" w:hAnsi="Aptos"/>
          <w:b/>
          <w:bCs/>
          <w:color w:val="1F4E79" w:themeColor="accent5" w:themeShade="80"/>
          <w:sz w:val="28"/>
          <w:szCs w:val="28"/>
        </w:rPr>
      </w:pPr>
    </w:p>
    <w:sectPr w:rsidR="00C70C1A" w:rsidSect="00255B97">
      <w:footerReference w:type="default" r:id="rId12"/>
      <w:footerReference w:type="first" r:id="rId13"/>
      <w:pgSz w:w="11906" w:h="16838"/>
      <w:pgMar w:top="1134" w:right="851" w:bottom="851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1774F" w14:textId="77777777" w:rsidR="006824E3" w:rsidRDefault="006824E3" w:rsidP="00502DF7">
      <w:r>
        <w:separator/>
      </w:r>
    </w:p>
  </w:endnote>
  <w:endnote w:type="continuationSeparator" w:id="0">
    <w:p w14:paraId="4C6089BE" w14:textId="77777777" w:rsidR="006824E3" w:rsidRDefault="006824E3" w:rsidP="00502DF7">
      <w:r>
        <w:continuationSeparator/>
      </w:r>
    </w:p>
  </w:endnote>
  <w:endnote w:type="continuationNotice" w:id="1">
    <w:p w14:paraId="0D5361B9" w14:textId="77777777" w:rsidR="006824E3" w:rsidRDefault="006824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70334"/>
      <w:docPartObj>
        <w:docPartGallery w:val="Page Numbers (Bottom of Page)"/>
        <w:docPartUnique/>
      </w:docPartObj>
    </w:sdtPr>
    <w:sdtEndPr>
      <w:rPr>
        <w:rFonts w:ascii="Aptos" w:hAnsi="Aptos"/>
        <w:sz w:val="16"/>
        <w:szCs w:val="16"/>
      </w:rPr>
    </w:sdtEndPr>
    <w:sdtContent>
      <w:sdt>
        <w:sdtPr>
          <w:rPr>
            <w:rFonts w:ascii="Aptos" w:hAnsi="Aptos"/>
            <w:sz w:val="16"/>
            <w:szCs w:val="16"/>
          </w:rPr>
          <w:id w:val="-1292828931"/>
          <w:docPartObj>
            <w:docPartGallery w:val="Page Numbers (Top of Page)"/>
            <w:docPartUnique/>
          </w:docPartObj>
        </w:sdtPr>
        <w:sdtEndPr/>
        <w:sdtContent>
          <w:p w14:paraId="496AF59A" w14:textId="6920599E" w:rsidR="001A40C4" w:rsidRPr="001A40C4" w:rsidRDefault="00CA4EE4">
            <w:pPr>
              <w:pStyle w:val="Footer"/>
              <w:jc w:val="right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 xml:space="preserve">Version </w:t>
            </w:r>
            <w:r w:rsidR="009520F0">
              <w:rPr>
                <w:rFonts w:ascii="Aptos" w:hAnsi="Aptos"/>
                <w:sz w:val="16"/>
                <w:szCs w:val="16"/>
              </w:rPr>
              <w:t>2</w:t>
            </w:r>
            <w:r>
              <w:rPr>
                <w:rFonts w:ascii="Aptos" w:hAnsi="Aptos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A40C4" w:rsidRPr="001A40C4">
              <w:rPr>
                <w:rFonts w:ascii="Aptos" w:hAnsi="Aptos"/>
                <w:sz w:val="16"/>
                <w:szCs w:val="16"/>
              </w:rPr>
              <w:t xml:space="preserve">Page </w:t>
            </w:r>
            <w:r w:rsidR="001A40C4" w:rsidRPr="001A40C4">
              <w:rPr>
                <w:rFonts w:ascii="Aptos" w:hAnsi="Aptos"/>
                <w:sz w:val="16"/>
                <w:szCs w:val="16"/>
              </w:rPr>
              <w:fldChar w:fldCharType="begin"/>
            </w:r>
            <w:r w:rsidR="001A40C4" w:rsidRPr="001A40C4">
              <w:rPr>
                <w:rFonts w:ascii="Aptos" w:hAnsi="Aptos"/>
                <w:sz w:val="16"/>
                <w:szCs w:val="16"/>
              </w:rPr>
              <w:instrText xml:space="preserve"> PAGE </w:instrText>
            </w:r>
            <w:r w:rsidR="001A40C4" w:rsidRPr="001A40C4">
              <w:rPr>
                <w:rFonts w:ascii="Aptos" w:hAnsi="Aptos"/>
                <w:sz w:val="16"/>
                <w:szCs w:val="16"/>
              </w:rPr>
              <w:fldChar w:fldCharType="separate"/>
            </w:r>
            <w:r w:rsidR="001A40C4" w:rsidRPr="001A40C4">
              <w:rPr>
                <w:rFonts w:ascii="Aptos" w:hAnsi="Aptos"/>
                <w:noProof/>
                <w:sz w:val="16"/>
                <w:szCs w:val="16"/>
              </w:rPr>
              <w:t>2</w:t>
            </w:r>
            <w:r w:rsidR="001A40C4" w:rsidRPr="001A40C4">
              <w:rPr>
                <w:rFonts w:ascii="Aptos" w:hAnsi="Aptos"/>
                <w:sz w:val="16"/>
                <w:szCs w:val="16"/>
              </w:rPr>
              <w:fldChar w:fldCharType="end"/>
            </w:r>
            <w:r w:rsidR="001A40C4" w:rsidRPr="001A40C4">
              <w:rPr>
                <w:rFonts w:ascii="Aptos" w:hAnsi="Aptos"/>
                <w:sz w:val="16"/>
                <w:szCs w:val="16"/>
              </w:rPr>
              <w:t xml:space="preserve"> of </w:t>
            </w:r>
            <w:r w:rsidR="001A40C4" w:rsidRPr="001A40C4">
              <w:rPr>
                <w:rFonts w:ascii="Aptos" w:hAnsi="Aptos"/>
                <w:sz w:val="16"/>
                <w:szCs w:val="16"/>
              </w:rPr>
              <w:fldChar w:fldCharType="begin"/>
            </w:r>
            <w:r w:rsidR="001A40C4" w:rsidRPr="001A40C4">
              <w:rPr>
                <w:rFonts w:ascii="Aptos" w:hAnsi="Aptos"/>
                <w:sz w:val="16"/>
                <w:szCs w:val="16"/>
              </w:rPr>
              <w:instrText xml:space="preserve"> NUMPAGES  </w:instrText>
            </w:r>
            <w:r w:rsidR="001A40C4" w:rsidRPr="001A40C4">
              <w:rPr>
                <w:rFonts w:ascii="Aptos" w:hAnsi="Aptos"/>
                <w:sz w:val="16"/>
                <w:szCs w:val="16"/>
              </w:rPr>
              <w:fldChar w:fldCharType="separate"/>
            </w:r>
            <w:r w:rsidR="001A40C4" w:rsidRPr="001A40C4">
              <w:rPr>
                <w:rFonts w:ascii="Aptos" w:hAnsi="Aptos"/>
                <w:noProof/>
                <w:sz w:val="16"/>
                <w:szCs w:val="16"/>
              </w:rPr>
              <w:t>2</w:t>
            </w:r>
            <w:r w:rsidR="001A40C4" w:rsidRPr="001A40C4">
              <w:rPr>
                <w:rFonts w:ascii="Aptos" w:hAnsi="Aptos"/>
                <w:sz w:val="16"/>
                <w:szCs w:val="16"/>
              </w:rPr>
              <w:fldChar w:fldCharType="end"/>
            </w:r>
          </w:p>
        </w:sdtContent>
      </w:sdt>
    </w:sdtContent>
  </w:sdt>
  <w:p w14:paraId="5B11EF68" w14:textId="77777777" w:rsidR="00D3120A" w:rsidRDefault="00D312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6"/>
        <w:szCs w:val="16"/>
      </w:rPr>
      <w:id w:val="609706549"/>
      <w:docPartObj>
        <w:docPartGallery w:val="Page Numbers (Bottom of Page)"/>
        <w:docPartUnique/>
      </w:docPartObj>
    </w:sdtPr>
    <w:sdtEndPr/>
    <w:sdtContent>
      <w:sdt>
        <w:sdtPr>
          <w:rPr>
            <w:rFonts w:ascii="Aptos" w:hAnsi="Aptos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43DB47" w14:textId="674981C4" w:rsidR="001A40C4" w:rsidRPr="001A40C4" w:rsidRDefault="00A57A87">
            <w:pPr>
              <w:pStyle w:val="Footer"/>
              <w:jc w:val="right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 xml:space="preserve">Version </w:t>
            </w:r>
            <w:r w:rsidR="009520F0">
              <w:rPr>
                <w:rFonts w:ascii="Aptos" w:hAnsi="Aptos"/>
                <w:sz w:val="16"/>
                <w:szCs w:val="16"/>
              </w:rPr>
              <w:t>2</w:t>
            </w:r>
            <w:r>
              <w:rPr>
                <w:rFonts w:ascii="Aptos" w:hAnsi="Aptos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A40C4" w:rsidRPr="001A40C4">
              <w:rPr>
                <w:rFonts w:ascii="Aptos" w:hAnsi="Aptos"/>
                <w:sz w:val="16"/>
                <w:szCs w:val="16"/>
              </w:rPr>
              <w:t xml:space="preserve">Page </w:t>
            </w:r>
            <w:r w:rsidR="001A40C4" w:rsidRPr="001A40C4">
              <w:rPr>
                <w:rFonts w:ascii="Aptos" w:hAnsi="Aptos"/>
                <w:sz w:val="16"/>
                <w:szCs w:val="16"/>
              </w:rPr>
              <w:fldChar w:fldCharType="begin"/>
            </w:r>
            <w:r w:rsidR="001A40C4" w:rsidRPr="001A40C4">
              <w:rPr>
                <w:rFonts w:ascii="Aptos" w:hAnsi="Aptos"/>
                <w:sz w:val="16"/>
                <w:szCs w:val="16"/>
              </w:rPr>
              <w:instrText xml:space="preserve"> PAGE </w:instrText>
            </w:r>
            <w:r w:rsidR="001A40C4" w:rsidRPr="001A40C4">
              <w:rPr>
                <w:rFonts w:ascii="Aptos" w:hAnsi="Aptos"/>
                <w:sz w:val="16"/>
                <w:szCs w:val="16"/>
              </w:rPr>
              <w:fldChar w:fldCharType="separate"/>
            </w:r>
            <w:r w:rsidR="001A40C4" w:rsidRPr="001A40C4">
              <w:rPr>
                <w:rFonts w:ascii="Aptos" w:hAnsi="Aptos"/>
                <w:noProof/>
                <w:sz w:val="16"/>
                <w:szCs w:val="16"/>
              </w:rPr>
              <w:t>2</w:t>
            </w:r>
            <w:r w:rsidR="001A40C4" w:rsidRPr="001A40C4">
              <w:rPr>
                <w:rFonts w:ascii="Aptos" w:hAnsi="Aptos"/>
                <w:sz w:val="16"/>
                <w:szCs w:val="16"/>
              </w:rPr>
              <w:fldChar w:fldCharType="end"/>
            </w:r>
            <w:r w:rsidR="001A40C4" w:rsidRPr="001A40C4">
              <w:rPr>
                <w:rFonts w:ascii="Aptos" w:hAnsi="Aptos"/>
                <w:sz w:val="16"/>
                <w:szCs w:val="16"/>
              </w:rPr>
              <w:t xml:space="preserve"> of </w:t>
            </w:r>
            <w:r w:rsidR="001A40C4" w:rsidRPr="001A40C4">
              <w:rPr>
                <w:rFonts w:ascii="Aptos" w:hAnsi="Aptos"/>
                <w:sz w:val="16"/>
                <w:szCs w:val="16"/>
              </w:rPr>
              <w:fldChar w:fldCharType="begin"/>
            </w:r>
            <w:r w:rsidR="001A40C4" w:rsidRPr="001A40C4">
              <w:rPr>
                <w:rFonts w:ascii="Aptos" w:hAnsi="Aptos"/>
                <w:sz w:val="16"/>
                <w:szCs w:val="16"/>
              </w:rPr>
              <w:instrText xml:space="preserve"> NUMPAGES  </w:instrText>
            </w:r>
            <w:r w:rsidR="001A40C4" w:rsidRPr="001A40C4">
              <w:rPr>
                <w:rFonts w:ascii="Aptos" w:hAnsi="Aptos"/>
                <w:sz w:val="16"/>
                <w:szCs w:val="16"/>
              </w:rPr>
              <w:fldChar w:fldCharType="separate"/>
            </w:r>
            <w:r w:rsidR="001A40C4" w:rsidRPr="001A40C4">
              <w:rPr>
                <w:rFonts w:ascii="Aptos" w:hAnsi="Aptos"/>
                <w:noProof/>
                <w:sz w:val="16"/>
                <w:szCs w:val="16"/>
              </w:rPr>
              <w:t>2</w:t>
            </w:r>
            <w:r w:rsidR="001A40C4" w:rsidRPr="001A40C4">
              <w:rPr>
                <w:rFonts w:ascii="Aptos" w:hAnsi="Aptos"/>
                <w:sz w:val="16"/>
                <w:szCs w:val="16"/>
              </w:rPr>
              <w:fldChar w:fldCharType="end"/>
            </w:r>
          </w:p>
        </w:sdtContent>
      </w:sdt>
    </w:sdtContent>
  </w:sdt>
  <w:p w14:paraId="40D30D62" w14:textId="77777777" w:rsidR="00D3120A" w:rsidRDefault="00D312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833F8" w14:textId="77777777" w:rsidR="006824E3" w:rsidRDefault="006824E3" w:rsidP="00502DF7">
      <w:r>
        <w:separator/>
      </w:r>
    </w:p>
  </w:footnote>
  <w:footnote w:type="continuationSeparator" w:id="0">
    <w:p w14:paraId="64672C63" w14:textId="77777777" w:rsidR="006824E3" w:rsidRDefault="006824E3" w:rsidP="00502DF7">
      <w:r>
        <w:continuationSeparator/>
      </w:r>
    </w:p>
  </w:footnote>
  <w:footnote w:type="continuationNotice" w:id="1">
    <w:p w14:paraId="6846C640" w14:textId="77777777" w:rsidR="006824E3" w:rsidRDefault="006824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6D206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CC4E82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92E65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256DF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C8884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E73EFC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7957AB"/>
    <w:multiLevelType w:val="hybridMultilevel"/>
    <w:tmpl w:val="0CFA44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3F5E49"/>
    <w:multiLevelType w:val="hybridMultilevel"/>
    <w:tmpl w:val="A8C2A9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D90D8F"/>
    <w:multiLevelType w:val="hybridMultilevel"/>
    <w:tmpl w:val="992EE0E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0CBD4F0A"/>
    <w:multiLevelType w:val="hybridMultilevel"/>
    <w:tmpl w:val="E822F698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1AFC6F45"/>
    <w:multiLevelType w:val="hybridMultilevel"/>
    <w:tmpl w:val="F7BEC120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92239F"/>
    <w:multiLevelType w:val="hybridMultilevel"/>
    <w:tmpl w:val="2ECCD4C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FD56DBF"/>
    <w:multiLevelType w:val="hybridMultilevel"/>
    <w:tmpl w:val="1E366B5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17367A5"/>
    <w:multiLevelType w:val="hybridMultilevel"/>
    <w:tmpl w:val="D960EAD6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6135B5D"/>
    <w:multiLevelType w:val="multilevel"/>
    <w:tmpl w:val="E9D6675A"/>
    <w:name w:val="Number List"/>
    <w:lvl w:ilvl="0">
      <w:start w:val="1"/>
      <w:numFmt w:val="decimal"/>
      <w:lvlRestart w:val="0"/>
      <w:pStyle w:val="ListNumber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ListNumber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ListNumber3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15" w15:restartNumberingAfterBreak="0">
    <w:nsid w:val="2BAC2D5F"/>
    <w:multiLevelType w:val="multilevel"/>
    <w:tmpl w:val="3452B96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1C04993"/>
    <w:multiLevelType w:val="hybridMultilevel"/>
    <w:tmpl w:val="9B42A7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046F6C"/>
    <w:multiLevelType w:val="hybridMultilevel"/>
    <w:tmpl w:val="8356F8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A059C1"/>
    <w:multiLevelType w:val="hybridMultilevel"/>
    <w:tmpl w:val="1128A664"/>
    <w:lvl w:ilvl="0" w:tplc="C9A2C3A4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C22BEB"/>
    <w:multiLevelType w:val="multilevel"/>
    <w:tmpl w:val="3452B96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B9A3C93"/>
    <w:multiLevelType w:val="hybridMultilevel"/>
    <w:tmpl w:val="11706E92"/>
    <w:lvl w:ilvl="0" w:tplc="8BACE00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A13E45"/>
    <w:multiLevelType w:val="hybridMultilevel"/>
    <w:tmpl w:val="3814D7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70AD1"/>
    <w:multiLevelType w:val="multilevel"/>
    <w:tmpl w:val="E3F609F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FF33B73"/>
    <w:multiLevelType w:val="hybridMultilevel"/>
    <w:tmpl w:val="B022AC68"/>
    <w:lvl w:ilvl="0" w:tplc="26B65C5C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0F380A"/>
    <w:multiLevelType w:val="multilevel"/>
    <w:tmpl w:val="36E20596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1566564"/>
    <w:multiLevelType w:val="multilevel"/>
    <w:tmpl w:val="3452B96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7D656DF"/>
    <w:multiLevelType w:val="multilevel"/>
    <w:tmpl w:val="5806411A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A2A1904"/>
    <w:multiLevelType w:val="hybridMultilevel"/>
    <w:tmpl w:val="C4569F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821057"/>
    <w:multiLevelType w:val="hybridMultilevel"/>
    <w:tmpl w:val="1A2418C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CDA3C9B"/>
    <w:multiLevelType w:val="singleLevel"/>
    <w:tmpl w:val="C9CC4452"/>
    <w:name w:val="Bullet List 3"/>
    <w:lvl w:ilvl="0">
      <w:start w:val="1"/>
      <w:numFmt w:val="bullet"/>
      <w:lvlRestart w:val="0"/>
      <w:pStyle w:val="ListBullet3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</w:abstractNum>
  <w:abstractNum w:abstractNumId="30" w15:restartNumberingAfterBreak="0">
    <w:nsid w:val="6D1926E1"/>
    <w:multiLevelType w:val="hybridMultilevel"/>
    <w:tmpl w:val="661C95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5601D9"/>
    <w:multiLevelType w:val="singleLevel"/>
    <w:tmpl w:val="5E22B866"/>
    <w:name w:val="Bullet List 2"/>
    <w:lvl w:ilvl="0">
      <w:start w:val="1"/>
      <w:numFmt w:val="bullet"/>
      <w:lvlRestart w:val="0"/>
      <w:pStyle w:val="ListBullet2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</w:abstractNum>
  <w:abstractNum w:abstractNumId="32" w15:restartNumberingAfterBreak="0">
    <w:nsid w:val="73211652"/>
    <w:multiLevelType w:val="hybridMultilevel"/>
    <w:tmpl w:val="1B76D9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177482"/>
    <w:multiLevelType w:val="multilevel"/>
    <w:tmpl w:val="3452B96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6EE5B84"/>
    <w:multiLevelType w:val="hybridMultilevel"/>
    <w:tmpl w:val="F3803E2E"/>
    <w:lvl w:ilvl="0" w:tplc="603EB108">
      <w:numFmt w:val="bullet"/>
      <w:lvlText w:val="-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FB329F"/>
    <w:multiLevelType w:val="singleLevel"/>
    <w:tmpl w:val="56B6F3C4"/>
    <w:name w:val="Bullet List 1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 w16cid:durableId="957642198">
    <w:abstractNumId w:val="4"/>
  </w:num>
  <w:num w:numId="2" w16cid:durableId="1670719804">
    <w:abstractNumId w:val="14"/>
  </w:num>
  <w:num w:numId="3" w16cid:durableId="1094939600">
    <w:abstractNumId w:val="1"/>
  </w:num>
  <w:num w:numId="4" w16cid:durableId="738939816">
    <w:abstractNumId w:val="0"/>
  </w:num>
  <w:num w:numId="5" w16cid:durableId="876504079">
    <w:abstractNumId w:val="5"/>
  </w:num>
  <w:num w:numId="6" w16cid:durableId="1353219579">
    <w:abstractNumId w:val="35"/>
  </w:num>
  <w:num w:numId="7" w16cid:durableId="390539805">
    <w:abstractNumId w:val="3"/>
  </w:num>
  <w:num w:numId="8" w16cid:durableId="635374543">
    <w:abstractNumId w:val="31"/>
  </w:num>
  <w:num w:numId="9" w16cid:durableId="785077941">
    <w:abstractNumId w:val="2"/>
  </w:num>
  <w:num w:numId="10" w16cid:durableId="1516578240">
    <w:abstractNumId w:val="29"/>
  </w:num>
  <w:num w:numId="11" w16cid:durableId="1773085332">
    <w:abstractNumId w:val="20"/>
  </w:num>
  <w:num w:numId="12" w16cid:durableId="692654872">
    <w:abstractNumId w:val="18"/>
  </w:num>
  <w:num w:numId="13" w16cid:durableId="1804082763">
    <w:abstractNumId w:val="22"/>
  </w:num>
  <w:num w:numId="14" w16cid:durableId="1166702920">
    <w:abstractNumId w:val="10"/>
  </w:num>
  <w:num w:numId="15" w16cid:durableId="2075470958">
    <w:abstractNumId w:val="26"/>
  </w:num>
  <w:num w:numId="16" w16cid:durableId="1432582060">
    <w:abstractNumId w:val="15"/>
  </w:num>
  <w:num w:numId="17" w16cid:durableId="640041333">
    <w:abstractNumId w:val="24"/>
  </w:num>
  <w:num w:numId="18" w16cid:durableId="280915337">
    <w:abstractNumId w:val="19"/>
  </w:num>
  <w:num w:numId="19" w16cid:durableId="2137797546">
    <w:abstractNumId w:val="25"/>
  </w:num>
  <w:num w:numId="20" w16cid:durableId="8147930">
    <w:abstractNumId w:val="33"/>
  </w:num>
  <w:num w:numId="21" w16cid:durableId="1486707050">
    <w:abstractNumId w:val="23"/>
  </w:num>
  <w:num w:numId="22" w16cid:durableId="1152410691">
    <w:abstractNumId w:val="17"/>
  </w:num>
  <w:num w:numId="23" w16cid:durableId="1753895975">
    <w:abstractNumId w:val="12"/>
  </w:num>
  <w:num w:numId="24" w16cid:durableId="152525242">
    <w:abstractNumId w:val="8"/>
  </w:num>
  <w:num w:numId="25" w16cid:durableId="1539274722">
    <w:abstractNumId w:val="28"/>
  </w:num>
  <w:num w:numId="26" w16cid:durableId="416950761">
    <w:abstractNumId w:val="7"/>
  </w:num>
  <w:num w:numId="27" w16cid:durableId="1787893350">
    <w:abstractNumId w:val="32"/>
  </w:num>
  <w:num w:numId="28" w16cid:durableId="723405611">
    <w:abstractNumId w:val="6"/>
  </w:num>
  <w:num w:numId="29" w16cid:durableId="1371146230">
    <w:abstractNumId w:val="11"/>
  </w:num>
  <w:num w:numId="30" w16cid:durableId="1305432848">
    <w:abstractNumId w:val="21"/>
  </w:num>
  <w:num w:numId="31" w16cid:durableId="454249335">
    <w:abstractNumId w:val="27"/>
  </w:num>
  <w:num w:numId="32" w16cid:durableId="2042783926">
    <w:abstractNumId w:val="30"/>
  </w:num>
  <w:num w:numId="33" w16cid:durableId="1348675600">
    <w:abstractNumId w:val="16"/>
  </w:num>
  <w:num w:numId="34" w16cid:durableId="1968729996">
    <w:abstractNumId w:val="13"/>
  </w:num>
  <w:num w:numId="35" w16cid:durableId="967785649">
    <w:abstractNumId w:val="9"/>
  </w:num>
  <w:num w:numId="36" w16cid:durableId="115942421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DF7"/>
    <w:rsid w:val="00000EDD"/>
    <w:rsid w:val="000305B6"/>
    <w:rsid w:val="00042DB4"/>
    <w:rsid w:val="000536A5"/>
    <w:rsid w:val="00064CF9"/>
    <w:rsid w:val="0006629B"/>
    <w:rsid w:val="00081019"/>
    <w:rsid w:val="000A44AF"/>
    <w:rsid w:val="000B2146"/>
    <w:rsid w:val="000B6FB7"/>
    <w:rsid w:val="000C3D81"/>
    <w:rsid w:val="000C6890"/>
    <w:rsid w:val="000C76E4"/>
    <w:rsid w:val="000D64B0"/>
    <w:rsid w:val="000D78C7"/>
    <w:rsid w:val="000E64D4"/>
    <w:rsid w:val="000F7F84"/>
    <w:rsid w:val="00111CE1"/>
    <w:rsid w:val="001138C1"/>
    <w:rsid w:val="00113C0E"/>
    <w:rsid w:val="00120B3B"/>
    <w:rsid w:val="00127D80"/>
    <w:rsid w:val="00131CA7"/>
    <w:rsid w:val="00131DC6"/>
    <w:rsid w:val="00133E93"/>
    <w:rsid w:val="00137B05"/>
    <w:rsid w:val="00140F8E"/>
    <w:rsid w:val="00153F6B"/>
    <w:rsid w:val="0018122B"/>
    <w:rsid w:val="00190BEA"/>
    <w:rsid w:val="00195253"/>
    <w:rsid w:val="00196ECB"/>
    <w:rsid w:val="001A0176"/>
    <w:rsid w:val="001A0F4F"/>
    <w:rsid w:val="001A40C4"/>
    <w:rsid w:val="001A6911"/>
    <w:rsid w:val="001A7C04"/>
    <w:rsid w:val="001B1F08"/>
    <w:rsid w:val="001B3684"/>
    <w:rsid w:val="001B41F6"/>
    <w:rsid w:val="001C282C"/>
    <w:rsid w:val="001D3C4A"/>
    <w:rsid w:val="001D5B3C"/>
    <w:rsid w:val="001E61F1"/>
    <w:rsid w:val="001F117C"/>
    <w:rsid w:val="001F1FA1"/>
    <w:rsid w:val="001F2BC2"/>
    <w:rsid w:val="0020401D"/>
    <w:rsid w:val="0020619D"/>
    <w:rsid w:val="0021119A"/>
    <w:rsid w:val="00212218"/>
    <w:rsid w:val="00222C99"/>
    <w:rsid w:val="0022518C"/>
    <w:rsid w:val="00237D46"/>
    <w:rsid w:val="00244165"/>
    <w:rsid w:val="002507C8"/>
    <w:rsid w:val="00255B97"/>
    <w:rsid w:val="0026212B"/>
    <w:rsid w:val="002623DD"/>
    <w:rsid w:val="0026294C"/>
    <w:rsid w:val="002850CB"/>
    <w:rsid w:val="002873A3"/>
    <w:rsid w:val="00295083"/>
    <w:rsid w:val="0029602E"/>
    <w:rsid w:val="00296642"/>
    <w:rsid w:val="002A3844"/>
    <w:rsid w:val="002A63F9"/>
    <w:rsid w:val="002C1DE2"/>
    <w:rsid w:val="002C5E29"/>
    <w:rsid w:val="002D20D4"/>
    <w:rsid w:val="002D5D38"/>
    <w:rsid w:val="002E51CD"/>
    <w:rsid w:val="002F477F"/>
    <w:rsid w:val="002F6D5E"/>
    <w:rsid w:val="00304C64"/>
    <w:rsid w:val="00306ECC"/>
    <w:rsid w:val="00307FAA"/>
    <w:rsid w:val="003105C7"/>
    <w:rsid w:val="003111CA"/>
    <w:rsid w:val="003116F5"/>
    <w:rsid w:val="00311C25"/>
    <w:rsid w:val="00311CC9"/>
    <w:rsid w:val="003617E8"/>
    <w:rsid w:val="00375723"/>
    <w:rsid w:val="00375F0F"/>
    <w:rsid w:val="00383E4A"/>
    <w:rsid w:val="00386154"/>
    <w:rsid w:val="003932E3"/>
    <w:rsid w:val="003A3608"/>
    <w:rsid w:val="003B2F6F"/>
    <w:rsid w:val="003D2C15"/>
    <w:rsid w:val="003E73CD"/>
    <w:rsid w:val="003F4CCF"/>
    <w:rsid w:val="00400F9A"/>
    <w:rsid w:val="00401ED3"/>
    <w:rsid w:val="00405B2E"/>
    <w:rsid w:val="004074DC"/>
    <w:rsid w:val="00410B6E"/>
    <w:rsid w:val="004119D7"/>
    <w:rsid w:val="00411E1F"/>
    <w:rsid w:val="00413342"/>
    <w:rsid w:val="00424F10"/>
    <w:rsid w:val="0043790B"/>
    <w:rsid w:val="00442263"/>
    <w:rsid w:val="00452953"/>
    <w:rsid w:val="00460418"/>
    <w:rsid w:val="0046396E"/>
    <w:rsid w:val="00472716"/>
    <w:rsid w:val="00474315"/>
    <w:rsid w:val="00490CDA"/>
    <w:rsid w:val="00496DC2"/>
    <w:rsid w:val="004970CD"/>
    <w:rsid w:val="004A3451"/>
    <w:rsid w:val="004B5DC1"/>
    <w:rsid w:val="004B66C2"/>
    <w:rsid w:val="004D1465"/>
    <w:rsid w:val="004D1812"/>
    <w:rsid w:val="004D2105"/>
    <w:rsid w:val="004D2F37"/>
    <w:rsid w:val="004E4FAB"/>
    <w:rsid w:val="004F6A31"/>
    <w:rsid w:val="004F7E27"/>
    <w:rsid w:val="00501699"/>
    <w:rsid w:val="00502DF7"/>
    <w:rsid w:val="00503DCA"/>
    <w:rsid w:val="005040E8"/>
    <w:rsid w:val="00510688"/>
    <w:rsid w:val="00532525"/>
    <w:rsid w:val="00534C44"/>
    <w:rsid w:val="005407A8"/>
    <w:rsid w:val="00544AE5"/>
    <w:rsid w:val="00546098"/>
    <w:rsid w:val="005626A6"/>
    <w:rsid w:val="00567728"/>
    <w:rsid w:val="00570528"/>
    <w:rsid w:val="0059285D"/>
    <w:rsid w:val="00597E92"/>
    <w:rsid w:val="005A3EC4"/>
    <w:rsid w:val="005A5C01"/>
    <w:rsid w:val="005C269A"/>
    <w:rsid w:val="005C5B0A"/>
    <w:rsid w:val="005D2CEB"/>
    <w:rsid w:val="005D3AA4"/>
    <w:rsid w:val="005D4DDB"/>
    <w:rsid w:val="005D5354"/>
    <w:rsid w:val="005E4EBB"/>
    <w:rsid w:val="005F6094"/>
    <w:rsid w:val="006005DC"/>
    <w:rsid w:val="00603D48"/>
    <w:rsid w:val="00622D63"/>
    <w:rsid w:val="00623964"/>
    <w:rsid w:val="006313C1"/>
    <w:rsid w:val="00644413"/>
    <w:rsid w:val="0065167B"/>
    <w:rsid w:val="00653CF4"/>
    <w:rsid w:val="00656716"/>
    <w:rsid w:val="00681894"/>
    <w:rsid w:val="006824E3"/>
    <w:rsid w:val="00682E2E"/>
    <w:rsid w:val="00682E76"/>
    <w:rsid w:val="006874F1"/>
    <w:rsid w:val="006877FF"/>
    <w:rsid w:val="006917F6"/>
    <w:rsid w:val="006A5736"/>
    <w:rsid w:val="006C36D2"/>
    <w:rsid w:val="006C5C5E"/>
    <w:rsid w:val="006D138C"/>
    <w:rsid w:val="006D244B"/>
    <w:rsid w:val="006D6CD5"/>
    <w:rsid w:val="006D7987"/>
    <w:rsid w:val="006E1E04"/>
    <w:rsid w:val="006F2280"/>
    <w:rsid w:val="006F75EA"/>
    <w:rsid w:val="0070364A"/>
    <w:rsid w:val="00705AD2"/>
    <w:rsid w:val="00707271"/>
    <w:rsid w:val="00711C08"/>
    <w:rsid w:val="00715B0F"/>
    <w:rsid w:val="007237ED"/>
    <w:rsid w:val="00725C13"/>
    <w:rsid w:val="0072728C"/>
    <w:rsid w:val="00734559"/>
    <w:rsid w:val="007346E5"/>
    <w:rsid w:val="00744E4E"/>
    <w:rsid w:val="00746855"/>
    <w:rsid w:val="007650A1"/>
    <w:rsid w:val="007677B0"/>
    <w:rsid w:val="00780D06"/>
    <w:rsid w:val="007812FA"/>
    <w:rsid w:val="00787B49"/>
    <w:rsid w:val="007B175D"/>
    <w:rsid w:val="007B7870"/>
    <w:rsid w:val="007C5ABD"/>
    <w:rsid w:val="007E4FF9"/>
    <w:rsid w:val="007F2702"/>
    <w:rsid w:val="007F2886"/>
    <w:rsid w:val="007F2D8B"/>
    <w:rsid w:val="007F3ED1"/>
    <w:rsid w:val="007F4763"/>
    <w:rsid w:val="0080160B"/>
    <w:rsid w:val="008165BB"/>
    <w:rsid w:val="00827AC1"/>
    <w:rsid w:val="00835255"/>
    <w:rsid w:val="00841B2A"/>
    <w:rsid w:val="0085564A"/>
    <w:rsid w:val="00874A28"/>
    <w:rsid w:val="0087709A"/>
    <w:rsid w:val="008800AC"/>
    <w:rsid w:val="008858F0"/>
    <w:rsid w:val="00887CD0"/>
    <w:rsid w:val="00895096"/>
    <w:rsid w:val="00896075"/>
    <w:rsid w:val="00897869"/>
    <w:rsid w:val="008A58F2"/>
    <w:rsid w:val="008B4382"/>
    <w:rsid w:val="008C5192"/>
    <w:rsid w:val="008D0E79"/>
    <w:rsid w:val="008D2B17"/>
    <w:rsid w:val="008D40A9"/>
    <w:rsid w:val="008D42FA"/>
    <w:rsid w:val="008D44A4"/>
    <w:rsid w:val="008D6AB7"/>
    <w:rsid w:val="008F5021"/>
    <w:rsid w:val="00911E89"/>
    <w:rsid w:val="009161D5"/>
    <w:rsid w:val="00920FB1"/>
    <w:rsid w:val="00922B29"/>
    <w:rsid w:val="00933069"/>
    <w:rsid w:val="0094783C"/>
    <w:rsid w:val="009520F0"/>
    <w:rsid w:val="009544B4"/>
    <w:rsid w:val="00960912"/>
    <w:rsid w:val="00960B0F"/>
    <w:rsid w:val="00977EB3"/>
    <w:rsid w:val="00983EEE"/>
    <w:rsid w:val="00984AE7"/>
    <w:rsid w:val="009858B8"/>
    <w:rsid w:val="00990083"/>
    <w:rsid w:val="0099182A"/>
    <w:rsid w:val="009929B1"/>
    <w:rsid w:val="009A44E7"/>
    <w:rsid w:val="009C069E"/>
    <w:rsid w:val="009C6025"/>
    <w:rsid w:val="009D4719"/>
    <w:rsid w:val="009D6E4D"/>
    <w:rsid w:val="009D785A"/>
    <w:rsid w:val="009E009B"/>
    <w:rsid w:val="009E18F6"/>
    <w:rsid w:val="009E3834"/>
    <w:rsid w:val="00A038AD"/>
    <w:rsid w:val="00A06BA2"/>
    <w:rsid w:val="00A13992"/>
    <w:rsid w:val="00A30DE7"/>
    <w:rsid w:val="00A35AEC"/>
    <w:rsid w:val="00A41BC7"/>
    <w:rsid w:val="00A46A8F"/>
    <w:rsid w:val="00A5062A"/>
    <w:rsid w:val="00A57A87"/>
    <w:rsid w:val="00A60A05"/>
    <w:rsid w:val="00A6590C"/>
    <w:rsid w:val="00A70ED1"/>
    <w:rsid w:val="00A7183E"/>
    <w:rsid w:val="00A73E38"/>
    <w:rsid w:val="00A875A3"/>
    <w:rsid w:val="00A967C4"/>
    <w:rsid w:val="00AA1CB1"/>
    <w:rsid w:val="00AA2B14"/>
    <w:rsid w:val="00AA3575"/>
    <w:rsid w:val="00AB4678"/>
    <w:rsid w:val="00AC43E5"/>
    <w:rsid w:val="00AC4AAD"/>
    <w:rsid w:val="00AC752A"/>
    <w:rsid w:val="00AF3DFA"/>
    <w:rsid w:val="00AF3F1A"/>
    <w:rsid w:val="00AF42AE"/>
    <w:rsid w:val="00B016E6"/>
    <w:rsid w:val="00B01F5F"/>
    <w:rsid w:val="00B02EB1"/>
    <w:rsid w:val="00B130B2"/>
    <w:rsid w:val="00B17FA8"/>
    <w:rsid w:val="00B36431"/>
    <w:rsid w:val="00B548C9"/>
    <w:rsid w:val="00B55A2E"/>
    <w:rsid w:val="00B712CF"/>
    <w:rsid w:val="00B771C4"/>
    <w:rsid w:val="00B8461D"/>
    <w:rsid w:val="00B8708A"/>
    <w:rsid w:val="00B94916"/>
    <w:rsid w:val="00BA0670"/>
    <w:rsid w:val="00BC57B5"/>
    <w:rsid w:val="00BC67F3"/>
    <w:rsid w:val="00BD25AE"/>
    <w:rsid w:val="00BD6A88"/>
    <w:rsid w:val="00BE5C2D"/>
    <w:rsid w:val="00BF03DF"/>
    <w:rsid w:val="00BF74D5"/>
    <w:rsid w:val="00C01D4D"/>
    <w:rsid w:val="00C04C9C"/>
    <w:rsid w:val="00C12E9D"/>
    <w:rsid w:val="00C302EC"/>
    <w:rsid w:val="00C33273"/>
    <w:rsid w:val="00C40162"/>
    <w:rsid w:val="00C47519"/>
    <w:rsid w:val="00C5033A"/>
    <w:rsid w:val="00C5067C"/>
    <w:rsid w:val="00C669EC"/>
    <w:rsid w:val="00C70C1A"/>
    <w:rsid w:val="00C70D7E"/>
    <w:rsid w:val="00C7119A"/>
    <w:rsid w:val="00C71FC3"/>
    <w:rsid w:val="00C73715"/>
    <w:rsid w:val="00C870B9"/>
    <w:rsid w:val="00C976F1"/>
    <w:rsid w:val="00CA4B58"/>
    <w:rsid w:val="00CA4EE4"/>
    <w:rsid w:val="00CA67E0"/>
    <w:rsid w:val="00CC1BE6"/>
    <w:rsid w:val="00CC7402"/>
    <w:rsid w:val="00CC758E"/>
    <w:rsid w:val="00CD0779"/>
    <w:rsid w:val="00CD3D1A"/>
    <w:rsid w:val="00CE402E"/>
    <w:rsid w:val="00CF2F3B"/>
    <w:rsid w:val="00D05FEF"/>
    <w:rsid w:val="00D159D8"/>
    <w:rsid w:val="00D15D46"/>
    <w:rsid w:val="00D2748A"/>
    <w:rsid w:val="00D3120A"/>
    <w:rsid w:val="00D35B67"/>
    <w:rsid w:val="00D41A9F"/>
    <w:rsid w:val="00D50393"/>
    <w:rsid w:val="00D54092"/>
    <w:rsid w:val="00D5507F"/>
    <w:rsid w:val="00D7455A"/>
    <w:rsid w:val="00D777C3"/>
    <w:rsid w:val="00D85B5B"/>
    <w:rsid w:val="00D85F6B"/>
    <w:rsid w:val="00D85F80"/>
    <w:rsid w:val="00D87C63"/>
    <w:rsid w:val="00DA4461"/>
    <w:rsid w:val="00DA4E71"/>
    <w:rsid w:val="00DA64CA"/>
    <w:rsid w:val="00DC5611"/>
    <w:rsid w:val="00DC73E2"/>
    <w:rsid w:val="00DD1DB7"/>
    <w:rsid w:val="00DE0A32"/>
    <w:rsid w:val="00DE13FF"/>
    <w:rsid w:val="00DE6BBA"/>
    <w:rsid w:val="00DF0922"/>
    <w:rsid w:val="00DF5CC6"/>
    <w:rsid w:val="00DF6F81"/>
    <w:rsid w:val="00E0033D"/>
    <w:rsid w:val="00E02244"/>
    <w:rsid w:val="00E03F68"/>
    <w:rsid w:val="00E05832"/>
    <w:rsid w:val="00E25CDC"/>
    <w:rsid w:val="00E3150B"/>
    <w:rsid w:val="00E34E22"/>
    <w:rsid w:val="00E34FB6"/>
    <w:rsid w:val="00E35099"/>
    <w:rsid w:val="00E50B98"/>
    <w:rsid w:val="00E61345"/>
    <w:rsid w:val="00E6511E"/>
    <w:rsid w:val="00E7002B"/>
    <w:rsid w:val="00E71439"/>
    <w:rsid w:val="00E77F41"/>
    <w:rsid w:val="00E8245B"/>
    <w:rsid w:val="00E9669E"/>
    <w:rsid w:val="00E970D4"/>
    <w:rsid w:val="00EA5205"/>
    <w:rsid w:val="00EB4365"/>
    <w:rsid w:val="00EC5630"/>
    <w:rsid w:val="00EC59CF"/>
    <w:rsid w:val="00ED3D60"/>
    <w:rsid w:val="00ED6FDA"/>
    <w:rsid w:val="00EE7070"/>
    <w:rsid w:val="00EF1264"/>
    <w:rsid w:val="00F00F39"/>
    <w:rsid w:val="00F20DDC"/>
    <w:rsid w:val="00F23481"/>
    <w:rsid w:val="00F23A3B"/>
    <w:rsid w:val="00F3559C"/>
    <w:rsid w:val="00F55F07"/>
    <w:rsid w:val="00F84AE3"/>
    <w:rsid w:val="00F91551"/>
    <w:rsid w:val="00F9261C"/>
    <w:rsid w:val="00FA1300"/>
    <w:rsid w:val="00FA42CA"/>
    <w:rsid w:val="00FA5245"/>
    <w:rsid w:val="00FB1BF0"/>
    <w:rsid w:val="00FC3AD8"/>
    <w:rsid w:val="00FC3CE8"/>
    <w:rsid w:val="00FC4CBF"/>
    <w:rsid w:val="00FD66E1"/>
    <w:rsid w:val="00FF0FA2"/>
    <w:rsid w:val="00FF7858"/>
    <w:rsid w:val="33878F9B"/>
    <w:rsid w:val="66BAB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66D7B"/>
  <w15:chartTrackingRefBased/>
  <w15:docId w15:val="{22F83B7E-ABE4-4583-9F94-74A7CEE48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146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BodyText"/>
    <w:link w:val="Heading1Char"/>
    <w:qFormat/>
    <w:rsid w:val="00DE13FF"/>
    <w:pPr>
      <w:keepNext/>
      <w:keepLines/>
      <w:widowControl w:val="0"/>
      <w:spacing w:before="480" w:after="240"/>
      <w:outlineLvl w:val="0"/>
    </w:pPr>
    <w:rPr>
      <w:rFonts w:asciiTheme="majorHAnsi" w:eastAsia="Times New Roman" w:hAnsiTheme="majorHAnsi"/>
      <w:b/>
      <w:bCs/>
      <w:color w:val="4472C4" w:themeColor="accent1"/>
      <w:kern w:val="32"/>
      <w:sz w:val="40"/>
      <w:szCs w:val="3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qFormat/>
    <w:rsid w:val="000B2146"/>
    <w:pPr>
      <w:spacing w:after="120" w:line="300" w:lineRule="atLeast"/>
    </w:pPr>
  </w:style>
  <w:style w:type="character" w:customStyle="1" w:styleId="BodyTextChar">
    <w:name w:val="Body Text Char"/>
    <w:basedOn w:val="DefaultParagraphFont"/>
    <w:link w:val="BodyText"/>
    <w:rsid w:val="000B2146"/>
    <w:rPr>
      <w:rFonts w:ascii="Arial" w:hAnsi="Arial" w:cs="Arial"/>
    </w:rPr>
  </w:style>
  <w:style w:type="paragraph" w:styleId="Footer">
    <w:name w:val="footer"/>
    <w:basedOn w:val="BodyText"/>
    <w:link w:val="FooterChar"/>
    <w:uiPriority w:val="99"/>
    <w:unhideWhenUsed/>
    <w:rsid w:val="000B2146"/>
    <w:pPr>
      <w:tabs>
        <w:tab w:val="center" w:pos="4536"/>
        <w:tab w:val="right" w:pos="9072"/>
      </w:tabs>
      <w:spacing w:after="0" w:line="240" w:lineRule="auto"/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0B2146"/>
    <w:rPr>
      <w:rFonts w:ascii="Arial" w:hAnsi="Arial" w:cs="Arial"/>
      <w:sz w:val="15"/>
    </w:rPr>
  </w:style>
  <w:style w:type="paragraph" w:styleId="Header">
    <w:name w:val="header"/>
    <w:basedOn w:val="BodyText"/>
    <w:link w:val="HeaderChar"/>
    <w:uiPriority w:val="99"/>
    <w:unhideWhenUsed/>
    <w:rsid w:val="000B2146"/>
    <w:pPr>
      <w:tabs>
        <w:tab w:val="center" w:pos="4536"/>
        <w:tab w:val="right" w:pos="9072"/>
      </w:tabs>
      <w:spacing w:after="0" w:line="240" w:lineRule="auto"/>
    </w:pPr>
    <w:rPr>
      <w:sz w:val="15"/>
    </w:rPr>
  </w:style>
  <w:style w:type="character" w:customStyle="1" w:styleId="HeaderChar">
    <w:name w:val="Header Char"/>
    <w:basedOn w:val="DefaultParagraphFont"/>
    <w:link w:val="Header"/>
    <w:uiPriority w:val="99"/>
    <w:rsid w:val="000B2146"/>
    <w:rPr>
      <w:rFonts w:ascii="Arial" w:hAnsi="Arial" w:cs="Arial"/>
      <w:sz w:val="15"/>
    </w:rPr>
  </w:style>
  <w:style w:type="paragraph" w:customStyle="1" w:styleId="Header2">
    <w:name w:val="Header 2"/>
    <w:basedOn w:val="Header"/>
    <w:link w:val="Header2Char"/>
    <w:rsid w:val="000B2146"/>
    <w:pPr>
      <w:pBdr>
        <w:bottom w:val="single" w:sz="4" w:space="4" w:color="auto"/>
      </w:pBdr>
    </w:pPr>
  </w:style>
  <w:style w:type="character" w:customStyle="1" w:styleId="Header2Char">
    <w:name w:val="Header 2 Char"/>
    <w:basedOn w:val="DefaultParagraphFont"/>
    <w:link w:val="Header2"/>
    <w:rsid w:val="000B2146"/>
    <w:rPr>
      <w:rFonts w:ascii="Arial" w:hAnsi="Arial" w:cs="Arial"/>
      <w:sz w:val="15"/>
    </w:rPr>
  </w:style>
  <w:style w:type="paragraph" w:customStyle="1" w:styleId="Footer2">
    <w:name w:val="Footer 2"/>
    <w:basedOn w:val="Footer"/>
    <w:link w:val="Footer2Char"/>
    <w:rsid w:val="000B2146"/>
    <w:pPr>
      <w:pBdr>
        <w:top w:val="single" w:sz="4" w:space="4" w:color="auto"/>
      </w:pBdr>
    </w:pPr>
  </w:style>
  <w:style w:type="character" w:customStyle="1" w:styleId="Footer2Char">
    <w:name w:val="Footer 2 Char"/>
    <w:basedOn w:val="DefaultParagraphFont"/>
    <w:link w:val="Footer2"/>
    <w:rsid w:val="000B2146"/>
    <w:rPr>
      <w:rFonts w:ascii="Arial" w:hAnsi="Arial" w:cs="Arial"/>
      <w:sz w:val="15"/>
    </w:rPr>
  </w:style>
  <w:style w:type="paragraph" w:styleId="ListNumber">
    <w:name w:val="List Number"/>
    <w:basedOn w:val="BodyText"/>
    <w:uiPriority w:val="99"/>
    <w:semiHidden/>
    <w:unhideWhenUsed/>
    <w:rsid w:val="000B2146"/>
    <w:pPr>
      <w:numPr>
        <w:numId w:val="2"/>
      </w:numPr>
      <w:contextualSpacing/>
    </w:pPr>
  </w:style>
  <w:style w:type="paragraph" w:styleId="ListNumber2">
    <w:name w:val="List Number 2"/>
    <w:basedOn w:val="BodyText"/>
    <w:uiPriority w:val="99"/>
    <w:semiHidden/>
    <w:unhideWhenUsed/>
    <w:rsid w:val="000B2146"/>
    <w:pPr>
      <w:numPr>
        <w:ilvl w:val="1"/>
        <w:numId w:val="2"/>
      </w:numPr>
      <w:contextualSpacing/>
    </w:pPr>
  </w:style>
  <w:style w:type="paragraph" w:styleId="ListNumber3">
    <w:name w:val="List Number 3"/>
    <w:basedOn w:val="BodyText"/>
    <w:uiPriority w:val="99"/>
    <w:semiHidden/>
    <w:unhideWhenUsed/>
    <w:rsid w:val="000B2146"/>
    <w:pPr>
      <w:numPr>
        <w:ilvl w:val="2"/>
        <w:numId w:val="2"/>
      </w:numPr>
      <w:tabs>
        <w:tab w:val="clear" w:pos="720"/>
        <w:tab w:val="num" w:pos="850"/>
      </w:tabs>
      <w:ind w:left="850" w:hanging="850"/>
      <w:contextualSpacing/>
    </w:pPr>
  </w:style>
  <w:style w:type="paragraph" w:styleId="ListBullet">
    <w:name w:val="List Bullet"/>
    <w:basedOn w:val="BodyText"/>
    <w:uiPriority w:val="99"/>
    <w:semiHidden/>
    <w:unhideWhenUsed/>
    <w:rsid w:val="000B2146"/>
    <w:pPr>
      <w:numPr>
        <w:numId w:val="6"/>
      </w:numPr>
      <w:contextualSpacing/>
    </w:pPr>
  </w:style>
  <w:style w:type="paragraph" w:styleId="ListBullet2">
    <w:name w:val="List Bullet 2"/>
    <w:basedOn w:val="BodyText"/>
    <w:uiPriority w:val="99"/>
    <w:semiHidden/>
    <w:unhideWhenUsed/>
    <w:rsid w:val="000B2146"/>
    <w:pPr>
      <w:numPr>
        <w:numId w:val="8"/>
      </w:numPr>
      <w:contextualSpacing/>
    </w:pPr>
  </w:style>
  <w:style w:type="paragraph" w:styleId="ListBullet3">
    <w:name w:val="List Bullet 3"/>
    <w:basedOn w:val="BodyText"/>
    <w:uiPriority w:val="99"/>
    <w:semiHidden/>
    <w:unhideWhenUsed/>
    <w:rsid w:val="000B2146"/>
    <w:pPr>
      <w:numPr>
        <w:numId w:val="10"/>
      </w:numPr>
      <w:contextualSpacing/>
    </w:pPr>
  </w:style>
  <w:style w:type="paragraph" w:styleId="EnvelopeAddress">
    <w:name w:val="envelope address"/>
    <w:basedOn w:val="BodyText"/>
    <w:uiPriority w:val="99"/>
    <w:semiHidden/>
    <w:unhideWhenUsed/>
    <w:rsid w:val="000B2146"/>
    <w:pPr>
      <w:framePr w:w="7920" w:h="1980" w:hRule="exact" w:hSpace="180" w:wrap="auto" w:hAnchor="page" w:xAlign="center" w:yAlign="bottom"/>
      <w:spacing w:after="0"/>
      <w:ind w:left="2880"/>
    </w:pPr>
    <w:rPr>
      <w:rFonts w:ascii="Times New Roman" w:eastAsiaTheme="majorEastAsia" w:hAnsi="Times New Roman" w:cs="Times New Roman"/>
      <w:szCs w:val="24"/>
    </w:rPr>
  </w:style>
  <w:style w:type="table" w:styleId="TableGrid">
    <w:name w:val="Table Grid"/>
    <w:basedOn w:val="TableNormal"/>
    <w:uiPriority w:val="39"/>
    <w:rsid w:val="00502DF7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02DF7"/>
    <w:pPr>
      <w:widowControl w:val="0"/>
      <w:autoSpaceDE w:val="0"/>
      <w:autoSpaceDN w:val="0"/>
      <w:spacing w:before="80"/>
      <w:ind w:left="115"/>
    </w:pPr>
    <w:rPr>
      <w:rFonts w:ascii="Times New Roman" w:eastAsia="Times New Roman" w:hAnsi="Times New Roman" w:cs="Times New Roman"/>
      <w:lang w:val="en-US"/>
    </w:rPr>
  </w:style>
  <w:style w:type="paragraph" w:customStyle="1" w:styleId="Tableheadings">
    <w:name w:val="Table headings"/>
    <w:basedOn w:val="Normal"/>
    <w:rsid w:val="00502DF7"/>
    <w:pPr>
      <w:spacing w:line="264" w:lineRule="auto"/>
    </w:pPr>
    <w:rPr>
      <w:rFonts w:eastAsia="Times New Roman" w:cs="Times New Roman"/>
      <w:b/>
      <w:bCs/>
      <w:color w:val="FFFFFF"/>
      <w:sz w:val="24"/>
      <w:szCs w:val="20"/>
    </w:rPr>
  </w:style>
  <w:style w:type="character" w:customStyle="1" w:styleId="normaltextrun">
    <w:name w:val="normaltextrun"/>
    <w:basedOn w:val="DefaultParagraphFont"/>
    <w:rsid w:val="00502DF7"/>
  </w:style>
  <w:style w:type="paragraph" w:styleId="ListParagraph">
    <w:name w:val="List Paragraph"/>
    <w:basedOn w:val="Normal"/>
    <w:uiPriority w:val="34"/>
    <w:qFormat/>
    <w:rsid w:val="007F2D8B"/>
    <w:pPr>
      <w:ind w:left="720"/>
      <w:contextualSpacing/>
    </w:pPr>
  </w:style>
  <w:style w:type="paragraph" w:styleId="Revision">
    <w:name w:val="Revision"/>
    <w:hidden/>
    <w:uiPriority w:val="99"/>
    <w:semiHidden/>
    <w:rsid w:val="003D2C15"/>
    <w:pPr>
      <w:spacing w:after="0" w:line="240" w:lineRule="auto"/>
    </w:pPr>
    <w:rPr>
      <w:rFonts w:ascii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111C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1C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1CE1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C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CE1"/>
    <w:rPr>
      <w:rFonts w:ascii="Arial" w:hAnsi="Arial" w:cs="Arial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DE13FF"/>
    <w:rPr>
      <w:rFonts w:asciiTheme="majorHAnsi" w:eastAsia="Times New Roman" w:hAnsiTheme="majorHAnsi" w:cs="Arial"/>
      <w:b/>
      <w:bCs/>
      <w:color w:val="4472C4" w:themeColor="accent1"/>
      <w:kern w:val="32"/>
      <w:sz w:val="40"/>
      <w:szCs w:val="32"/>
      <w:lang w:eastAsia="en-AU"/>
    </w:rPr>
  </w:style>
  <w:style w:type="paragraph" w:customStyle="1" w:styleId="TableHeading">
    <w:name w:val="Table Heading"/>
    <w:basedOn w:val="Normal"/>
    <w:next w:val="BodyText"/>
    <w:uiPriority w:val="3"/>
    <w:qFormat/>
    <w:rsid w:val="00DE13FF"/>
    <w:pPr>
      <w:spacing w:before="60" w:after="60"/>
    </w:pPr>
    <w:rPr>
      <w:rFonts w:asciiTheme="minorHAnsi" w:hAnsiTheme="minorHAnsi" w:cstheme="minorBidi"/>
      <w:b/>
      <w:sz w:val="18"/>
    </w:rPr>
  </w:style>
  <w:style w:type="paragraph" w:customStyle="1" w:styleId="TableText">
    <w:name w:val="Table Text"/>
    <w:basedOn w:val="Normal"/>
    <w:uiPriority w:val="3"/>
    <w:qFormat/>
    <w:rsid w:val="00DE13FF"/>
    <w:pPr>
      <w:spacing w:before="60" w:after="60"/>
    </w:pPr>
    <w:rPr>
      <w:rFonts w:asciiTheme="minorHAnsi" w:hAnsiTheme="minorHAnsi" w:cstheme="minorBidi"/>
      <w:sz w:val="18"/>
    </w:rPr>
  </w:style>
  <w:style w:type="table" w:customStyle="1" w:styleId="NavyTable">
    <w:name w:val="Navy Table"/>
    <w:basedOn w:val="TableNormal"/>
    <w:uiPriority w:val="99"/>
    <w:rsid w:val="00DE13FF"/>
    <w:pPr>
      <w:spacing w:after="0" w:line="240" w:lineRule="auto"/>
    </w:pPr>
    <w:tblPr>
      <w:tblStyleRowBandSize w:val="1"/>
      <w:tblStyleColBandSize w:val="1"/>
      <w:tblInd w:w="108" w:type="dxa"/>
      <w:tblBorders>
        <w:bottom w:val="single" w:sz="4" w:space="0" w:color="4472C4" w:themeColor="accent1"/>
        <w:insideH w:val="single" w:sz="4" w:space="0" w:color="4472C4" w:themeColor="accent1"/>
        <w:insideV w:val="single" w:sz="4" w:space="0" w:color="FFFFFF" w:themeColor="background1"/>
      </w:tblBorders>
    </w:tblPr>
    <w:trPr>
      <w:cantSplit/>
    </w:trPr>
    <w:tcPr>
      <w:shd w:val="clear" w:color="auto" w:fill="auto"/>
    </w:tcPr>
    <w:tblStylePr w:type="firstRow">
      <w:tblPr/>
      <w:tcPr>
        <w:tcBorders>
          <w:insideV w:val="single" w:sz="4" w:space="0" w:color="FFFFFF" w:themeColor="background1"/>
        </w:tcBorders>
        <w:shd w:val="clear" w:color="auto" w:fill="4472C4" w:themeFill="accent1"/>
      </w:tcPr>
    </w:tblStylePr>
    <w:tblStylePr w:type="lastRow">
      <w:rPr>
        <w:b w:val="0"/>
      </w:rPr>
      <w:tblPr/>
      <w:tcPr>
        <w:shd w:val="clear" w:color="auto" w:fill="99B1C3"/>
      </w:tcPr>
    </w:tblStylePr>
    <w:tblStylePr w:type="firstCol">
      <w:tblPr/>
      <w:tcPr>
        <w:tcBorders>
          <w:insideH w:val="nil"/>
        </w:tcBorders>
        <w:shd w:val="clear" w:color="auto" w:fill="4472C4" w:themeFill="accent1"/>
      </w:tcPr>
    </w:tblStylePr>
    <w:tblStylePr w:type="band2Vert">
      <w:tblPr/>
      <w:tcPr>
        <w:shd w:val="clear" w:color="auto" w:fill="CCD8E1"/>
      </w:tcPr>
    </w:tblStylePr>
    <w:tblStylePr w:type="band2Horz">
      <w:tblPr/>
      <w:tcPr>
        <w:shd w:val="clear" w:color="auto" w:fill="CCD8E1"/>
      </w:tcPr>
    </w:tblStylePr>
  </w:style>
  <w:style w:type="table" w:styleId="GridTable3">
    <w:name w:val="Grid Table 3"/>
    <w:basedOn w:val="TableNormal"/>
    <w:uiPriority w:val="48"/>
    <w:rsid w:val="007B175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5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41AE7754C9194F93431122A8BB1DD8" ma:contentTypeVersion="17" ma:contentTypeDescription="Create a new document." ma:contentTypeScope="" ma:versionID="c172cbcbcac2c8aef8a4af66d7646bd4">
  <xsd:schema xmlns:xsd="http://www.w3.org/2001/XMLSchema" xmlns:xs="http://www.w3.org/2001/XMLSchema" xmlns:p="http://schemas.microsoft.com/office/2006/metadata/properties" xmlns:ns2="ce1ff4d4-0201-4bc4-9910-93fccb7abc8d" xmlns:ns3="9b34db9f-464b-484e-967c-b5774a229548" xmlns:ns4="d27882d3-798a-4f9d-aacc-36c6e0a50e92" targetNamespace="http://schemas.microsoft.com/office/2006/metadata/properties" ma:root="true" ma:fieldsID="991dfbd1ce3b431b91079a1a4614351d" ns2:_="" ns3:_="" ns4:_="">
    <xsd:import namespace="ce1ff4d4-0201-4bc4-9910-93fccb7abc8d"/>
    <xsd:import namespace="9b34db9f-464b-484e-967c-b5774a229548"/>
    <xsd:import namespace="d27882d3-798a-4f9d-aacc-36c6e0a50e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ff4d4-0201-4bc4-9910-93fccb7abc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9ec6a42-900c-40b9-95df-acf57bf215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4db9f-464b-484e-967c-b5774a2295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882d3-798a-4f9d-aacc-36c6e0a50e9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0cbdb16-d00a-4508-9761-bbab47a0151d}" ma:internalName="TaxCatchAll" ma:showField="CatchAllData" ma:web="9b34db9f-464b-484e-967c-b5774a2295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7882d3-798a-4f9d-aacc-36c6e0a50e92" xsi:nil="true"/>
    <lcf76f155ced4ddcb4097134ff3c332f xmlns="ce1ff4d4-0201-4bc4-9910-93fccb7abc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E2E8BE-A014-43DA-8330-683E521FB2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1ff4d4-0201-4bc4-9910-93fccb7abc8d"/>
    <ds:schemaRef ds:uri="9b34db9f-464b-484e-967c-b5774a229548"/>
    <ds:schemaRef ds:uri="d27882d3-798a-4f9d-aacc-36c6e0a50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B62952-AA6E-4885-A461-98B745C143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EB1D92-9998-4771-B63B-E629504023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D887B7-C2BA-4A73-8626-86DFE7C55EA7}">
  <ds:schemaRefs>
    <ds:schemaRef ds:uri="9b34db9f-464b-484e-967c-b5774a229548"/>
    <ds:schemaRef ds:uri="http://purl.org/dc/terms/"/>
    <ds:schemaRef ds:uri="http://purl.org/dc/dcmitype/"/>
    <ds:schemaRef ds:uri="http://schemas.openxmlformats.org/package/2006/metadata/core-properties"/>
    <ds:schemaRef ds:uri="d27882d3-798a-4f9d-aacc-36c6e0a50e92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ce1ff4d4-0201-4bc4-9910-93fccb7abc8d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Rajesh K Iyer</dc:creator>
  <cp:keywords/>
  <dc:description/>
  <cp:lastModifiedBy>Rajesh K Iyer</cp:lastModifiedBy>
  <cp:revision>6</cp:revision>
  <cp:lastPrinted>2025-02-26T22:58:00Z</cp:lastPrinted>
  <dcterms:created xsi:type="dcterms:W3CDTF">2026-01-19T23:16:00Z</dcterms:created>
  <dcterms:modified xsi:type="dcterms:W3CDTF">2026-01-20T22:49:00Z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0x0101007741AE7754C9194F93431122A8BB1DD8</vt:lpwstr>
  </property>
  <property fmtid="{D5CDD505-2E9C-101B-9397-08002B2CF9AE}" pid="3" name="MediaServiceImageTags">
    <vt:lpwstr/>
  </property>
</Properties>
</file>