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C024" w14:textId="1A046405" w:rsidR="006C4507" w:rsidRDefault="006C4507" w:rsidP="006C4507">
      <w:pPr>
        <w:pStyle w:val="BodyText"/>
        <w:jc w:val="center"/>
        <w:rPr>
          <w:rFonts w:asciiTheme="minorHAnsi" w:hAnsiTheme="minorHAnsi"/>
          <w:b/>
          <w:bCs/>
          <w:sz w:val="34"/>
          <w:szCs w:val="34"/>
        </w:rPr>
      </w:pPr>
    </w:p>
    <w:p w14:paraId="19181762" w14:textId="77777777" w:rsidR="006C4507" w:rsidRDefault="006C4507" w:rsidP="006C4507">
      <w:pPr>
        <w:pStyle w:val="BodyText"/>
        <w:jc w:val="center"/>
        <w:rPr>
          <w:rFonts w:asciiTheme="minorHAnsi" w:hAnsiTheme="minorHAnsi"/>
          <w:b/>
          <w:bCs/>
          <w:sz w:val="34"/>
          <w:szCs w:val="34"/>
        </w:rPr>
      </w:pPr>
    </w:p>
    <w:p w14:paraId="373FB5DF" w14:textId="1D9931CC" w:rsidR="00923408" w:rsidRPr="00923408" w:rsidRDefault="00923408" w:rsidP="006C4507">
      <w:pPr>
        <w:pStyle w:val="BodyText"/>
        <w:jc w:val="center"/>
        <w:rPr>
          <w:rFonts w:asciiTheme="minorHAnsi" w:hAnsiTheme="minorHAnsi"/>
          <w:b/>
          <w:bCs/>
          <w:sz w:val="40"/>
          <w:szCs w:val="40"/>
        </w:rPr>
      </w:pPr>
      <w:r w:rsidRPr="00923408">
        <w:rPr>
          <w:rFonts w:asciiTheme="minorHAnsi" w:hAnsiTheme="minorHAnsi"/>
          <w:b/>
          <w:bCs/>
          <w:sz w:val="40"/>
          <w:szCs w:val="40"/>
        </w:rPr>
        <w:t>Department of Transport and Main Roads</w:t>
      </w:r>
    </w:p>
    <w:p w14:paraId="49BAFBE8" w14:textId="134A9823" w:rsidR="00923408" w:rsidRPr="00923408" w:rsidRDefault="00923408" w:rsidP="006C4507">
      <w:pPr>
        <w:pStyle w:val="BodyText"/>
        <w:jc w:val="center"/>
        <w:rPr>
          <w:rFonts w:asciiTheme="minorHAnsi" w:hAnsiTheme="minorHAnsi"/>
          <w:b/>
          <w:bCs/>
          <w:sz w:val="36"/>
          <w:szCs w:val="36"/>
        </w:rPr>
      </w:pPr>
      <w:r w:rsidRPr="00923408">
        <w:rPr>
          <w:rFonts w:asciiTheme="minorHAnsi" w:hAnsiTheme="minorHAnsi"/>
          <w:b/>
          <w:bCs/>
          <w:sz w:val="36"/>
          <w:szCs w:val="36"/>
        </w:rPr>
        <w:t xml:space="preserve">Strategic Plan 2023–2027 </w:t>
      </w:r>
      <w:r w:rsidR="00A0607B">
        <w:rPr>
          <w:rFonts w:asciiTheme="minorHAnsi" w:hAnsiTheme="minorHAnsi"/>
          <w:b/>
          <w:bCs/>
          <w:sz w:val="36"/>
          <w:szCs w:val="36"/>
        </w:rPr>
        <w:t>reviewed 2025-2026</w:t>
      </w:r>
    </w:p>
    <w:p w14:paraId="4D9EE673" w14:textId="2284DE1D" w:rsidR="006C4507" w:rsidRPr="006C4507" w:rsidRDefault="006C4507" w:rsidP="006C4507">
      <w:pPr>
        <w:pStyle w:val="BodyText"/>
        <w:rPr>
          <w:rFonts w:asciiTheme="minorHAnsi" w:hAnsiTheme="minorHAnsi"/>
          <w:b/>
          <w:bCs/>
        </w:rPr>
      </w:pPr>
      <w:r w:rsidRPr="006C4507">
        <w:rPr>
          <w:rFonts w:asciiTheme="minorHAnsi" w:hAnsiTheme="minorHAnsi"/>
          <w:b/>
          <w:bCs/>
          <w:noProof/>
        </w:rPr>
        <w:drawing>
          <wp:inline distT="0" distB="0" distL="0" distR="0" wp14:anchorId="7F2871B3" wp14:editId="697E70F2">
            <wp:extent cx="6645910" cy="5257800"/>
            <wp:effectExtent l="0" t="0" r="2540" b="0"/>
            <wp:docPr id="1987841902"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41902" name="Picture 2" descr="A diagram of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5257800"/>
                    </a:xfrm>
                    <a:prstGeom prst="rect">
                      <a:avLst/>
                    </a:prstGeom>
                    <a:noFill/>
                    <a:ln>
                      <a:noFill/>
                    </a:ln>
                  </pic:spPr>
                </pic:pic>
              </a:graphicData>
            </a:graphic>
          </wp:inline>
        </w:drawing>
      </w:r>
    </w:p>
    <w:p w14:paraId="42FF365A" w14:textId="77777777" w:rsidR="00130987" w:rsidRDefault="00130987" w:rsidP="00923408">
      <w:pPr>
        <w:pStyle w:val="BodyText"/>
        <w:rPr>
          <w:rFonts w:asciiTheme="minorHAnsi" w:hAnsiTheme="minorHAnsi"/>
        </w:rPr>
      </w:pPr>
    </w:p>
    <w:p w14:paraId="255ED5F7" w14:textId="2BC5168F" w:rsidR="00923408" w:rsidRPr="00923408" w:rsidRDefault="00923408" w:rsidP="00923408">
      <w:pPr>
        <w:pStyle w:val="BodyText"/>
        <w:rPr>
          <w:rFonts w:asciiTheme="minorHAnsi" w:hAnsiTheme="minorHAnsi"/>
        </w:rPr>
      </w:pPr>
      <w:r w:rsidRPr="00923408">
        <w:rPr>
          <w:rFonts w:asciiTheme="minorHAnsi" w:hAnsiTheme="minorHAnsi"/>
        </w:rPr>
        <w:t xml:space="preserve">The Department of Transport and Main Roads (TMR) supports the government’s objectives for the community: </w:t>
      </w:r>
    </w:p>
    <w:p w14:paraId="424320AC" w14:textId="0161274B" w:rsidR="00923408" w:rsidRPr="00923408" w:rsidRDefault="00923408" w:rsidP="00923408">
      <w:pPr>
        <w:pStyle w:val="BodyText"/>
        <w:numPr>
          <w:ilvl w:val="0"/>
          <w:numId w:val="23"/>
        </w:numPr>
        <w:rPr>
          <w:rFonts w:asciiTheme="minorHAnsi" w:hAnsiTheme="minorHAnsi"/>
          <w:b/>
          <w:bCs/>
        </w:rPr>
      </w:pPr>
      <w:r w:rsidRPr="00923408">
        <w:rPr>
          <w:rFonts w:asciiTheme="minorHAnsi" w:hAnsiTheme="minorHAnsi"/>
          <w:b/>
          <w:bCs/>
        </w:rPr>
        <w:t>A better lifestyle through a stronger economy</w:t>
      </w:r>
      <w:r w:rsidR="0064367E">
        <w:rPr>
          <w:rFonts w:asciiTheme="minorHAnsi" w:hAnsiTheme="minorHAnsi"/>
          <w:b/>
          <w:bCs/>
        </w:rPr>
        <w:t>.</w:t>
      </w:r>
    </w:p>
    <w:p w14:paraId="24494C50" w14:textId="072D0B64" w:rsidR="00923408" w:rsidRPr="00923408" w:rsidRDefault="00923408" w:rsidP="00923408">
      <w:pPr>
        <w:pStyle w:val="BodyText"/>
        <w:numPr>
          <w:ilvl w:val="0"/>
          <w:numId w:val="23"/>
        </w:numPr>
        <w:rPr>
          <w:rFonts w:asciiTheme="minorHAnsi" w:hAnsiTheme="minorHAnsi"/>
          <w:b/>
          <w:bCs/>
        </w:rPr>
      </w:pPr>
      <w:r w:rsidRPr="00923408">
        <w:rPr>
          <w:rFonts w:asciiTheme="minorHAnsi" w:hAnsiTheme="minorHAnsi"/>
          <w:b/>
          <w:bCs/>
        </w:rPr>
        <w:t>A plan for Queensland’s future</w:t>
      </w:r>
      <w:r w:rsidR="0064367E">
        <w:rPr>
          <w:rFonts w:asciiTheme="minorHAnsi" w:hAnsiTheme="minorHAnsi"/>
          <w:b/>
          <w:bCs/>
        </w:rPr>
        <w:t>.</w:t>
      </w:r>
    </w:p>
    <w:p w14:paraId="2132FD83" w14:textId="77777777" w:rsidR="0064367E" w:rsidRDefault="0064367E" w:rsidP="00923408">
      <w:pPr>
        <w:pStyle w:val="BodyText"/>
        <w:rPr>
          <w:rFonts w:asciiTheme="minorHAnsi" w:hAnsiTheme="minorHAnsi"/>
        </w:rPr>
      </w:pPr>
    </w:p>
    <w:p w14:paraId="2B016D22" w14:textId="40734536" w:rsidR="00923408" w:rsidRPr="00923408" w:rsidRDefault="00923408" w:rsidP="00923408">
      <w:pPr>
        <w:pStyle w:val="BodyText"/>
        <w:rPr>
          <w:rFonts w:asciiTheme="minorHAnsi" w:hAnsiTheme="minorHAnsi"/>
        </w:rPr>
      </w:pPr>
      <w:r w:rsidRPr="00923408">
        <w:rPr>
          <w:rFonts w:asciiTheme="minorHAnsi" w:hAnsiTheme="minorHAnsi"/>
        </w:rPr>
        <w:t xml:space="preserve">The strategic plan is underpinned by the 30-year Queensland Transport Strategy. </w:t>
      </w:r>
    </w:p>
    <w:p w14:paraId="70C4838C" w14:textId="4B1888E0" w:rsidR="00923408" w:rsidRPr="00923408" w:rsidRDefault="00923408" w:rsidP="00923408">
      <w:pPr>
        <w:pStyle w:val="BodyText"/>
        <w:rPr>
          <w:rFonts w:asciiTheme="minorHAnsi" w:hAnsiTheme="minorHAnsi"/>
        </w:rPr>
      </w:pPr>
      <w:r w:rsidRPr="00923408">
        <w:rPr>
          <w:rFonts w:asciiTheme="minorHAnsi" w:hAnsiTheme="minorHAnsi"/>
        </w:rPr>
        <w:t xml:space="preserve">Our commitment to Human Rights: We will respect, protect and promote human rights in our decision-making and actions. </w:t>
      </w:r>
    </w:p>
    <w:p w14:paraId="2DD54500" w14:textId="3C345CB6" w:rsidR="00130987" w:rsidRDefault="00923408" w:rsidP="00923408">
      <w:pPr>
        <w:pStyle w:val="BodyText"/>
        <w:rPr>
          <w:rFonts w:asciiTheme="minorHAnsi" w:hAnsiTheme="minorHAnsi"/>
        </w:rPr>
      </w:pPr>
      <w:r w:rsidRPr="00923408">
        <w:rPr>
          <w:rFonts w:asciiTheme="minorHAnsi" w:hAnsiTheme="minorHAnsi"/>
        </w:rPr>
        <w:t xml:space="preserve">The Department of Transport and Main Roads acknowledges the Traditional Owners of the land and waterways. We also acknowledge their ancestors and Elders both past and present. The Department of Transport and Main Roads is committed to reconciliation amongst all Australians. </w:t>
      </w:r>
    </w:p>
    <w:p w14:paraId="7EDA0280" w14:textId="77777777" w:rsidR="0064367E" w:rsidRDefault="0064367E">
      <w:pPr>
        <w:spacing w:after="160" w:line="259" w:lineRule="auto"/>
        <w:rPr>
          <w:rFonts w:asciiTheme="minorHAnsi" w:hAnsiTheme="minorHAnsi"/>
          <w:b/>
          <w:bCs/>
          <w:sz w:val="30"/>
          <w:szCs w:val="30"/>
        </w:rPr>
      </w:pPr>
      <w:r>
        <w:rPr>
          <w:rFonts w:asciiTheme="minorHAnsi" w:hAnsiTheme="minorHAnsi"/>
          <w:b/>
          <w:bCs/>
          <w:sz w:val="30"/>
          <w:szCs w:val="30"/>
        </w:rPr>
        <w:br w:type="page"/>
      </w:r>
    </w:p>
    <w:p w14:paraId="43BFB926" w14:textId="3FD58EF4" w:rsidR="00130987" w:rsidRPr="00854230" w:rsidRDefault="00130987" w:rsidP="00130987">
      <w:pPr>
        <w:pStyle w:val="BodyText"/>
        <w:jc w:val="center"/>
        <w:rPr>
          <w:rFonts w:asciiTheme="minorHAnsi" w:hAnsiTheme="minorHAnsi"/>
          <w:b/>
          <w:bCs/>
          <w:sz w:val="30"/>
          <w:szCs w:val="30"/>
        </w:rPr>
      </w:pPr>
      <w:r w:rsidRPr="00130987">
        <w:rPr>
          <w:rFonts w:asciiTheme="minorHAnsi" w:hAnsiTheme="minorHAnsi"/>
          <w:b/>
          <w:bCs/>
          <w:sz w:val="30"/>
          <w:szCs w:val="30"/>
        </w:rPr>
        <w:lastRenderedPageBreak/>
        <w:t xml:space="preserve">Department of Transport and Main Roads </w:t>
      </w:r>
    </w:p>
    <w:p w14:paraId="4EB45927" w14:textId="6D09ED74" w:rsidR="00130987" w:rsidRPr="00130987" w:rsidRDefault="00130987" w:rsidP="00130987">
      <w:pPr>
        <w:pStyle w:val="BodyText"/>
        <w:jc w:val="center"/>
        <w:rPr>
          <w:rFonts w:asciiTheme="minorHAnsi" w:hAnsiTheme="minorHAnsi"/>
          <w:b/>
          <w:bCs/>
          <w:sz w:val="24"/>
          <w:szCs w:val="24"/>
        </w:rPr>
      </w:pPr>
      <w:r w:rsidRPr="00130987">
        <w:rPr>
          <w:rFonts w:asciiTheme="minorHAnsi" w:hAnsiTheme="minorHAnsi"/>
          <w:b/>
          <w:bCs/>
          <w:sz w:val="30"/>
          <w:szCs w:val="30"/>
        </w:rPr>
        <w:t xml:space="preserve">Strategic Plan 2023–2027 </w:t>
      </w:r>
      <w:r w:rsidR="00A0607B">
        <w:rPr>
          <w:rFonts w:asciiTheme="minorHAnsi" w:hAnsiTheme="minorHAnsi"/>
          <w:b/>
          <w:bCs/>
          <w:sz w:val="30"/>
          <w:szCs w:val="30"/>
        </w:rPr>
        <w:t>reviewed 2025-2026</w:t>
      </w:r>
    </w:p>
    <w:p w14:paraId="11F12E1D" w14:textId="77777777" w:rsidR="00130987" w:rsidRDefault="00130987" w:rsidP="00923408">
      <w:pPr>
        <w:pStyle w:val="BodyText"/>
        <w:rPr>
          <w:rFonts w:asciiTheme="minorHAnsi" w:hAnsiTheme="minorHAnsi"/>
        </w:rPr>
      </w:pPr>
    </w:p>
    <w:p w14:paraId="62A0C214" w14:textId="77777777" w:rsidR="00130987" w:rsidRPr="00923408" w:rsidRDefault="00130987" w:rsidP="00130987">
      <w:pPr>
        <w:pStyle w:val="BodyText"/>
        <w:rPr>
          <w:rFonts w:asciiTheme="minorHAnsi" w:hAnsiTheme="minorHAnsi"/>
        </w:rPr>
      </w:pPr>
      <w:r w:rsidRPr="00923408">
        <w:rPr>
          <w:rFonts w:asciiTheme="minorHAnsi" w:hAnsiTheme="minorHAnsi"/>
          <w:b/>
          <w:bCs/>
        </w:rPr>
        <w:t xml:space="preserve">Vision: Connected communities in a sustainable, thriving and inclusive Queensland. </w:t>
      </w:r>
    </w:p>
    <w:p w14:paraId="4C425F64" w14:textId="77777777" w:rsidR="00130987" w:rsidRDefault="00130987" w:rsidP="00130987">
      <w:pPr>
        <w:pStyle w:val="BodyText"/>
        <w:rPr>
          <w:rFonts w:asciiTheme="minorHAnsi" w:hAnsiTheme="minorHAnsi"/>
          <w:b/>
          <w:bCs/>
        </w:rPr>
      </w:pPr>
      <w:r w:rsidRPr="00923408">
        <w:rPr>
          <w:rFonts w:asciiTheme="minorHAnsi" w:hAnsiTheme="minorHAnsi"/>
          <w:b/>
          <w:bCs/>
        </w:rPr>
        <w:t xml:space="preserve">Purpose: To provide reliable, resilient and responsive transport networks and services that are safe and accessible for everyone. </w:t>
      </w:r>
    </w:p>
    <w:p w14:paraId="21C24E28" w14:textId="77777777" w:rsidR="006E3C4B" w:rsidRDefault="006E3C4B" w:rsidP="00130987">
      <w:pPr>
        <w:pStyle w:val="BodyText"/>
        <w:rPr>
          <w:rFonts w:asciiTheme="minorHAnsi" w:hAnsiTheme="minorHAnsi"/>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6"/>
        <w:gridCol w:w="1843"/>
        <w:gridCol w:w="1842"/>
        <w:gridCol w:w="3518"/>
        <w:gridCol w:w="2011"/>
      </w:tblGrid>
      <w:tr w:rsidR="006C4507" w:rsidRPr="00923408" w14:paraId="4E15DC4A" w14:textId="77777777" w:rsidTr="006E3C4B">
        <w:trPr>
          <w:tblHeader/>
        </w:trPr>
        <w:tc>
          <w:tcPr>
            <w:tcW w:w="1526" w:type="dxa"/>
            <w:shd w:val="clear" w:color="auto" w:fill="auto"/>
          </w:tcPr>
          <w:p w14:paraId="4A44D145" w14:textId="64F50C49" w:rsidR="00923408" w:rsidRPr="00923408" w:rsidRDefault="00923408" w:rsidP="00923408">
            <w:pPr>
              <w:pStyle w:val="BodyText"/>
              <w:rPr>
                <w:rFonts w:asciiTheme="minorHAnsi" w:hAnsiTheme="minorHAnsi"/>
                <w:b/>
                <w:bCs/>
              </w:rPr>
            </w:pPr>
            <w:r w:rsidRPr="00923408">
              <w:rPr>
                <w:rFonts w:asciiTheme="minorHAnsi" w:hAnsiTheme="minorHAnsi"/>
                <w:b/>
                <w:bCs/>
              </w:rPr>
              <w:t>Principles</w:t>
            </w:r>
          </w:p>
        </w:tc>
        <w:tc>
          <w:tcPr>
            <w:tcW w:w="1843" w:type="dxa"/>
            <w:shd w:val="clear" w:color="auto" w:fill="auto"/>
          </w:tcPr>
          <w:p w14:paraId="4D1D16DD" w14:textId="77777777" w:rsidR="00923408" w:rsidRPr="00923408" w:rsidRDefault="00923408" w:rsidP="00923408">
            <w:pPr>
              <w:pStyle w:val="BodyText"/>
              <w:rPr>
                <w:rFonts w:asciiTheme="minorHAnsi" w:hAnsiTheme="minorHAnsi"/>
                <w:b/>
                <w:bCs/>
              </w:rPr>
            </w:pPr>
            <w:r w:rsidRPr="00923408">
              <w:rPr>
                <w:rFonts w:asciiTheme="minorHAnsi" w:hAnsiTheme="minorHAnsi"/>
                <w:b/>
                <w:bCs/>
              </w:rPr>
              <w:t xml:space="preserve">Objectives </w:t>
            </w:r>
          </w:p>
        </w:tc>
        <w:tc>
          <w:tcPr>
            <w:tcW w:w="1842" w:type="dxa"/>
            <w:shd w:val="clear" w:color="auto" w:fill="auto"/>
          </w:tcPr>
          <w:p w14:paraId="7002EB1B" w14:textId="6530B681" w:rsidR="00923408" w:rsidRPr="00923408" w:rsidRDefault="00923408" w:rsidP="00923408">
            <w:pPr>
              <w:pStyle w:val="BodyText"/>
              <w:rPr>
                <w:rFonts w:asciiTheme="minorHAnsi" w:hAnsiTheme="minorHAnsi"/>
                <w:b/>
                <w:bCs/>
              </w:rPr>
            </w:pPr>
            <w:r w:rsidRPr="00923408">
              <w:rPr>
                <w:rFonts w:asciiTheme="minorHAnsi" w:hAnsiTheme="minorHAnsi"/>
                <w:b/>
                <w:bCs/>
              </w:rPr>
              <w:t>Performance indicators</w:t>
            </w:r>
          </w:p>
        </w:tc>
        <w:tc>
          <w:tcPr>
            <w:tcW w:w="3518" w:type="dxa"/>
            <w:shd w:val="clear" w:color="auto" w:fill="auto"/>
          </w:tcPr>
          <w:p w14:paraId="3B026E4F" w14:textId="22D7EE41" w:rsidR="00923408" w:rsidRPr="00923408" w:rsidRDefault="00923408" w:rsidP="00923408">
            <w:pPr>
              <w:pStyle w:val="BodyText"/>
              <w:rPr>
                <w:rFonts w:asciiTheme="minorHAnsi" w:hAnsiTheme="minorHAnsi"/>
                <w:b/>
                <w:bCs/>
              </w:rPr>
            </w:pPr>
            <w:r w:rsidRPr="00923408">
              <w:rPr>
                <w:rFonts w:asciiTheme="minorHAnsi" w:hAnsiTheme="minorHAnsi"/>
                <w:b/>
                <w:bCs/>
              </w:rPr>
              <w:t>Strategies</w:t>
            </w:r>
          </w:p>
        </w:tc>
        <w:tc>
          <w:tcPr>
            <w:tcW w:w="2011" w:type="dxa"/>
            <w:shd w:val="clear" w:color="auto" w:fill="auto"/>
          </w:tcPr>
          <w:p w14:paraId="674E9E25" w14:textId="77777777" w:rsidR="00923408" w:rsidRPr="00923408" w:rsidRDefault="00923408" w:rsidP="00923408">
            <w:pPr>
              <w:pStyle w:val="BodyText"/>
              <w:rPr>
                <w:rFonts w:asciiTheme="minorHAnsi" w:hAnsiTheme="minorHAnsi"/>
                <w:b/>
                <w:bCs/>
              </w:rPr>
            </w:pPr>
            <w:r w:rsidRPr="00923408">
              <w:rPr>
                <w:rFonts w:asciiTheme="minorHAnsi" w:hAnsiTheme="minorHAnsi"/>
                <w:b/>
                <w:bCs/>
              </w:rPr>
              <w:t xml:space="preserve">Our contribution to the Queensland Government’s objectives for the community </w:t>
            </w:r>
          </w:p>
        </w:tc>
      </w:tr>
      <w:tr w:rsidR="00923408" w:rsidRPr="00923408" w14:paraId="6A19CD4C" w14:textId="77777777" w:rsidTr="006E3C4B">
        <w:trPr>
          <w:trHeight w:val="1055"/>
        </w:trPr>
        <w:tc>
          <w:tcPr>
            <w:tcW w:w="1526" w:type="dxa"/>
          </w:tcPr>
          <w:p w14:paraId="37B0DD79" w14:textId="77777777" w:rsidR="00923408" w:rsidRPr="00923408" w:rsidRDefault="00923408" w:rsidP="00923408">
            <w:pPr>
              <w:pStyle w:val="BodyText"/>
              <w:rPr>
                <w:rFonts w:asciiTheme="minorHAnsi" w:hAnsiTheme="minorHAnsi"/>
              </w:rPr>
            </w:pPr>
            <w:r w:rsidRPr="00923408">
              <w:rPr>
                <w:rFonts w:asciiTheme="minorHAnsi" w:hAnsiTheme="minorHAnsi"/>
                <w:b/>
                <w:bCs/>
              </w:rPr>
              <w:t xml:space="preserve">Accessible and integrated </w:t>
            </w:r>
          </w:p>
        </w:tc>
        <w:tc>
          <w:tcPr>
            <w:tcW w:w="1843" w:type="dxa"/>
          </w:tcPr>
          <w:p w14:paraId="172D3597" w14:textId="77777777" w:rsidR="00923408" w:rsidRPr="00923408" w:rsidRDefault="00923408" w:rsidP="00923408">
            <w:pPr>
              <w:pStyle w:val="BodyText"/>
              <w:numPr>
                <w:ilvl w:val="0"/>
                <w:numId w:val="12"/>
              </w:numPr>
              <w:rPr>
                <w:rFonts w:asciiTheme="minorHAnsi" w:hAnsiTheme="minorHAnsi"/>
              </w:rPr>
            </w:pPr>
            <w:r w:rsidRPr="00923408">
              <w:rPr>
                <w:rFonts w:asciiTheme="minorHAnsi" w:hAnsiTheme="minorHAnsi"/>
              </w:rPr>
              <w:t xml:space="preserve">A transport system that is accessible and connects customers and communities </w:t>
            </w:r>
          </w:p>
        </w:tc>
        <w:tc>
          <w:tcPr>
            <w:tcW w:w="1842" w:type="dxa"/>
          </w:tcPr>
          <w:p w14:paraId="5288353E"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Accessible and integrated transport services and infrastructure </w:t>
            </w:r>
          </w:p>
          <w:p w14:paraId="4E6F5A6C"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Affordable and diverse transport options </w:t>
            </w:r>
          </w:p>
          <w:p w14:paraId="20ECC557" w14:textId="77777777" w:rsidR="00923408" w:rsidRPr="00923408" w:rsidRDefault="00923408" w:rsidP="00923408">
            <w:pPr>
              <w:pStyle w:val="BodyText"/>
              <w:rPr>
                <w:rFonts w:asciiTheme="minorHAnsi" w:hAnsiTheme="minorHAnsi"/>
              </w:rPr>
            </w:pPr>
          </w:p>
        </w:tc>
        <w:tc>
          <w:tcPr>
            <w:tcW w:w="3518" w:type="dxa"/>
          </w:tcPr>
          <w:p w14:paraId="369E1D5A" w14:textId="77777777" w:rsidR="00130987"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Take a movement and place-based approach to transport planning, designing and operations </w:t>
            </w:r>
          </w:p>
          <w:p w14:paraId="4573A6C0" w14:textId="53607610"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Develop our partnerships with industry and government </w:t>
            </w:r>
          </w:p>
          <w:p w14:paraId="00D0EFD7"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Strengthen our collaboration and co-design approach with our customers </w:t>
            </w:r>
          </w:p>
          <w:p w14:paraId="6A8DC7A5"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Expand the application of universal design thinking </w:t>
            </w:r>
          </w:p>
          <w:p w14:paraId="5C30FC27"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Harness emerging technologies and data to drive integration across the transport ecosystem </w:t>
            </w:r>
          </w:p>
          <w:p w14:paraId="5E464918"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Enhance access and mobility throughout Queensland </w:t>
            </w:r>
          </w:p>
          <w:p w14:paraId="496F1142"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Use the government Champion Network for First Nations communities </w:t>
            </w:r>
          </w:p>
          <w:p w14:paraId="29C25FA6" w14:textId="0E2C96A1"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Deliver cost of living relief through registration reduction and lower transport fares </w:t>
            </w:r>
          </w:p>
        </w:tc>
        <w:tc>
          <w:tcPr>
            <w:tcW w:w="2011" w:type="dxa"/>
          </w:tcPr>
          <w:p w14:paraId="20DC3EF2"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better lifestyle through a stronger economy </w:t>
            </w:r>
          </w:p>
          <w:p w14:paraId="3C678303"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plan for Queensland’s future </w:t>
            </w:r>
          </w:p>
        </w:tc>
      </w:tr>
      <w:tr w:rsidR="00923408" w:rsidRPr="00923408" w14:paraId="7ADBB081" w14:textId="77777777" w:rsidTr="006E3C4B">
        <w:trPr>
          <w:trHeight w:val="693"/>
        </w:trPr>
        <w:tc>
          <w:tcPr>
            <w:tcW w:w="1526" w:type="dxa"/>
          </w:tcPr>
          <w:p w14:paraId="7AE5DA30" w14:textId="77777777" w:rsidR="00923408" w:rsidRPr="00923408" w:rsidRDefault="00923408" w:rsidP="00923408">
            <w:pPr>
              <w:pStyle w:val="BodyText"/>
              <w:rPr>
                <w:rFonts w:asciiTheme="minorHAnsi" w:hAnsiTheme="minorHAnsi"/>
              </w:rPr>
            </w:pPr>
            <w:r w:rsidRPr="00923408">
              <w:rPr>
                <w:rFonts w:asciiTheme="minorHAnsi" w:hAnsiTheme="minorHAnsi"/>
                <w:b/>
                <w:bCs/>
              </w:rPr>
              <w:t xml:space="preserve">Safe and secure </w:t>
            </w:r>
          </w:p>
        </w:tc>
        <w:tc>
          <w:tcPr>
            <w:tcW w:w="1843" w:type="dxa"/>
          </w:tcPr>
          <w:p w14:paraId="5EF04DC2" w14:textId="77777777" w:rsidR="00923408" w:rsidRPr="00923408" w:rsidRDefault="00923408" w:rsidP="00923408">
            <w:pPr>
              <w:pStyle w:val="BodyText"/>
              <w:numPr>
                <w:ilvl w:val="0"/>
                <w:numId w:val="12"/>
              </w:numPr>
              <w:rPr>
                <w:rFonts w:asciiTheme="minorHAnsi" w:hAnsiTheme="minorHAnsi"/>
              </w:rPr>
            </w:pPr>
            <w:r w:rsidRPr="00923408">
              <w:rPr>
                <w:rFonts w:asciiTheme="minorHAnsi" w:hAnsiTheme="minorHAnsi"/>
              </w:rPr>
              <w:t xml:space="preserve">A transport system that is safe and secure for customers and goods </w:t>
            </w:r>
          </w:p>
        </w:tc>
        <w:tc>
          <w:tcPr>
            <w:tcW w:w="1842" w:type="dxa"/>
          </w:tcPr>
          <w:p w14:paraId="1D30F470"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Safety and security of customers and goods </w:t>
            </w:r>
          </w:p>
          <w:p w14:paraId="7A1E3C7C"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Customer and community trust in the transport system </w:t>
            </w:r>
          </w:p>
          <w:p w14:paraId="75034C0B" w14:textId="77777777" w:rsidR="00923408" w:rsidRPr="00923408" w:rsidRDefault="00923408" w:rsidP="00923408">
            <w:pPr>
              <w:pStyle w:val="BodyText"/>
              <w:rPr>
                <w:rFonts w:asciiTheme="minorHAnsi" w:hAnsiTheme="minorHAnsi"/>
              </w:rPr>
            </w:pPr>
          </w:p>
        </w:tc>
        <w:tc>
          <w:tcPr>
            <w:tcW w:w="3518" w:type="dxa"/>
          </w:tcPr>
          <w:p w14:paraId="1B311925"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Build on a safe system approach for transport safety </w:t>
            </w:r>
          </w:p>
          <w:p w14:paraId="459E5857"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Educate the community on their role in safety </w:t>
            </w:r>
          </w:p>
          <w:p w14:paraId="66AFC869"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Nurture partnerships to deliver a safe and secure transport system </w:t>
            </w:r>
          </w:p>
          <w:p w14:paraId="551BF327" w14:textId="09BBF8DF"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Embed cyber security to protect information assets and personal data </w:t>
            </w:r>
          </w:p>
        </w:tc>
        <w:tc>
          <w:tcPr>
            <w:tcW w:w="2011" w:type="dxa"/>
          </w:tcPr>
          <w:p w14:paraId="2C4C0154"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plan for Queensland’s future </w:t>
            </w:r>
          </w:p>
        </w:tc>
      </w:tr>
      <w:tr w:rsidR="00923408" w:rsidRPr="00923408" w14:paraId="0F2DF2CB" w14:textId="77777777" w:rsidTr="006E3C4B">
        <w:trPr>
          <w:trHeight w:val="792"/>
        </w:trPr>
        <w:tc>
          <w:tcPr>
            <w:tcW w:w="1526" w:type="dxa"/>
          </w:tcPr>
          <w:p w14:paraId="590F3F85" w14:textId="77777777" w:rsidR="00923408" w:rsidRPr="00923408" w:rsidRDefault="00923408" w:rsidP="00923408">
            <w:pPr>
              <w:pStyle w:val="BodyText"/>
              <w:rPr>
                <w:rFonts w:asciiTheme="minorHAnsi" w:hAnsiTheme="minorHAnsi"/>
              </w:rPr>
            </w:pPr>
            <w:r w:rsidRPr="00923408">
              <w:rPr>
                <w:rFonts w:asciiTheme="minorHAnsi" w:hAnsiTheme="minorHAnsi"/>
                <w:b/>
                <w:bCs/>
              </w:rPr>
              <w:lastRenderedPageBreak/>
              <w:t xml:space="preserve">Responsive </w:t>
            </w:r>
          </w:p>
        </w:tc>
        <w:tc>
          <w:tcPr>
            <w:tcW w:w="1843" w:type="dxa"/>
          </w:tcPr>
          <w:p w14:paraId="3904B87E" w14:textId="77777777" w:rsidR="00923408" w:rsidRPr="00923408" w:rsidRDefault="00923408" w:rsidP="00923408">
            <w:pPr>
              <w:pStyle w:val="BodyText"/>
              <w:numPr>
                <w:ilvl w:val="0"/>
                <w:numId w:val="12"/>
              </w:numPr>
              <w:rPr>
                <w:rFonts w:asciiTheme="minorHAnsi" w:hAnsiTheme="minorHAnsi"/>
              </w:rPr>
            </w:pPr>
            <w:r w:rsidRPr="00923408">
              <w:rPr>
                <w:rFonts w:asciiTheme="minorHAnsi" w:hAnsiTheme="minorHAnsi"/>
              </w:rPr>
              <w:t xml:space="preserve">A transport system that is responsive and resilient to the changing environment </w:t>
            </w:r>
          </w:p>
        </w:tc>
        <w:tc>
          <w:tcPr>
            <w:tcW w:w="1842" w:type="dxa"/>
          </w:tcPr>
          <w:p w14:paraId="34A917D2"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Operations and reliability of the transport system </w:t>
            </w:r>
          </w:p>
          <w:p w14:paraId="56039779"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Responsive to unplanned events and opportunities </w:t>
            </w:r>
          </w:p>
          <w:p w14:paraId="68AA4E61" w14:textId="68D819C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Responsive and resilient services </w:t>
            </w:r>
          </w:p>
        </w:tc>
        <w:tc>
          <w:tcPr>
            <w:tcW w:w="3518" w:type="dxa"/>
          </w:tcPr>
          <w:p w14:paraId="2509CC00"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Continue to proactively manage network disruptions and disaster recovery </w:t>
            </w:r>
          </w:p>
          <w:p w14:paraId="03E3F099"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Build on operational excellence and local planning of services to enhance network resilience </w:t>
            </w:r>
          </w:p>
          <w:p w14:paraId="5A91D3D4"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Build our multi-modal network management capability </w:t>
            </w:r>
          </w:p>
          <w:p w14:paraId="27785956"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Enable, support and regulate emerging technologies to enhance mobility services </w:t>
            </w:r>
          </w:p>
          <w:p w14:paraId="4F08129B"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Commit to continuous improvement in our services, communications and digital capabilities </w:t>
            </w:r>
          </w:p>
          <w:p w14:paraId="431C2599" w14:textId="20DB471E"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Adopt a whole-of-system perspective when designing the transport system </w:t>
            </w:r>
          </w:p>
        </w:tc>
        <w:tc>
          <w:tcPr>
            <w:tcW w:w="2011" w:type="dxa"/>
          </w:tcPr>
          <w:p w14:paraId="29DB2F6E"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better lifestyle through a stronger economy </w:t>
            </w:r>
          </w:p>
          <w:p w14:paraId="58B7686D"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plan for Queensland’s future </w:t>
            </w:r>
          </w:p>
        </w:tc>
      </w:tr>
      <w:tr w:rsidR="00923408" w:rsidRPr="00923408" w14:paraId="107422AC" w14:textId="77777777" w:rsidTr="006E3C4B">
        <w:trPr>
          <w:trHeight w:val="938"/>
        </w:trPr>
        <w:tc>
          <w:tcPr>
            <w:tcW w:w="1526" w:type="dxa"/>
          </w:tcPr>
          <w:p w14:paraId="70C81D60" w14:textId="77777777" w:rsidR="00923408" w:rsidRPr="00923408" w:rsidRDefault="00923408" w:rsidP="00923408">
            <w:pPr>
              <w:pStyle w:val="BodyText"/>
              <w:rPr>
                <w:rFonts w:asciiTheme="minorHAnsi" w:hAnsiTheme="minorHAnsi"/>
              </w:rPr>
            </w:pPr>
            <w:r w:rsidRPr="00923408">
              <w:rPr>
                <w:rFonts w:asciiTheme="minorHAnsi" w:hAnsiTheme="minorHAnsi"/>
                <w:b/>
                <w:bCs/>
              </w:rPr>
              <w:t xml:space="preserve">Efficient and productive </w:t>
            </w:r>
          </w:p>
        </w:tc>
        <w:tc>
          <w:tcPr>
            <w:tcW w:w="1843" w:type="dxa"/>
          </w:tcPr>
          <w:p w14:paraId="481BDE97" w14:textId="77777777" w:rsidR="00923408" w:rsidRPr="00923408" w:rsidRDefault="00923408" w:rsidP="00923408">
            <w:pPr>
              <w:pStyle w:val="BodyText"/>
              <w:numPr>
                <w:ilvl w:val="0"/>
                <w:numId w:val="12"/>
              </w:numPr>
              <w:rPr>
                <w:rFonts w:asciiTheme="minorHAnsi" w:hAnsiTheme="minorHAnsi"/>
              </w:rPr>
            </w:pPr>
            <w:r w:rsidRPr="00923408">
              <w:rPr>
                <w:rFonts w:asciiTheme="minorHAnsi" w:hAnsiTheme="minorHAnsi"/>
              </w:rPr>
              <w:t xml:space="preserve">A transport system that is a key enabler of economic activity </w:t>
            </w:r>
          </w:p>
        </w:tc>
        <w:tc>
          <w:tcPr>
            <w:tcW w:w="1842" w:type="dxa"/>
          </w:tcPr>
          <w:p w14:paraId="0E781822"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Efficiency and reliability in the movement of goods and services </w:t>
            </w:r>
          </w:p>
          <w:p w14:paraId="30427D89"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Procurement from small businesses and First Nations suppliers </w:t>
            </w:r>
          </w:p>
          <w:p w14:paraId="01D6B88E" w14:textId="77777777" w:rsidR="00923408" w:rsidRPr="00923408" w:rsidRDefault="00923408" w:rsidP="00923408">
            <w:pPr>
              <w:pStyle w:val="BodyText"/>
              <w:rPr>
                <w:rFonts w:asciiTheme="minorHAnsi" w:hAnsiTheme="minorHAnsi"/>
              </w:rPr>
            </w:pPr>
          </w:p>
        </w:tc>
        <w:tc>
          <w:tcPr>
            <w:tcW w:w="3518" w:type="dxa"/>
          </w:tcPr>
          <w:p w14:paraId="41291DB6"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Invest in infrastructure and services delivered in partnership with industry </w:t>
            </w:r>
          </w:p>
          <w:p w14:paraId="6165A6C8"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Maintain assets efficiently to maximise productivity </w:t>
            </w:r>
          </w:p>
          <w:p w14:paraId="13BC346E"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Invest in research to lower capital and operational costs </w:t>
            </w:r>
          </w:p>
          <w:p w14:paraId="36341769"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Integrated and coordinated approach to prioritise investment in high value projects </w:t>
            </w:r>
          </w:p>
          <w:p w14:paraId="0772DA82"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Increase the use of rail freight along strategic corridors </w:t>
            </w:r>
          </w:p>
          <w:p w14:paraId="5C356C04"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Embrace smart planning and innovative financing </w:t>
            </w:r>
          </w:p>
          <w:p w14:paraId="59F6D3B1" w14:textId="76DBFF93"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Leverage digital opportunities to deliver innovative services </w:t>
            </w:r>
          </w:p>
        </w:tc>
        <w:tc>
          <w:tcPr>
            <w:tcW w:w="2011" w:type="dxa"/>
          </w:tcPr>
          <w:p w14:paraId="6D240DBB"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better lifestyle through a stronger economy </w:t>
            </w:r>
          </w:p>
          <w:p w14:paraId="1B2FB65F"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plan for Queensland’s future </w:t>
            </w:r>
          </w:p>
        </w:tc>
      </w:tr>
      <w:tr w:rsidR="00923408" w:rsidRPr="00923408" w14:paraId="3EDFD597" w14:textId="77777777" w:rsidTr="006E3C4B">
        <w:trPr>
          <w:trHeight w:val="922"/>
        </w:trPr>
        <w:tc>
          <w:tcPr>
            <w:tcW w:w="1526" w:type="dxa"/>
          </w:tcPr>
          <w:p w14:paraId="5262D0E3" w14:textId="77777777" w:rsidR="00923408" w:rsidRPr="00923408" w:rsidRDefault="00923408" w:rsidP="00923408">
            <w:pPr>
              <w:pStyle w:val="BodyText"/>
              <w:rPr>
                <w:rFonts w:asciiTheme="minorHAnsi" w:hAnsiTheme="minorHAnsi"/>
              </w:rPr>
            </w:pPr>
            <w:r w:rsidRPr="00923408">
              <w:rPr>
                <w:rFonts w:asciiTheme="minorHAnsi" w:hAnsiTheme="minorHAnsi"/>
                <w:b/>
                <w:bCs/>
              </w:rPr>
              <w:t xml:space="preserve">Sustainable </w:t>
            </w:r>
          </w:p>
        </w:tc>
        <w:tc>
          <w:tcPr>
            <w:tcW w:w="1843" w:type="dxa"/>
          </w:tcPr>
          <w:p w14:paraId="33F47B58" w14:textId="77777777" w:rsidR="00923408" w:rsidRPr="00923408" w:rsidRDefault="00923408" w:rsidP="00923408">
            <w:pPr>
              <w:pStyle w:val="BodyText"/>
              <w:numPr>
                <w:ilvl w:val="0"/>
                <w:numId w:val="12"/>
              </w:numPr>
              <w:rPr>
                <w:rFonts w:asciiTheme="minorHAnsi" w:hAnsiTheme="minorHAnsi"/>
              </w:rPr>
            </w:pPr>
            <w:r w:rsidRPr="00923408">
              <w:rPr>
                <w:rFonts w:asciiTheme="minorHAnsi" w:hAnsiTheme="minorHAnsi"/>
              </w:rPr>
              <w:t xml:space="preserve">A transport system that contributes to environmental, economic and social sustainability </w:t>
            </w:r>
          </w:p>
        </w:tc>
        <w:tc>
          <w:tcPr>
            <w:tcW w:w="1842" w:type="dxa"/>
          </w:tcPr>
          <w:p w14:paraId="5C3CB717"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Minimal impact on the natural environment </w:t>
            </w:r>
          </w:p>
          <w:p w14:paraId="2048D668"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Fiscal sustainability </w:t>
            </w:r>
          </w:p>
          <w:p w14:paraId="25562096"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lastRenderedPageBreak/>
              <w:t xml:space="preserve">Active and shared transport modes </w:t>
            </w:r>
          </w:p>
          <w:p w14:paraId="742CD4EF" w14:textId="77777777" w:rsidR="00923408" w:rsidRPr="00923408" w:rsidRDefault="00923408" w:rsidP="00F30E8A">
            <w:pPr>
              <w:pStyle w:val="BodyText"/>
              <w:ind w:left="191" w:hanging="191"/>
              <w:rPr>
                <w:rFonts w:asciiTheme="minorHAnsi" w:hAnsiTheme="minorHAnsi"/>
              </w:rPr>
            </w:pPr>
          </w:p>
        </w:tc>
        <w:tc>
          <w:tcPr>
            <w:tcW w:w="3518" w:type="dxa"/>
          </w:tcPr>
          <w:p w14:paraId="34AED480"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lastRenderedPageBreak/>
              <w:t xml:space="preserve">Embed sustainability in whole-of-life and whole-of-system decision making </w:t>
            </w:r>
          </w:p>
          <w:p w14:paraId="321B043F"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Commit to low and zero emissions transport technologies, modes and materials where possible </w:t>
            </w:r>
          </w:p>
          <w:p w14:paraId="517EC53E"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lastRenderedPageBreak/>
              <w:t xml:space="preserve">Integrate circular economy principles into transport network design and delivery </w:t>
            </w:r>
          </w:p>
          <w:p w14:paraId="0761CBFF"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Implement programs to encourage changes in customers’ travel and freight patterns </w:t>
            </w:r>
          </w:p>
          <w:p w14:paraId="7CE586DF" w14:textId="114B5122"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Increase investment in active and sustainable transport modes </w:t>
            </w:r>
          </w:p>
        </w:tc>
        <w:tc>
          <w:tcPr>
            <w:tcW w:w="2011" w:type="dxa"/>
          </w:tcPr>
          <w:p w14:paraId="0C740BA8"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lastRenderedPageBreak/>
              <w:t xml:space="preserve">A better lifestyle through a stronger economy </w:t>
            </w:r>
          </w:p>
          <w:p w14:paraId="5AEFDC35"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plan for Queensland’s future </w:t>
            </w:r>
          </w:p>
        </w:tc>
      </w:tr>
      <w:tr w:rsidR="00923408" w:rsidRPr="00923408" w14:paraId="5933780A" w14:textId="77777777" w:rsidTr="006E3C4B">
        <w:trPr>
          <w:trHeight w:val="831"/>
        </w:trPr>
        <w:tc>
          <w:tcPr>
            <w:tcW w:w="1526" w:type="dxa"/>
          </w:tcPr>
          <w:p w14:paraId="2C11D0C2" w14:textId="77777777" w:rsidR="00923408" w:rsidRPr="00923408" w:rsidRDefault="00923408" w:rsidP="00923408">
            <w:pPr>
              <w:pStyle w:val="BodyText"/>
              <w:rPr>
                <w:rFonts w:asciiTheme="minorHAnsi" w:hAnsiTheme="minorHAnsi"/>
              </w:rPr>
            </w:pPr>
            <w:r w:rsidRPr="00923408">
              <w:rPr>
                <w:rFonts w:asciiTheme="minorHAnsi" w:hAnsiTheme="minorHAnsi"/>
                <w:b/>
                <w:bCs/>
              </w:rPr>
              <w:t xml:space="preserve">Capable, adaptable and aligned </w:t>
            </w:r>
          </w:p>
        </w:tc>
        <w:tc>
          <w:tcPr>
            <w:tcW w:w="1843" w:type="dxa"/>
          </w:tcPr>
          <w:p w14:paraId="42826038" w14:textId="77777777" w:rsidR="00923408" w:rsidRPr="00923408" w:rsidRDefault="00923408" w:rsidP="00923408">
            <w:pPr>
              <w:pStyle w:val="BodyText"/>
              <w:numPr>
                <w:ilvl w:val="0"/>
                <w:numId w:val="12"/>
              </w:numPr>
              <w:rPr>
                <w:rFonts w:asciiTheme="minorHAnsi" w:hAnsiTheme="minorHAnsi"/>
              </w:rPr>
            </w:pPr>
            <w:r w:rsidRPr="00923408">
              <w:rPr>
                <w:rFonts w:asciiTheme="minorHAnsi" w:hAnsiTheme="minorHAnsi"/>
              </w:rPr>
              <w:t xml:space="preserve">A positive, effective and accountable organisation </w:t>
            </w:r>
          </w:p>
        </w:tc>
        <w:tc>
          <w:tcPr>
            <w:tcW w:w="1842" w:type="dxa"/>
          </w:tcPr>
          <w:p w14:paraId="3059D879"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Effective leadership </w:t>
            </w:r>
          </w:p>
          <w:p w14:paraId="01D27526"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Inclusive, diverse and safe workforce </w:t>
            </w:r>
          </w:p>
          <w:p w14:paraId="01E4E875"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Learning and development opportunities </w:t>
            </w:r>
          </w:p>
          <w:p w14:paraId="0642993D" w14:textId="4FEDCEB6"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Employee satisfaction </w:t>
            </w:r>
          </w:p>
        </w:tc>
        <w:tc>
          <w:tcPr>
            <w:tcW w:w="3518" w:type="dxa"/>
          </w:tcPr>
          <w:p w14:paraId="699FB904"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Attract, develop and retain a diverse and capable workforce that is safe and thriving </w:t>
            </w:r>
          </w:p>
          <w:p w14:paraId="2F89CF55"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Cultivate digitally connected employees and workplaces </w:t>
            </w:r>
          </w:p>
          <w:p w14:paraId="54E3B38A" w14:textId="77777777"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Manage and develop our resources effectively to support the work of the organisation </w:t>
            </w:r>
          </w:p>
          <w:p w14:paraId="3F7856B5" w14:textId="4B9500D6" w:rsidR="00923408" w:rsidRPr="00923408" w:rsidRDefault="00923408" w:rsidP="00F30E8A">
            <w:pPr>
              <w:pStyle w:val="BodyText"/>
              <w:numPr>
                <w:ilvl w:val="0"/>
                <w:numId w:val="27"/>
              </w:numPr>
              <w:ind w:left="191" w:hanging="191"/>
              <w:rPr>
                <w:rFonts w:asciiTheme="minorHAnsi" w:hAnsiTheme="minorHAnsi"/>
              </w:rPr>
            </w:pPr>
            <w:r w:rsidRPr="00923408">
              <w:rPr>
                <w:rFonts w:asciiTheme="minorHAnsi" w:hAnsiTheme="minorHAnsi"/>
              </w:rPr>
              <w:t xml:space="preserve">Deliver best practice corporate services and optimise business processes and systems </w:t>
            </w:r>
          </w:p>
        </w:tc>
        <w:tc>
          <w:tcPr>
            <w:tcW w:w="2011" w:type="dxa"/>
          </w:tcPr>
          <w:p w14:paraId="06A3302E"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better lifestyle through a stronger economy </w:t>
            </w:r>
          </w:p>
          <w:p w14:paraId="3D7C00B2" w14:textId="77777777" w:rsidR="00923408" w:rsidRPr="00923408" w:rsidRDefault="00923408" w:rsidP="00FA5748">
            <w:pPr>
              <w:pStyle w:val="BodyText"/>
              <w:numPr>
                <w:ilvl w:val="0"/>
                <w:numId w:val="27"/>
              </w:numPr>
              <w:ind w:left="191" w:hanging="191"/>
              <w:rPr>
                <w:rFonts w:asciiTheme="minorHAnsi" w:hAnsiTheme="minorHAnsi"/>
              </w:rPr>
            </w:pPr>
            <w:r w:rsidRPr="00923408">
              <w:rPr>
                <w:rFonts w:asciiTheme="minorHAnsi" w:hAnsiTheme="minorHAnsi"/>
              </w:rPr>
              <w:t xml:space="preserve">A plan for Queensland’s future </w:t>
            </w:r>
          </w:p>
        </w:tc>
      </w:tr>
    </w:tbl>
    <w:p w14:paraId="5817C9FA" w14:textId="77777777" w:rsidR="009A44E7" w:rsidRDefault="009A44E7" w:rsidP="006C4507">
      <w:pPr>
        <w:pStyle w:val="BodyText"/>
        <w:rPr>
          <w:rFonts w:asciiTheme="minorHAnsi" w:hAnsiTheme="minorHAnsi"/>
        </w:rPr>
      </w:pPr>
    </w:p>
    <w:p w14:paraId="5DD72025" w14:textId="77777777" w:rsidR="006E3C4B" w:rsidRPr="006E3C4B" w:rsidRDefault="006E3C4B" w:rsidP="006E3C4B">
      <w:pPr>
        <w:pStyle w:val="BodyText"/>
        <w:rPr>
          <w:rFonts w:asciiTheme="minorHAnsi" w:hAnsiTheme="minorHAnsi"/>
        </w:rPr>
      </w:pPr>
      <w:r w:rsidRPr="006E3C4B">
        <w:rPr>
          <w:rFonts w:asciiTheme="minorHAnsi" w:hAnsiTheme="minorHAnsi"/>
        </w:rPr>
        <w:t xml:space="preserve">TMR publishes a set of strategic plan measures that align to our performance indicators. </w:t>
      </w:r>
    </w:p>
    <w:p w14:paraId="20F901C3" w14:textId="4517ED47" w:rsidR="006E3C4B" w:rsidRPr="006E3C4B" w:rsidRDefault="006E3C4B" w:rsidP="006E3C4B">
      <w:pPr>
        <w:pStyle w:val="BodyText"/>
        <w:rPr>
          <w:rFonts w:asciiTheme="minorHAnsi" w:hAnsiTheme="minorHAnsi"/>
          <w:b/>
          <w:bCs/>
        </w:rPr>
      </w:pPr>
      <w:r w:rsidRPr="006E3C4B">
        <w:rPr>
          <w:rFonts w:asciiTheme="minorHAnsi" w:hAnsiTheme="minorHAnsi"/>
          <w:b/>
          <w:bCs/>
        </w:rPr>
        <w:t xml:space="preserve">Our risks: </w:t>
      </w:r>
    </w:p>
    <w:p w14:paraId="0BC552E9" w14:textId="77777777" w:rsidR="006E3C4B" w:rsidRPr="006E3C4B" w:rsidRDefault="006E3C4B" w:rsidP="006E3C4B">
      <w:pPr>
        <w:pStyle w:val="BodyText"/>
        <w:numPr>
          <w:ilvl w:val="0"/>
          <w:numId w:val="30"/>
        </w:numPr>
        <w:rPr>
          <w:rFonts w:asciiTheme="minorHAnsi" w:hAnsiTheme="minorHAnsi"/>
        </w:rPr>
      </w:pPr>
      <w:r w:rsidRPr="006E3C4B">
        <w:rPr>
          <w:rFonts w:asciiTheme="minorHAnsi" w:hAnsiTheme="minorHAnsi"/>
        </w:rPr>
        <w:t xml:space="preserve">Maintaining a safe transport system for our customers and community </w:t>
      </w:r>
    </w:p>
    <w:p w14:paraId="2C0A698C" w14:textId="77777777" w:rsidR="006E3C4B" w:rsidRPr="006E3C4B" w:rsidRDefault="006E3C4B" w:rsidP="006E3C4B">
      <w:pPr>
        <w:pStyle w:val="BodyText"/>
        <w:numPr>
          <w:ilvl w:val="0"/>
          <w:numId w:val="30"/>
        </w:numPr>
        <w:rPr>
          <w:rFonts w:asciiTheme="minorHAnsi" w:hAnsiTheme="minorHAnsi"/>
        </w:rPr>
      </w:pPr>
      <w:r w:rsidRPr="006E3C4B">
        <w:rPr>
          <w:rFonts w:asciiTheme="minorHAnsi" w:hAnsiTheme="minorHAnsi"/>
        </w:rPr>
        <w:t xml:space="preserve">Providing an accessible and integrated transport system </w:t>
      </w:r>
    </w:p>
    <w:p w14:paraId="267FDC7A" w14:textId="77777777" w:rsidR="006E3C4B" w:rsidRPr="006E3C4B" w:rsidRDefault="006E3C4B" w:rsidP="006E3C4B">
      <w:pPr>
        <w:pStyle w:val="BodyText"/>
        <w:numPr>
          <w:ilvl w:val="0"/>
          <w:numId w:val="30"/>
        </w:numPr>
        <w:rPr>
          <w:rFonts w:asciiTheme="minorHAnsi" w:hAnsiTheme="minorHAnsi"/>
        </w:rPr>
      </w:pPr>
      <w:r w:rsidRPr="006E3C4B">
        <w:rPr>
          <w:rFonts w:asciiTheme="minorHAnsi" w:hAnsiTheme="minorHAnsi"/>
        </w:rPr>
        <w:t xml:space="preserve">Developing workforce skills, capability and adaptability to meet TMR’s future needs </w:t>
      </w:r>
    </w:p>
    <w:p w14:paraId="123A0C24" w14:textId="77777777" w:rsidR="006E3C4B" w:rsidRPr="006E3C4B" w:rsidRDefault="006E3C4B" w:rsidP="006E3C4B">
      <w:pPr>
        <w:pStyle w:val="BodyText"/>
        <w:numPr>
          <w:ilvl w:val="0"/>
          <w:numId w:val="30"/>
        </w:numPr>
        <w:rPr>
          <w:rFonts w:asciiTheme="minorHAnsi" w:hAnsiTheme="minorHAnsi"/>
        </w:rPr>
      </w:pPr>
      <w:r w:rsidRPr="006E3C4B">
        <w:rPr>
          <w:rFonts w:asciiTheme="minorHAnsi" w:hAnsiTheme="minorHAnsi"/>
        </w:rPr>
        <w:t xml:space="preserve">Adapting to climate change, reducing emissions and maintaining an environmentally sustainable transport system </w:t>
      </w:r>
    </w:p>
    <w:p w14:paraId="57F0700F" w14:textId="77777777" w:rsidR="006E3C4B" w:rsidRPr="006E3C4B" w:rsidRDefault="006E3C4B" w:rsidP="006E3C4B">
      <w:pPr>
        <w:pStyle w:val="BodyText"/>
        <w:numPr>
          <w:ilvl w:val="0"/>
          <w:numId w:val="30"/>
        </w:numPr>
        <w:rPr>
          <w:rFonts w:asciiTheme="minorHAnsi" w:hAnsiTheme="minorHAnsi"/>
        </w:rPr>
      </w:pPr>
      <w:r w:rsidRPr="006E3C4B">
        <w:rPr>
          <w:rFonts w:asciiTheme="minorHAnsi" w:hAnsiTheme="minorHAnsi"/>
        </w:rPr>
        <w:t xml:space="preserve">Reducing the impact of supply chain disruption and unavailability of skilled labour </w:t>
      </w:r>
    </w:p>
    <w:p w14:paraId="3E07C505" w14:textId="77777777" w:rsidR="006E3C4B" w:rsidRPr="006E3C4B" w:rsidRDefault="006E3C4B" w:rsidP="006E3C4B">
      <w:pPr>
        <w:pStyle w:val="BodyText"/>
        <w:numPr>
          <w:ilvl w:val="0"/>
          <w:numId w:val="30"/>
        </w:numPr>
        <w:rPr>
          <w:rFonts w:asciiTheme="minorHAnsi" w:hAnsiTheme="minorHAnsi"/>
        </w:rPr>
      </w:pPr>
      <w:r w:rsidRPr="006E3C4B">
        <w:rPr>
          <w:rFonts w:asciiTheme="minorHAnsi" w:hAnsiTheme="minorHAnsi"/>
        </w:rPr>
        <w:t xml:space="preserve">Maintaining sustainable ICT systems and protecting against cyber threats </w:t>
      </w:r>
    </w:p>
    <w:p w14:paraId="4B1E14ED" w14:textId="77777777" w:rsidR="006E3C4B" w:rsidRPr="006E3C4B" w:rsidRDefault="006E3C4B" w:rsidP="006E3C4B">
      <w:pPr>
        <w:pStyle w:val="BodyText"/>
        <w:numPr>
          <w:ilvl w:val="0"/>
          <w:numId w:val="30"/>
        </w:numPr>
        <w:rPr>
          <w:rFonts w:asciiTheme="minorHAnsi" w:hAnsiTheme="minorHAnsi"/>
        </w:rPr>
      </w:pPr>
      <w:r w:rsidRPr="006E3C4B">
        <w:rPr>
          <w:rFonts w:asciiTheme="minorHAnsi" w:hAnsiTheme="minorHAnsi"/>
        </w:rPr>
        <w:t xml:space="preserve">Funding and sustaining essential transport services and infrastructure </w:t>
      </w:r>
    </w:p>
    <w:p w14:paraId="5C15A635" w14:textId="77777777" w:rsidR="006E3C4B" w:rsidRPr="006E3C4B" w:rsidRDefault="006E3C4B" w:rsidP="006E3C4B">
      <w:pPr>
        <w:pStyle w:val="BodyText"/>
        <w:numPr>
          <w:ilvl w:val="0"/>
          <w:numId w:val="30"/>
        </w:numPr>
        <w:rPr>
          <w:rFonts w:asciiTheme="minorHAnsi" w:hAnsiTheme="minorHAnsi"/>
        </w:rPr>
      </w:pPr>
      <w:r w:rsidRPr="006E3C4B">
        <w:rPr>
          <w:rFonts w:asciiTheme="minorHAnsi" w:hAnsiTheme="minorHAnsi"/>
        </w:rPr>
        <w:t xml:space="preserve">Planning and responding to deliverability and affordability of critical transport infrastructure projects and future major events </w:t>
      </w:r>
    </w:p>
    <w:p w14:paraId="2B1C7615" w14:textId="77777777" w:rsidR="006E3C4B" w:rsidRPr="006E3C4B" w:rsidRDefault="006E3C4B" w:rsidP="006E3C4B">
      <w:pPr>
        <w:pStyle w:val="BodyText"/>
        <w:rPr>
          <w:rFonts w:asciiTheme="minorHAnsi" w:hAnsiTheme="minorHAnsi"/>
          <w:b/>
          <w:bCs/>
        </w:rPr>
      </w:pPr>
      <w:r w:rsidRPr="006E3C4B">
        <w:rPr>
          <w:rFonts w:asciiTheme="minorHAnsi" w:hAnsiTheme="minorHAnsi"/>
          <w:b/>
          <w:bCs/>
        </w:rPr>
        <w:t xml:space="preserve">Our opportunities: </w:t>
      </w:r>
    </w:p>
    <w:p w14:paraId="7DEAC0D8" w14:textId="77777777" w:rsidR="006E3C4B" w:rsidRPr="006E3C4B" w:rsidRDefault="006E3C4B" w:rsidP="006E3C4B">
      <w:pPr>
        <w:pStyle w:val="BodyText"/>
        <w:numPr>
          <w:ilvl w:val="0"/>
          <w:numId w:val="31"/>
        </w:numPr>
        <w:rPr>
          <w:rFonts w:asciiTheme="minorHAnsi" w:hAnsiTheme="minorHAnsi"/>
        </w:rPr>
      </w:pPr>
      <w:r w:rsidRPr="006E3C4B">
        <w:rPr>
          <w:rFonts w:asciiTheme="minorHAnsi" w:hAnsiTheme="minorHAnsi"/>
        </w:rPr>
        <w:t xml:space="preserve">Maximising the value from data to improve planning and operational efficiency </w:t>
      </w:r>
    </w:p>
    <w:p w14:paraId="31F507AB" w14:textId="77777777" w:rsidR="006E3C4B" w:rsidRPr="006E3C4B" w:rsidRDefault="006E3C4B" w:rsidP="006E3C4B">
      <w:pPr>
        <w:pStyle w:val="BodyText"/>
        <w:numPr>
          <w:ilvl w:val="0"/>
          <w:numId w:val="31"/>
        </w:numPr>
        <w:rPr>
          <w:rFonts w:asciiTheme="minorHAnsi" w:hAnsiTheme="minorHAnsi"/>
        </w:rPr>
      </w:pPr>
      <w:r w:rsidRPr="006E3C4B">
        <w:rPr>
          <w:rFonts w:asciiTheme="minorHAnsi" w:hAnsiTheme="minorHAnsi"/>
        </w:rPr>
        <w:t>Optimising our capacity and capability in multi-modal network and major event management</w:t>
      </w:r>
    </w:p>
    <w:p w14:paraId="4C6B0429" w14:textId="77777777" w:rsidR="006E3C4B" w:rsidRPr="00923408" w:rsidRDefault="006E3C4B" w:rsidP="006C4507">
      <w:pPr>
        <w:pStyle w:val="BodyText"/>
        <w:rPr>
          <w:rFonts w:asciiTheme="minorHAnsi" w:hAnsiTheme="minorHAnsi"/>
        </w:rPr>
      </w:pPr>
    </w:p>
    <w:sectPr w:rsidR="006E3C4B" w:rsidRPr="00923408" w:rsidSect="006E3C4B">
      <w:headerReference w:type="first" r:id="rId8"/>
      <w:pgSz w:w="11906" w:h="16838"/>
      <w:pgMar w:top="680" w:right="720" w:bottom="68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F5BBA" w14:textId="77777777" w:rsidR="00673CE6" w:rsidRDefault="00673CE6" w:rsidP="006C4507">
      <w:r>
        <w:separator/>
      </w:r>
    </w:p>
  </w:endnote>
  <w:endnote w:type="continuationSeparator" w:id="0">
    <w:p w14:paraId="1B335F34" w14:textId="77777777" w:rsidR="00673CE6" w:rsidRDefault="00673CE6" w:rsidP="006C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556F" w14:textId="77777777" w:rsidR="00673CE6" w:rsidRDefault="00673CE6" w:rsidP="006C4507">
      <w:r>
        <w:separator/>
      </w:r>
    </w:p>
  </w:footnote>
  <w:footnote w:type="continuationSeparator" w:id="0">
    <w:p w14:paraId="08A68FD6" w14:textId="77777777" w:rsidR="00673CE6" w:rsidRDefault="00673CE6" w:rsidP="006C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FD85" w14:textId="6F3AD74A" w:rsidR="005D1812" w:rsidRDefault="005D1812">
    <w:pPr>
      <w:pStyle w:val="Header"/>
    </w:pPr>
    <w:r>
      <w:rPr>
        <w:noProof/>
      </w:rPr>
      <w:drawing>
        <wp:anchor distT="0" distB="0" distL="114300" distR="114300" simplePos="0" relativeHeight="251659264" behindDoc="1" locked="1" layoutInCell="1" allowOverlap="1" wp14:anchorId="3F622D37" wp14:editId="35CD747C">
          <wp:simplePos x="0" y="0"/>
          <wp:positionH relativeFrom="page">
            <wp:align>right</wp:align>
          </wp:positionH>
          <wp:positionV relativeFrom="margin">
            <wp:posOffset>-420370</wp:posOffset>
          </wp:positionV>
          <wp:extent cx="7558405" cy="1104900"/>
          <wp:effectExtent l="0" t="0" r="4445" b="0"/>
          <wp:wrapNone/>
          <wp:docPr id="1469118309" name="Picture 1469118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89661"/>
                  <a:stretch/>
                </pic:blipFill>
                <pic:spPr bwMode="auto">
                  <a:xfrm>
                    <a:off x="0" y="0"/>
                    <a:ext cx="755840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6CD2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1DC2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477B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56951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308C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E"/>
    <w:multiLevelType w:val="singleLevel"/>
    <w:tmpl w:val="66D206A4"/>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CC4E826C"/>
    <w:lvl w:ilvl="0">
      <w:start w:val="1"/>
      <w:numFmt w:val="decimal"/>
      <w:lvlText w:val="%1."/>
      <w:lvlJc w:val="left"/>
      <w:pPr>
        <w:tabs>
          <w:tab w:val="num" w:pos="643"/>
        </w:tabs>
        <w:ind w:left="643" w:hanging="360"/>
      </w:pPr>
    </w:lvl>
  </w:abstractNum>
  <w:abstractNum w:abstractNumId="7" w15:restartNumberingAfterBreak="0">
    <w:nsid w:val="FFFFFF82"/>
    <w:multiLevelType w:val="singleLevel"/>
    <w:tmpl w:val="192E65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56DF2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C8884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73EFC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3195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85274F7"/>
    <w:multiLevelType w:val="hybridMultilevel"/>
    <w:tmpl w:val="AEC2D30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B2B17F1"/>
    <w:multiLevelType w:val="hybridMultilevel"/>
    <w:tmpl w:val="6A6E8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EF660E"/>
    <w:multiLevelType w:val="hybridMultilevel"/>
    <w:tmpl w:val="F08E1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0474F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A3DD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135B5D"/>
    <w:multiLevelType w:val="multilevel"/>
    <w:tmpl w:val="E9D6675A"/>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8" w15:restartNumberingAfterBreak="0">
    <w:nsid w:val="2DD9141B"/>
    <w:multiLevelType w:val="hybridMultilevel"/>
    <w:tmpl w:val="FF8E7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131624"/>
    <w:multiLevelType w:val="hybridMultilevel"/>
    <w:tmpl w:val="144CE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63F5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3D515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931A90"/>
    <w:multiLevelType w:val="hybridMultilevel"/>
    <w:tmpl w:val="5950C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E550F2"/>
    <w:multiLevelType w:val="hybridMultilevel"/>
    <w:tmpl w:val="A8FE86A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0E472D"/>
    <w:multiLevelType w:val="hybridMultilevel"/>
    <w:tmpl w:val="835A9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2B296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9C9BF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CDA3C9B"/>
    <w:multiLevelType w:val="singleLevel"/>
    <w:tmpl w:val="C9CC4452"/>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28" w15:restartNumberingAfterBreak="0">
    <w:nsid w:val="6F5601D9"/>
    <w:multiLevelType w:val="singleLevel"/>
    <w:tmpl w:val="5E22B866"/>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29" w15:restartNumberingAfterBreak="0">
    <w:nsid w:val="77FB329F"/>
    <w:multiLevelType w:val="singleLevel"/>
    <w:tmpl w:val="56B6F3C4"/>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30" w15:restartNumberingAfterBreak="0">
    <w:nsid w:val="7D5BD2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642198">
    <w:abstractNumId w:val="9"/>
  </w:num>
  <w:num w:numId="2" w16cid:durableId="1670719804">
    <w:abstractNumId w:val="17"/>
  </w:num>
  <w:num w:numId="3" w16cid:durableId="1094939600">
    <w:abstractNumId w:val="6"/>
  </w:num>
  <w:num w:numId="4" w16cid:durableId="738939816">
    <w:abstractNumId w:val="5"/>
  </w:num>
  <w:num w:numId="5" w16cid:durableId="876504079">
    <w:abstractNumId w:val="10"/>
  </w:num>
  <w:num w:numId="6" w16cid:durableId="1353219579">
    <w:abstractNumId w:val="29"/>
  </w:num>
  <w:num w:numId="7" w16cid:durableId="390539805">
    <w:abstractNumId w:val="8"/>
  </w:num>
  <w:num w:numId="8" w16cid:durableId="635374543">
    <w:abstractNumId w:val="28"/>
  </w:num>
  <w:num w:numId="9" w16cid:durableId="785077941">
    <w:abstractNumId w:val="7"/>
  </w:num>
  <w:num w:numId="10" w16cid:durableId="1516578240">
    <w:abstractNumId w:val="27"/>
  </w:num>
  <w:num w:numId="11" w16cid:durableId="186332266">
    <w:abstractNumId w:val="16"/>
  </w:num>
  <w:num w:numId="12" w16cid:durableId="1983844413">
    <w:abstractNumId w:val="21"/>
  </w:num>
  <w:num w:numId="13" w16cid:durableId="588849859">
    <w:abstractNumId w:val="25"/>
  </w:num>
  <w:num w:numId="14" w16cid:durableId="1270241512">
    <w:abstractNumId w:val="23"/>
  </w:num>
  <w:num w:numId="15" w16cid:durableId="322852005">
    <w:abstractNumId w:val="11"/>
  </w:num>
  <w:num w:numId="16" w16cid:durableId="91752320">
    <w:abstractNumId w:val="26"/>
  </w:num>
  <w:num w:numId="17" w16cid:durableId="1577401622">
    <w:abstractNumId w:val="4"/>
  </w:num>
  <w:num w:numId="18" w16cid:durableId="971138124">
    <w:abstractNumId w:val="15"/>
  </w:num>
  <w:num w:numId="19" w16cid:durableId="1895776033">
    <w:abstractNumId w:val="20"/>
  </w:num>
  <w:num w:numId="20" w16cid:durableId="548802379">
    <w:abstractNumId w:val="0"/>
  </w:num>
  <w:num w:numId="21" w16cid:durableId="1955476478">
    <w:abstractNumId w:val="1"/>
  </w:num>
  <w:num w:numId="22" w16cid:durableId="1719278577">
    <w:abstractNumId w:val="3"/>
  </w:num>
  <w:num w:numId="23" w16cid:durableId="14617147">
    <w:abstractNumId w:val="18"/>
  </w:num>
  <w:num w:numId="24" w16cid:durableId="3871012">
    <w:abstractNumId w:val="12"/>
  </w:num>
  <w:num w:numId="25" w16cid:durableId="2118868281">
    <w:abstractNumId w:val="14"/>
  </w:num>
  <w:num w:numId="26" w16cid:durableId="1219634086">
    <w:abstractNumId w:val="24"/>
  </w:num>
  <w:num w:numId="27" w16cid:durableId="505748892">
    <w:abstractNumId w:val="19"/>
  </w:num>
  <w:num w:numId="28" w16cid:durableId="2021811272">
    <w:abstractNumId w:val="30"/>
  </w:num>
  <w:num w:numId="29" w16cid:durableId="1551845442">
    <w:abstractNumId w:val="2"/>
  </w:num>
  <w:num w:numId="30" w16cid:durableId="1286614799">
    <w:abstractNumId w:val="13"/>
  </w:num>
  <w:num w:numId="31" w16cid:durableId="16577557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08"/>
    <w:rsid w:val="000B2146"/>
    <w:rsid w:val="00130987"/>
    <w:rsid w:val="001419BC"/>
    <w:rsid w:val="00247E15"/>
    <w:rsid w:val="003013EF"/>
    <w:rsid w:val="003533FE"/>
    <w:rsid w:val="004D5929"/>
    <w:rsid w:val="005D1812"/>
    <w:rsid w:val="005D3AA4"/>
    <w:rsid w:val="0064367E"/>
    <w:rsid w:val="00673CE6"/>
    <w:rsid w:val="006C4507"/>
    <w:rsid w:val="006E3C4B"/>
    <w:rsid w:val="007B6814"/>
    <w:rsid w:val="007C5AE6"/>
    <w:rsid w:val="007D3E79"/>
    <w:rsid w:val="00846B12"/>
    <w:rsid w:val="00854230"/>
    <w:rsid w:val="00923408"/>
    <w:rsid w:val="009A44E7"/>
    <w:rsid w:val="00A0607B"/>
    <w:rsid w:val="00A6705E"/>
    <w:rsid w:val="00AE2B0E"/>
    <w:rsid w:val="00B55A2E"/>
    <w:rsid w:val="00C50860"/>
    <w:rsid w:val="00DE35C4"/>
    <w:rsid w:val="00ED385D"/>
    <w:rsid w:val="00F30E8A"/>
    <w:rsid w:val="00FA57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8B6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46"/>
    <w:pPr>
      <w:spacing w:after="0" w:line="240" w:lineRule="auto"/>
    </w:pPr>
    <w:rPr>
      <w:rFonts w:ascii="Arial" w:hAnsi="Arial" w:cs="Arial"/>
    </w:rPr>
  </w:style>
  <w:style w:type="paragraph" w:styleId="Heading1">
    <w:name w:val="heading 1"/>
    <w:basedOn w:val="Normal"/>
    <w:next w:val="Normal"/>
    <w:link w:val="Heading1Char"/>
    <w:uiPriority w:val="9"/>
    <w:qFormat/>
    <w:rsid w:val="00923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4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4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34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34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34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34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34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B2146"/>
    <w:pPr>
      <w:spacing w:after="120" w:line="300" w:lineRule="atLeast"/>
    </w:pPr>
  </w:style>
  <w:style w:type="character" w:customStyle="1" w:styleId="BodyTextChar">
    <w:name w:val="Body Text Char"/>
    <w:basedOn w:val="DefaultParagraphFont"/>
    <w:link w:val="BodyText"/>
    <w:uiPriority w:val="99"/>
    <w:rsid w:val="000B2146"/>
    <w:rPr>
      <w:rFonts w:ascii="Arial" w:hAnsi="Arial" w:cs="Arial"/>
    </w:rPr>
  </w:style>
  <w:style w:type="paragraph" w:styleId="Footer">
    <w:name w:val="footer"/>
    <w:basedOn w:val="BodyText"/>
    <w:link w:val="FooterChar"/>
    <w:uiPriority w:val="99"/>
    <w:unhideWhenUsed/>
    <w:rsid w:val="000B2146"/>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rsid w:val="000B2146"/>
    <w:rPr>
      <w:rFonts w:ascii="Arial" w:hAnsi="Arial" w:cs="Arial"/>
      <w:sz w:val="15"/>
    </w:rPr>
  </w:style>
  <w:style w:type="paragraph" w:styleId="Header">
    <w:name w:val="header"/>
    <w:basedOn w:val="BodyText"/>
    <w:link w:val="HeaderChar"/>
    <w:uiPriority w:val="99"/>
    <w:unhideWhenUsed/>
    <w:rsid w:val="000B2146"/>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99"/>
    <w:rsid w:val="000B2146"/>
    <w:rPr>
      <w:rFonts w:ascii="Arial" w:hAnsi="Arial" w:cs="Arial"/>
      <w:sz w:val="15"/>
    </w:rPr>
  </w:style>
  <w:style w:type="paragraph" w:customStyle="1" w:styleId="Header2">
    <w:name w:val="Header 2"/>
    <w:basedOn w:val="Header"/>
    <w:link w:val="Header2Char"/>
    <w:rsid w:val="000B2146"/>
    <w:pPr>
      <w:pBdr>
        <w:bottom w:val="single" w:sz="4" w:space="4" w:color="auto"/>
      </w:pBdr>
    </w:pPr>
  </w:style>
  <w:style w:type="character" w:customStyle="1" w:styleId="Header2Char">
    <w:name w:val="Header 2 Char"/>
    <w:basedOn w:val="DefaultParagraphFont"/>
    <w:link w:val="Header2"/>
    <w:rsid w:val="000B2146"/>
    <w:rPr>
      <w:rFonts w:ascii="Arial" w:hAnsi="Arial" w:cs="Arial"/>
      <w:sz w:val="15"/>
    </w:rPr>
  </w:style>
  <w:style w:type="paragraph" w:customStyle="1" w:styleId="Footer2">
    <w:name w:val="Footer 2"/>
    <w:basedOn w:val="Footer"/>
    <w:link w:val="Footer2Char"/>
    <w:rsid w:val="000B2146"/>
    <w:pPr>
      <w:pBdr>
        <w:top w:val="single" w:sz="4" w:space="4" w:color="auto"/>
      </w:pBdr>
    </w:pPr>
  </w:style>
  <w:style w:type="character" w:customStyle="1" w:styleId="Footer2Char">
    <w:name w:val="Footer 2 Char"/>
    <w:basedOn w:val="DefaultParagraphFont"/>
    <w:link w:val="Footer2"/>
    <w:rsid w:val="000B2146"/>
    <w:rPr>
      <w:rFonts w:ascii="Arial" w:hAnsi="Arial" w:cs="Arial"/>
      <w:sz w:val="15"/>
    </w:rPr>
  </w:style>
  <w:style w:type="paragraph" w:styleId="ListNumber">
    <w:name w:val="List Number"/>
    <w:basedOn w:val="BodyText"/>
    <w:uiPriority w:val="99"/>
    <w:semiHidden/>
    <w:unhideWhenUsed/>
    <w:rsid w:val="000B2146"/>
    <w:pPr>
      <w:numPr>
        <w:numId w:val="2"/>
      </w:numPr>
      <w:contextualSpacing/>
    </w:pPr>
  </w:style>
  <w:style w:type="paragraph" w:styleId="ListNumber2">
    <w:name w:val="List Number 2"/>
    <w:basedOn w:val="BodyText"/>
    <w:uiPriority w:val="99"/>
    <w:semiHidden/>
    <w:unhideWhenUsed/>
    <w:rsid w:val="000B2146"/>
    <w:pPr>
      <w:numPr>
        <w:ilvl w:val="1"/>
        <w:numId w:val="2"/>
      </w:numPr>
      <w:contextualSpacing/>
    </w:pPr>
  </w:style>
  <w:style w:type="paragraph" w:styleId="ListNumber3">
    <w:name w:val="List Number 3"/>
    <w:basedOn w:val="BodyText"/>
    <w:uiPriority w:val="99"/>
    <w:semiHidden/>
    <w:unhideWhenUsed/>
    <w:rsid w:val="000B2146"/>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0B2146"/>
    <w:pPr>
      <w:numPr>
        <w:numId w:val="6"/>
      </w:numPr>
      <w:contextualSpacing/>
    </w:pPr>
  </w:style>
  <w:style w:type="paragraph" w:styleId="ListBullet2">
    <w:name w:val="List Bullet 2"/>
    <w:basedOn w:val="BodyText"/>
    <w:uiPriority w:val="99"/>
    <w:semiHidden/>
    <w:unhideWhenUsed/>
    <w:rsid w:val="000B2146"/>
    <w:pPr>
      <w:numPr>
        <w:numId w:val="8"/>
      </w:numPr>
      <w:contextualSpacing/>
    </w:pPr>
  </w:style>
  <w:style w:type="paragraph" w:styleId="ListBullet3">
    <w:name w:val="List Bullet 3"/>
    <w:basedOn w:val="BodyText"/>
    <w:uiPriority w:val="99"/>
    <w:semiHidden/>
    <w:unhideWhenUsed/>
    <w:rsid w:val="000B2146"/>
    <w:pPr>
      <w:numPr>
        <w:numId w:val="10"/>
      </w:numPr>
      <w:contextualSpacing/>
    </w:pPr>
  </w:style>
  <w:style w:type="paragraph" w:styleId="EnvelopeAddress">
    <w:name w:val="envelope address"/>
    <w:basedOn w:val="BodyText"/>
    <w:uiPriority w:val="99"/>
    <w:semiHidden/>
    <w:unhideWhenUsed/>
    <w:rsid w:val="000B2146"/>
    <w:pPr>
      <w:framePr w:w="7920" w:h="1980" w:hRule="exact" w:hSpace="180" w:wrap="auto" w:hAnchor="page" w:xAlign="center" w:yAlign="bottom"/>
      <w:spacing w:after="0"/>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923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408"/>
    <w:rPr>
      <w:rFonts w:eastAsiaTheme="majorEastAsia" w:cstheme="majorBidi"/>
      <w:color w:val="272727" w:themeColor="text1" w:themeTint="D8"/>
    </w:rPr>
  </w:style>
  <w:style w:type="paragraph" w:styleId="Title">
    <w:name w:val="Title"/>
    <w:basedOn w:val="Normal"/>
    <w:next w:val="Normal"/>
    <w:link w:val="TitleChar"/>
    <w:uiPriority w:val="10"/>
    <w:qFormat/>
    <w:rsid w:val="009234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4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4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3408"/>
    <w:rPr>
      <w:rFonts w:ascii="Arial" w:hAnsi="Arial" w:cs="Arial"/>
      <w:i/>
      <w:iCs/>
      <w:color w:val="404040" w:themeColor="text1" w:themeTint="BF"/>
    </w:rPr>
  </w:style>
  <w:style w:type="paragraph" w:styleId="ListParagraph">
    <w:name w:val="List Paragraph"/>
    <w:basedOn w:val="Normal"/>
    <w:uiPriority w:val="34"/>
    <w:qFormat/>
    <w:rsid w:val="00923408"/>
    <w:pPr>
      <w:ind w:left="720"/>
      <w:contextualSpacing/>
    </w:pPr>
  </w:style>
  <w:style w:type="character" w:styleId="IntenseEmphasis">
    <w:name w:val="Intense Emphasis"/>
    <w:basedOn w:val="DefaultParagraphFont"/>
    <w:uiPriority w:val="21"/>
    <w:qFormat/>
    <w:rsid w:val="00923408"/>
    <w:rPr>
      <w:i/>
      <w:iCs/>
      <w:color w:val="0F4761" w:themeColor="accent1" w:themeShade="BF"/>
    </w:rPr>
  </w:style>
  <w:style w:type="paragraph" w:styleId="IntenseQuote">
    <w:name w:val="Intense Quote"/>
    <w:basedOn w:val="Normal"/>
    <w:next w:val="Normal"/>
    <w:link w:val="IntenseQuoteChar"/>
    <w:uiPriority w:val="30"/>
    <w:qFormat/>
    <w:rsid w:val="00923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408"/>
    <w:rPr>
      <w:rFonts w:ascii="Arial" w:hAnsi="Arial" w:cs="Arial"/>
      <w:i/>
      <w:iCs/>
      <w:color w:val="0F4761" w:themeColor="accent1" w:themeShade="BF"/>
    </w:rPr>
  </w:style>
  <w:style w:type="character" w:styleId="IntenseReference">
    <w:name w:val="Intense Reference"/>
    <w:basedOn w:val="DefaultParagraphFont"/>
    <w:uiPriority w:val="32"/>
    <w:qFormat/>
    <w:rsid w:val="009234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38369">
      <w:bodyDiv w:val="1"/>
      <w:marLeft w:val="0"/>
      <w:marRight w:val="0"/>
      <w:marTop w:val="0"/>
      <w:marBottom w:val="0"/>
      <w:divBdr>
        <w:top w:val="none" w:sz="0" w:space="0" w:color="auto"/>
        <w:left w:val="none" w:sz="0" w:space="0" w:color="auto"/>
        <w:bottom w:val="none" w:sz="0" w:space="0" w:color="auto"/>
        <w:right w:val="none" w:sz="0" w:space="0" w:color="auto"/>
      </w:divBdr>
    </w:div>
    <w:div w:id="18915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2025-06-30T23:35:00Z</dcterms:created>
  <dcterms:modified xsi:type="dcterms:W3CDTF">2025-06-30T23:35:00Z</dcterms:modified>
</cp:coreProperties>
</file>