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ajorBidi"/>
          <w:b/>
          <w:noProof/>
          <w:color w:val="003E69"/>
          <w:sz w:val="60"/>
          <w:szCs w:val="36"/>
        </w:rPr>
        <w:id w:val="-687294079"/>
        <w:docPartObj>
          <w:docPartGallery w:val="Cover Pages"/>
          <w:docPartUnique/>
        </w:docPartObj>
      </w:sdtPr>
      <w:sdtContent>
        <w:p w14:paraId="56D4E754" w14:textId="77777777" w:rsidR="00B067C4" w:rsidRDefault="00B067C4">
          <w:pPr>
            <w:spacing w:after="160" w:line="259" w:lineRule="auto"/>
            <w:rPr>
              <w:rFonts w:eastAsiaTheme="majorEastAsia" w:cstheme="majorBidi"/>
              <w:b/>
              <w:noProof/>
              <w:color w:val="003E69"/>
              <w:sz w:val="60"/>
              <w:szCs w:val="36"/>
            </w:rPr>
          </w:pPr>
        </w:p>
        <w:p w14:paraId="40BB7535" w14:textId="77777777" w:rsidR="00B067C4" w:rsidRDefault="00B067C4" w:rsidP="00B067C4">
          <w:pPr>
            <w:pStyle w:val="Heading1"/>
          </w:pPr>
        </w:p>
        <w:p w14:paraId="728C371C" w14:textId="5BA7C8A8" w:rsidR="00B067C4" w:rsidRDefault="00B067C4" w:rsidP="00B067C4">
          <w:pPr>
            <w:pStyle w:val="Heading1"/>
          </w:pPr>
          <w:r w:rsidRPr="00751B16">
            <w:t>Gifts and Benefits Register – Gifts</w:t>
          </w:r>
          <w:r>
            <w:t xml:space="preserve"> Given </w:t>
          </w:r>
          <w:r w:rsidR="009A7C65">
            <w:t>June</w:t>
          </w:r>
          <w:r w:rsidR="00C816E8">
            <w:t xml:space="preserve"> Quarter 202</w:t>
          </w:r>
          <w:r w:rsidR="00131131">
            <w:t>5</w:t>
          </w:r>
        </w:p>
        <w:p w14:paraId="082B2A9B" w14:textId="77777777" w:rsidR="00B067C4" w:rsidRDefault="00B067C4" w:rsidP="00B067C4">
          <w:pPr>
            <w:ind w:firstLine="720"/>
          </w:pPr>
        </w:p>
        <w:tbl>
          <w:tblPr>
            <w:tblStyle w:val="TableGrid1"/>
            <w:tblW w:w="5000" w:type="pct"/>
            <w:tblLook w:val="04A0" w:firstRow="1" w:lastRow="0" w:firstColumn="1" w:lastColumn="0" w:noHBand="0" w:noVBand="1"/>
          </w:tblPr>
          <w:tblGrid>
            <w:gridCol w:w="2334"/>
            <w:gridCol w:w="1905"/>
            <w:gridCol w:w="2089"/>
            <w:gridCol w:w="4218"/>
            <w:gridCol w:w="7780"/>
            <w:gridCol w:w="2072"/>
          </w:tblGrid>
          <w:tr w:rsidR="00B067C4" w:rsidRPr="004D64E3" w14:paraId="16152F79" w14:textId="77777777" w:rsidTr="009A7C65">
            <w:trPr>
              <w:trHeight w:val="1037"/>
              <w:tblHeader/>
            </w:trPr>
            <w:tc>
              <w:tcPr>
                <w:tcW w:w="572" w:type="pct"/>
                <w:shd w:val="clear" w:color="auto" w:fill="003C69"/>
                <w:noWrap/>
                <w:vAlign w:val="center"/>
                <w:hideMark/>
              </w:tcPr>
              <w:p w14:paraId="7B0E327A" w14:textId="77777777" w:rsidR="00B067C4" w:rsidRPr="00B067C4" w:rsidRDefault="00B067C4" w:rsidP="00B067C4">
                <w:r w:rsidRPr="00B067C4">
                  <w:t>Date Gift Given</w:t>
                </w:r>
              </w:p>
            </w:tc>
            <w:tc>
              <w:tcPr>
                <w:tcW w:w="467" w:type="pct"/>
                <w:shd w:val="clear" w:color="auto" w:fill="003C69"/>
                <w:vAlign w:val="center"/>
                <w:hideMark/>
              </w:tcPr>
              <w:p w14:paraId="6AB37F09" w14:textId="77777777" w:rsidR="00B067C4" w:rsidRPr="00B067C4" w:rsidRDefault="00B067C4" w:rsidP="00B067C4">
                <w:r w:rsidRPr="00B067C4">
                  <w:t>Donated to</w:t>
                </w:r>
              </w:p>
            </w:tc>
            <w:tc>
              <w:tcPr>
                <w:tcW w:w="512" w:type="pct"/>
                <w:shd w:val="clear" w:color="auto" w:fill="003C69"/>
                <w:noWrap/>
                <w:vAlign w:val="center"/>
                <w:hideMark/>
              </w:tcPr>
              <w:p w14:paraId="031D5AE8" w14:textId="77777777" w:rsidR="00B067C4" w:rsidRPr="00B067C4" w:rsidRDefault="00B067C4" w:rsidP="00B067C4">
                <w:r w:rsidRPr="00B067C4">
                  <w:t>Market Value</w:t>
                </w:r>
              </w:p>
            </w:tc>
            <w:tc>
              <w:tcPr>
                <w:tcW w:w="1034" w:type="pct"/>
                <w:shd w:val="clear" w:color="auto" w:fill="003C69"/>
                <w:noWrap/>
                <w:vAlign w:val="center"/>
                <w:hideMark/>
              </w:tcPr>
              <w:p w14:paraId="18353992" w14:textId="77777777" w:rsidR="00B067C4" w:rsidRPr="00B067C4" w:rsidRDefault="00B067C4" w:rsidP="00B067C4">
                <w:r w:rsidRPr="00B067C4">
                  <w:t>Description of gift or benefit</w:t>
                </w:r>
              </w:p>
            </w:tc>
            <w:tc>
              <w:tcPr>
                <w:tcW w:w="1907" w:type="pct"/>
                <w:shd w:val="clear" w:color="auto" w:fill="003C69"/>
                <w:vAlign w:val="center"/>
              </w:tcPr>
              <w:p w14:paraId="4CEE4DDD" w14:textId="77777777" w:rsidR="00B067C4" w:rsidRPr="00B067C4" w:rsidRDefault="00B067C4" w:rsidP="00B067C4">
                <w:r w:rsidRPr="00B067C4">
                  <w:t>Reason for gifting (what is the benefit to Queensland)</w:t>
                </w:r>
              </w:p>
            </w:tc>
            <w:tc>
              <w:tcPr>
                <w:tcW w:w="508" w:type="pct"/>
                <w:shd w:val="clear" w:color="auto" w:fill="003C69"/>
                <w:vAlign w:val="center"/>
                <w:hideMark/>
              </w:tcPr>
              <w:p w14:paraId="6D2DEE20" w14:textId="77777777" w:rsidR="00B067C4" w:rsidRPr="00B067C4" w:rsidRDefault="00B067C4" w:rsidP="00B067C4">
                <w:r w:rsidRPr="00B067C4">
                  <w:t>Approved by</w:t>
                </w:r>
              </w:p>
            </w:tc>
          </w:tr>
          <w:tr w:rsidR="009A7C65" w:rsidRPr="009A7C65" w14:paraId="3F8DFC56" w14:textId="77777777" w:rsidTr="009A7C65">
            <w:trPr>
              <w:trHeight w:val="570"/>
            </w:trPr>
            <w:tc>
              <w:tcPr>
                <w:tcW w:w="572" w:type="pct"/>
                <w:vAlign w:val="center"/>
                <w:hideMark/>
              </w:tcPr>
              <w:p w14:paraId="2CB17913" w14:textId="77777777" w:rsidR="009A7C65" w:rsidRPr="009A7C65" w:rsidRDefault="009A7C65" w:rsidP="009A7C65">
                <w:pPr>
                  <w:spacing w:line="240" w:lineRule="auto"/>
                  <w:rPr>
                    <w:rFonts w:cs="Arial"/>
                    <w:color w:val="000000"/>
                    <w:sz w:val="22"/>
                  </w:rPr>
                </w:pPr>
                <w:r w:rsidRPr="009A7C65">
                  <w:rPr>
                    <w:rFonts w:cs="Arial"/>
                    <w:color w:val="000000"/>
                    <w:sz w:val="22"/>
                  </w:rPr>
                  <w:t>12/04/2025</w:t>
                </w:r>
              </w:p>
            </w:tc>
            <w:tc>
              <w:tcPr>
                <w:tcW w:w="467" w:type="pct"/>
                <w:vAlign w:val="center"/>
                <w:hideMark/>
              </w:tcPr>
              <w:p w14:paraId="2F7EA5CB" w14:textId="77777777" w:rsidR="009A7C65" w:rsidRPr="009A7C65" w:rsidRDefault="009A7C65" w:rsidP="009A7C65">
                <w:pPr>
                  <w:spacing w:line="240" w:lineRule="auto"/>
                  <w:rPr>
                    <w:rFonts w:cs="Arial"/>
                    <w:color w:val="000000"/>
                    <w:sz w:val="22"/>
                  </w:rPr>
                </w:pPr>
                <w:r w:rsidRPr="009A7C65">
                  <w:rPr>
                    <w:rFonts w:cs="Arial"/>
                    <w:color w:val="000000"/>
                    <w:sz w:val="22"/>
                  </w:rPr>
                  <w:t>Allan Humphrey</w:t>
                </w:r>
              </w:p>
            </w:tc>
            <w:tc>
              <w:tcPr>
                <w:tcW w:w="512" w:type="pct"/>
                <w:vAlign w:val="center"/>
                <w:hideMark/>
              </w:tcPr>
              <w:p w14:paraId="28AB390F" w14:textId="77777777" w:rsidR="009A7C65" w:rsidRPr="009A7C65" w:rsidRDefault="009A7C65" w:rsidP="009A7C65">
                <w:pPr>
                  <w:spacing w:line="240" w:lineRule="auto"/>
                  <w:rPr>
                    <w:rFonts w:cs="Arial"/>
                    <w:color w:val="000000"/>
                    <w:sz w:val="22"/>
                  </w:rPr>
                </w:pPr>
                <w:r w:rsidRPr="009A7C65">
                  <w:rPr>
                    <w:rFonts w:cs="Arial"/>
                    <w:color w:val="000000"/>
                    <w:sz w:val="22"/>
                  </w:rPr>
                  <w:t>$1,000.00</w:t>
                </w:r>
              </w:p>
            </w:tc>
            <w:tc>
              <w:tcPr>
                <w:tcW w:w="1034" w:type="pct"/>
                <w:vAlign w:val="center"/>
                <w:hideMark/>
              </w:tcPr>
              <w:p w14:paraId="4BB8C5E5" w14:textId="77777777" w:rsidR="009A7C65" w:rsidRPr="009A7C65" w:rsidRDefault="009A7C65" w:rsidP="009A7C65">
                <w:pPr>
                  <w:spacing w:line="240" w:lineRule="auto"/>
                  <w:rPr>
                    <w:rFonts w:cs="Arial"/>
                    <w:color w:val="000000"/>
                    <w:sz w:val="22"/>
                  </w:rPr>
                </w:pPr>
                <w:r w:rsidRPr="009A7C65">
                  <w:rPr>
                    <w:rFonts w:cs="Arial"/>
                    <w:color w:val="000000"/>
                    <w:sz w:val="22"/>
                  </w:rPr>
                  <w:t>$1,000 gift card</w:t>
                </w:r>
              </w:p>
            </w:tc>
            <w:tc>
              <w:tcPr>
                <w:tcW w:w="1907" w:type="pct"/>
                <w:vAlign w:val="center"/>
                <w:hideMark/>
              </w:tcPr>
              <w:p w14:paraId="0A8CCD0B" w14:textId="64ECECA6" w:rsidR="009A7C65" w:rsidRPr="009A7C65" w:rsidRDefault="009A7C65" w:rsidP="0077569D">
                <w:pPr>
                  <w:spacing w:before="120" w:after="120" w:line="240" w:lineRule="auto"/>
                  <w:rPr>
                    <w:rFonts w:cs="Arial"/>
                    <w:color w:val="000000"/>
                    <w:sz w:val="22"/>
                  </w:rPr>
                </w:pPr>
                <w:r>
                  <w:rPr>
                    <w:rFonts w:cs="Arial"/>
                    <w:color w:val="000000"/>
                    <w:sz w:val="22"/>
                  </w:rPr>
                  <w:t>The Queensland Bus Driver of the Year awards are part of an annual partnership between the bus industry and the Queensland State Government to recognise the important role bus drivers play. These awards build relationships with delivery partners and stakeholders; and grow Translink brand awareness. The gift cards are given to the bus driver in each of the three categories, who has received the greatest number of public votes.</w:t>
                </w:r>
              </w:p>
            </w:tc>
            <w:tc>
              <w:tcPr>
                <w:tcW w:w="508" w:type="pct"/>
                <w:vAlign w:val="center"/>
                <w:hideMark/>
              </w:tcPr>
              <w:p w14:paraId="56A2D338" w14:textId="77777777" w:rsidR="009A7C65" w:rsidRPr="009A7C65" w:rsidRDefault="009A7C65" w:rsidP="009A7C65">
                <w:pPr>
                  <w:spacing w:line="240" w:lineRule="auto"/>
                  <w:rPr>
                    <w:rFonts w:cs="Arial"/>
                    <w:color w:val="000000"/>
                    <w:sz w:val="22"/>
                  </w:rPr>
                </w:pPr>
                <w:r w:rsidRPr="009A7C65">
                  <w:rPr>
                    <w:rFonts w:cs="Arial"/>
                    <w:color w:val="000000"/>
                    <w:sz w:val="22"/>
                  </w:rPr>
                  <w:t>Deputy Director-General (Translink)</w:t>
                </w:r>
              </w:p>
            </w:tc>
          </w:tr>
          <w:tr w:rsidR="009A7C65" w:rsidRPr="009A7C65" w14:paraId="43604FBF" w14:textId="77777777" w:rsidTr="009A7C65">
            <w:trPr>
              <w:trHeight w:val="570"/>
            </w:trPr>
            <w:tc>
              <w:tcPr>
                <w:tcW w:w="572" w:type="pct"/>
                <w:vAlign w:val="center"/>
                <w:hideMark/>
              </w:tcPr>
              <w:p w14:paraId="451645C9" w14:textId="77777777" w:rsidR="009A7C65" w:rsidRPr="009A7C65" w:rsidRDefault="009A7C65" w:rsidP="009A7C65">
                <w:pPr>
                  <w:spacing w:line="240" w:lineRule="auto"/>
                  <w:rPr>
                    <w:rFonts w:cs="Arial"/>
                    <w:color w:val="000000"/>
                    <w:sz w:val="22"/>
                  </w:rPr>
                </w:pPr>
                <w:r w:rsidRPr="009A7C65">
                  <w:rPr>
                    <w:rFonts w:cs="Arial"/>
                    <w:color w:val="000000"/>
                    <w:sz w:val="22"/>
                  </w:rPr>
                  <w:t>12/04/2025</w:t>
                </w:r>
              </w:p>
            </w:tc>
            <w:tc>
              <w:tcPr>
                <w:tcW w:w="467" w:type="pct"/>
                <w:vAlign w:val="center"/>
                <w:hideMark/>
              </w:tcPr>
              <w:p w14:paraId="028001FF" w14:textId="77777777" w:rsidR="009A7C65" w:rsidRPr="009A7C65" w:rsidRDefault="009A7C65" w:rsidP="009A7C65">
                <w:pPr>
                  <w:spacing w:line="240" w:lineRule="auto"/>
                  <w:rPr>
                    <w:rFonts w:cs="Arial"/>
                    <w:color w:val="000000"/>
                    <w:sz w:val="22"/>
                  </w:rPr>
                </w:pPr>
                <w:proofErr w:type="spellStart"/>
                <w:r w:rsidRPr="009A7C65">
                  <w:rPr>
                    <w:rFonts w:cs="Arial"/>
                    <w:color w:val="000000"/>
                    <w:sz w:val="22"/>
                  </w:rPr>
                  <w:t>Isapela</w:t>
                </w:r>
                <w:proofErr w:type="spellEnd"/>
                <w:r w:rsidRPr="009A7C65">
                  <w:rPr>
                    <w:rFonts w:cs="Arial"/>
                    <w:color w:val="000000"/>
                    <w:sz w:val="22"/>
                  </w:rPr>
                  <w:t xml:space="preserve"> (Bella) </w:t>
                </w:r>
                <w:proofErr w:type="spellStart"/>
                <w:r w:rsidRPr="009A7C65">
                  <w:rPr>
                    <w:rFonts w:cs="Arial"/>
                    <w:color w:val="000000"/>
                    <w:sz w:val="22"/>
                  </w:rPr>
                  <w:t>Tuimavave</w:t>
                </w:r>
                <w:proofErr w:type="spellEnd"/>
                <w:r w:rsidRPr="009A7C65">
                  <w:rPr>
                    <w:rFonts w:cs="Arial"/>
                    <w:color w:val="000000"/>
                    <w:sz w:val="22"/>
                  </w:rPr>
                  <w:t xml:space="preserve"> </w:t>
                </w:r>
                <w:proofErr w:type="spellStart"/>
                <w:r w:rsidRPr="009A7C65">
                  <w:rPr>
                    <w:rFonts w:cs="Arial"/>
                    <w:color w:val="000000"/>
                    <w:sz w:val="22"/>
                  </w:rPr>
                  <w:t>Leaupepe</w:t>
                </w:r>
                <w:proofErr w:type="spellEnd"/>
              </w:p>
            </w:tc>
            <w:tc>
              <w:tcPr>
                <w:tcW w:w="512" w:type="pct"/>
                <w:vAlign w:val="center"/>
                <w:hideMark/>
              </w:tcPr>
              <w:p w14:paraId="03D93C2D" w14:textId="77777777" w:rsidR="009A7C65" w:rsidRPr="009A7C65" w:rsidRDefault="009A7C65" w:rsidP="009A7C65">
                <w:pPr>
                  <w:spacing w:line="240" w:lineRule="auto"/>
                  <w:rPr>
                    <w:rFonts w:cs="Arial"/>
                    <w:color w:val="000000"/>
                    <w:sz w:val="22"/>
                  </w:rPr>
                </w:pPr>
                <w:r w:rsidRPr="009A7C65">
                  <w:rPr>
                    <w:rFonts w:cs="Arial"/>
                    <w:color w:val="000000"/>
                    <w:sz w:val="22"/>
                  </w:rPr>
                  <w:t>$1,000.00</w:t>
                </w:r>
              </w:p>
            </w:tc>
            <w:tc>
              <w:tcPr>
                <w:tcW w:w="1034" w:type="pct"/>
                <w:vAlign w:val="center"/>
                <w:hideMark/>
              </w:tcPr>
              <w:p w14:paraId="3FE64817" w14:textId="77777777" w:rsidR="009A7C65" w:rsidRPr="009A7C65" w:rsidRDefault="009A7C65" w:rsidP="009A7C65">
                <w:pPr>
                  <w:spacing w:line="240" w:lineRule="auto"/>
                  <w:rPr>
                    <w:rFonts w:cs="Arial"/>
                    <w:color w:val="000000"/>
                    <w:sz w:val="22"/>
                  </w:rPr>
                </w:pPr>
                <w:r w:rsidRPr="009A7C65">
                  <w:rPr>
                    <w:rFonts w:cs="Arial"/>
                    <w:color w:val="000000"/>
                    <w:sz w:val="22"/>
                  </w:rPr>
                  <w:t>$1,000 gift card</w:t>
                </w:r>
              </w:p>
            </w:tc>
            <w:tc>
              <w:tcPr>
                <w:tcW w:w="1907" w:type="pct"/>
                <w:vAlign w:val="center"/>
                <w:hideMark/>
              </w:tcPr>
              <w:p w14:paraId="00687E9B" w14:textId="28A388EC" w:rsidR="009A7C65" w:rsidRPr="009A7C65" w:rsidRDefault="0077569D" w:rsidP="0077569D">
                <w:pPr>
                  <w:spacing w:before="120" w:after="120" w:line="240" w:lineRule="auto"/>
                  <w:rPr>
                    <w:rFonts w:cs="Arial"/>
                    <w:color w:val="000000"/>
                    <w:sz w:val="22"/>
                  </w:rPr>
                </w:pPr>
                <w:r>
                  <w:rPr>
                    <w:rFonts w:cs="Arial"/>
                    <w:color w:val="000000"/>
                    <w:sz w:val="22"/>
                  </w:rPr>
                  <w:t>The Queensland Bus Driver of the Year awards are part of an annual partnership between the bus industry and the Queensland State Government to recognise the important role bus drivers play. These awards build relationships with delivery partners and stakeholders; and grow Translink brand awareness. The gift cards are given to the bus driver in each of the three categories, who has received the greatest number of public votes.</w:t>
                </w:r>
              </w:p>
            </w:tc>
            <w:tc>
              <w:tcPr>
                <w:tcW w:w="508" w:type="pct"/>
                <w:vAlign w:val="center"/>
                <w:hideMark/>
              </w:tcPr>
              <w:p w14:paraId="43CDA5D9" w14:textId="77777777" w:rsidR="009A7C65" w:rsidRPr="009A7C65" w:rsidRDefault="009A7C65" w:rsidP="009A7C65">
                <w:pPr>
                  <w:spacing w:line="240" w:lineRule="auto"/>
                  <w:rPr>
                    <w:rFonts w:cs="Arial"/>
                    <w:color w:val="000000"/>
                    <w:sz w:val="22"/>
                  </w:rPr>
                </w:pPr>
                <w:r w:rsidRPr="009A7C65">
                  <w:rPr>
                    <w:rFonts w:cs="Arial"/>
                    <w:color w:val="000000"/>
                    <w:sz w:val="22"/>
                  </w:rPr>
                  <w:t>Deputy Director-General (Translink)</w:t>
                </w:r>
              </w:p>
            </w:tc>
          </w:tr>
          <w:tr w:rsidR="009A7C65" w:rsidRPr="009A7C65" w14:paraId="160C9519" w14:textId="77777777" w:rsidTr="009A7C65">
            <w:trPr>
              <w:trHeight w:val="570"/>
            </w:trPr>
            <w:tc>
              <w:tcPr>
                <w:tcW w:w="572" w:type="pct"/>
                <w:vAlign w:val="center"/>
                <w:hideMark/>
              </w:tcPr>
              <w:p w14:paraId="60E03969" w14:textId="77777777" w:rsidR="009A7C65" w:rsidRPr="009A7C65" w:rsidRDefault="009A7C65" w:rsidP="009A7C65">
                <w:pPr>
                  <w:spacing w:line="240" w:lineRule="auto"/>
                  <w:rPr>
                    <w:rFonts w:cs="Arial"/>
                    <w:color w:val="000000"/>
                    <w:sz w:val="22"/>
                  </w:rPr>
                </w:pPr>
                <w:r w:rsidRPr="009A7C65">
                  <w:rPr>
                    <w:rFonts w:cs="Arial"/>
                    <w:color w:val="000000"/>
                    <w:sz w:val="22"/>
                  </w:rPr>
                  <w:t>12/04/2025</w:t>
                </w:r>
              </w:p>
            </w:tc>
            <w:tc>
              <w:tcPr>
                <w:tcW w:w="467" w:type="pct"/>
                <w:vAlign w:val="center"/>
                <w:hideMark/>
              </w:tcPr>
              <w:p w14:paraId="150767FC" w14:textId="77777777" w:rsidR="009A7C65" w:rsidRPr="009A7C65" w:rsidRDefault="009A7C65" w:rsidP="009A7C65">
                <w:pPr>
                  <w:spacing w:line="240" w:lineRule="auto"/>
                  <w:rPr>
                    <w:rFonts w:cs="Arial"/>
                    <w:color w:val="000000"/>
                    <w:sz w:val="22"/>
                  </w:rPr>
                </w:pPr>
                <w:r w:rsidRPr="009A7C65">
                  <w:rPr>
                    <w:rFonts w:cs="Arial"/>
                    <w:color w:val="000000"/>
                    <w:sz w:val="22"/>
                  </w:rPr>
                  <w:t>Sam Davison</w:t>
                </w:r>
              </w:p>
            </w:tc>
            <w:tc>
              <w:tcPr>
                <w:tcW w:w="512" w:type="pct"/>
                <w:vAlign w:val="center"/>
                <w:hideMark/>
              </w:tcPr>
              <w:p w14:paraId="582CE52B" w14:textId="77777777" w:rsidR="009A7C65" w:rsidRPr="009A7C65" w:rsidRDefault="009A7C65" w:rsidP="009A7C65">
                <w:pPr>
                  <w:spacing w:line="240" w:lineRule="auto"/>
                  <w:rPr>
                    <w:rFonts w:cs="Arial"/>
                    <w:color w:val="000000"/>
                    <w:sz w:val="22"/>
                  </w:rPr>
                </w:pPr>
                <w:r w:rsidRPr="009A7C65">
                  <w:rPr>
                    <w:rFonts w:cs="Arial"/>
                    <w:color w:val="000000"/>
                    <w:sz w:val="22"/>
                  </w:rPr>
                  <w:t>$1,000.00</w:t>
                </w:r>
              </w:p>
            </w:tc>
            <w:tc>
              <w:tcPr>
                <w:tcW w:w="1034" w:type="pct"/>
                <w:vAlign w:val="center"/>
                <w:hideMark/>
              </w:tcPr>
              <w:p w14:paraId="4D608C6B" w14:textId="77777777" w:rsidR="009A7C65" w:rsidRPr="009A7C65" w:rsidRDefault="009A7C65" w:rsidP="009A7C65">
                <w:pPr>
                  <w:spacing w:line="240" w:lineRule="auto"/>
                  <w:rPr>
                    <w:rFonts w:cs="Arial"/>
                    <w:color w:val="000000"/>
                    <w:sz w:val="22"/>
                  </w:rPr>
                </w:pPr>
                <w:r w:rsidRPr="009A7C65">
                  <w:rPr>
                    <w:rFonts w:cs="Arial"/>
                    <w:color w:val="000000"/>
                    <w:sz w:val="22"/>
                  </w:rPr>
                  <w:t>$1,000 gift card</w:t>
                </w:r>
              </w:p>
            </w:tc>
            <w:tc>
              <w:tcPr>
                <w:tcW w:w="1907" w:type="pct"/>
                <w:vAlign w:val="center"/>
                <w:hideMark/>
              </w:tcPr>
              <w:p w14:paraId="0BF7D0FF" w14:textId="3CFDFA56" w:rsidR="009A7C65" w:rsidRPr="009A7C65" w:rsidRDefault="0077569D" w:rsidP="0077569D">
                <w:pPr>
                  <w:spacing w:before="120" w:after="120" w:line="240" w:lineRule="auto"/>
                  <w:rPr>
                    <w:rFonts w:cs="Arial"/>
                    <w:color w:val="000000"/>
                    <w:sz w:val="22"/>
                  </w:rPr>
                </w:pPr>
                <w:r>
                  <w:rPr>
                    <w:rFonts w:cs="Arial"/>
                    <w:color w:val="000000"/>
                    <w:sz w:val="22"/>
                  </w:rPr>
                  <w:t>The Queensland Bus Driver of the Year awards are part of an annual partnership between the bus industry and the Queensland State Government to recognise the important role bus drivers play. These awards build relationships with delivery partners and stakeholders; and grow Translink brand awareness. The gift cards are given to the bus driver in each of the three categories, who has received the greatest number of public votes.</w:t>
                </w:r>
              </w:p>
            </w:tc>
            <w:tc>
              <w:tcPr>
                <w:tcW w:w="508" w:type="pct"/>
                <w:vAlign w:val="center"/>
                <w:hideMark/>
              </w:tcPr>
              <w:p w14:paraId="3D197E3C" w14:textId="77777777" w:rsidR="009A7C65" w:rsidRPr="009A7C65" w:rsidRDefault="009A7C65" w:rsidP="009A7C65">
                <w:pPr>
                  <w:spacing w:line="240" w:lineRule="auto"/>
                  <w:rPr>
                    <w:rFonts w:cs="Arial"/>
                    <w:color w:val="000000"/>
                    <w:sz w:val="22"/>
                  </w:rPr>
                </w:pPr>
                <w:r w:rsidRPr="009A7C65">
                  <w:rPr>
                    <w:rFonts w:cs="Arial"/>
                    <w:color w:val="000000"/>
                    <w:sz w:val="22"/>
                  </w:rPr>
                  <w:t>Deputy Director-General (Translink)</w:t>
                </w:r>
              </w:p>
            </w:tc>
          </w:tr>
        </w:tbl>
        <w:p w14:paraId="14DF7823" w14:textId="77777777" w:rsidR="00B067C4" w:rsidRDefault="00B067C4" w:rsidP="00B067C4"/>
        <w:p w14:paraId="5C108B50" w14:textId="77777777" w:rsidR="00B067C4" w:rsidRDefault="00B067C4" w:rsidP="00B067C4"/>
        <w:p w14:paraId="4FF8BCEE" w14:textId="77777777" w:rsidR="00B067C4" w:rsidRDefault="00000000">
          <w:pPr>
            <w:spacing w:after="160" w:line="259" w:lineRule="auto"/>
            <w:rPr>
              <w:rFonts w:eastAsiaTheme="majorEastAsia" w:cstheme="majorBidi"/>
              <w:b/>
              <w:noProof/>
              <w:color w:val="003E69"/>
              <w:sz w:val="60"/>
              <w:szCs w:val="36"/>
            </w:rPr>
          </w:pPr>
        </w:p>
      </w:sdtContent>
    </w:sdt>
    <w:p w14:paraId="1474D0D4" w14:textId="6535FD31" w:rsidR="0084404D" w:rsidRPr="006A257D" w:rsidRDefault="0084404D" w:rsidP="00DF6D52"/>
    <w:sectPr w:rsidR="0084404D" w:rsidRPr="006A257D" w:rsidSect="00B067C4">
      <w:headerReference w:type="first" r:id="rId8"/>
      <w:pgSz w:w="23811" w:h="16838" w:orient="landscape" w:code="8"/>
      <w:pgMar w:top="1417" w:right="1843" w:bottom="1417" w:left="1560"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3294" w14:textId="77777777" w:rsidR="00A9271F" w:rsidRDefault="00A9271F" w:rsidP="00A9280E">
      <w:pPr>
        <w:spacing w:line="240" w:lineRule="auto"/>
      </w:pPr>
      <w:r>
        <w:separator/>
      </w:r>
    </w:p>
  </w:endnote>
  <w:endnote w:type="continuationSeparator" w:id="0">
    <w:p w14:paraId="3B140163" w14:textId="77777777" w:rsidR="00A9271F" w:rsidRDefault="00A9271F" w:rsidP="00A9280E">
      <w:pPr>
        <w:spacing w:line="240" w:lineRule="auto"/>
      </w:pPr>
      <w:r>
        <w:continuationSeparator/>
      </w:r>
    </w:p>
  </w:endnote>
  <w:endnote w:type="continuationNotice" w:id="1">
    <w:p w14:paraId="767AEE72" w14:textId="77777777" w:rsidR="00A9271F" w:rsidRDefault="00A927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7142" w14:textId="77777777" w:rsidR="00A9271F" w:rsidRDefault="00A9271F" w:rsidP="00A9280E">
      <w:pPr>
        <w:spacing w:line="240" w:lineRule="auto"/>
      </w:pPr>
      <w:r>
        <w:separator/>
      </w:r>
    </w:p>
  </w:footnote>
  <w:footnote w:type="continuationSeparator" w:id="0">
    <w:p w14:paraId="14269619" w14:textId="77777777" w:rsidR="00A9271F" w:rsidRDefault="00A9271F" w:rsidP="00A9280E">
      <w:pPr>
        <w:spacing w:line="240" w:lineRule="auto"/>
      </w:pPr>
      <w:r>
        <w:continuationSeparator/>
      </w:r>
    </w:p>
  </w:footnote>
  <w:footnote w:type="continuationNotice" w:id="1">
    <w:p w14:paraId="1BA0FDA6" w14:textId="77777777" w:rsidR="00A9271F" w:rsidRDefault="00A927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599A" w14:textId="77777777" w:rsidR="00B067C4" w:rsidRDefault="00B067C4">
    <w:pPr>
      <w:pStyle w:val="Header"/>
    </w:pPr>
    <w:r w:rsidRPr="00B067C4">
      <w:rPr>
        <w:rFonts w:eastAsiaTheme="majorEastAsia" w:cstheme="majorBidi"/>
        <w:b/>
        <w:noProof/>
        <w:color w:val="003E69"/>
        <w:sz w:val="60"/>
        <w:szCs w:val="36"/>
      </w:rPr>
      <w:drawing>
        <wp:anchor distT="0" distB="0" distL="114300" distR="114300" simplePos="0" relativeHeight="251658240" behindDoc="1" locked="1" layoutInCell="1" allowOverlap="1" wp14:anchorId="63148F27" wp14:editId="4EAB8D82">
          <wp:simplePos x="0" y="0"/>
          <wp:positionH relativeFrom="page">
            <wp:posOffset>7620</wp:posOffset>
          </wp:positionH>
          <wp:positionV relativeFrom="page">
            <wp:align>top</wp:align>
          </wp:positionV>
          <wp:extent cx="15119350" cy="10688955"/>
          <wp:effectExtent l="0" t="0" r="635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19870" cy="106894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5"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6"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7"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1187987916">
    <w:abstractNumId w:val="4"/>
  </w:num>
  <w:num w:numId="2" w16cid:durableId="194199031">
    <w:abstractNumId w:val="14"/>
  </w:num>
  <w:num w:numId="3" w16cid:durableId="1624770744">
    <w:abstractNumId w:val="1"/>
  </w:num>
  <w:num w:numId="4" w16cid:durableId="1988319234">
    <w:abstractNumId w:val="0"/>
  </w:num>
  <w:num w:numId="5" w16cid:durableId="788359042">
    <w:abstractNumId w:val="5"/>
  </w:num>
  <w:num w:numId="6" w16cid:durableId="669865539">
    <w:abstractNumId w:val="16"/>
  </w:num>
  <w:num w:numId="7" w16cid:durableId="1797328223">
    <w:abstractNumId w:val="3"/>
  </w:num>
  <w:num w:numId="8" w16cid:durableId="354355023">
    <w:abstractNumId w:val="17"/>
  </w:num>
  <w:num w:numId="9" w16cid:durableId="931938630">
    <w:abstractNumId w:val="2"/>
  </w:num>
  <w:num w:numId="10" w16cid:durableId="698434917">
    <w:abstractNumId w:val="15"/>
  </w:num>
  <w:num w:numId="11" w16cid:durableId="380449433">
    <w:abstractNumId w:val="11"/>
  </w:num>
  <w:num w:numId="12" w16cid:durableId="1413114323">
    <w:abstractNumId w:val="13"/>
  </w:num>
  <w:num w:numId="13" w16cid:durableId="1027213470">
    <w:abstractNumId w:val="6"/>
  </w:num>
  <w:num w:numId="14" w16cid:durableId="1078820500">
    <w:abstractNumId w:val="7"/>
  </w:num>
  <w:num w:numId="15" w16cid:durableId="1256472625">
    <w:abstractNumId w:val="12"/>
  </w:num>
  <w:num w:numId="16" w16cid:durableId="1600407609">
    <w:abstractNumId w:val="9"/>
  </w:num>
  <w:num w:numId="17" w16cid:durableId="151534260">
    <w:abstractNumId w:val="10"/>
  </w:num>
  <w:num w:numId="18" w16cid:durableId="1426614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FB"/>
    <w:rsid w:val="00012CAD"/>
    <w:rsid w:val="0001356D"/>
    <w:rsid w:val="00024C73"/>
    <w:rsid w:val="00037A6B"/>
    <w:rsid w:val="00040D81"/>
    <w:rsid w:val="00063EC5"/>
    <w:rsid w:val="00067CCE"/>
    <w:rsid w:val="00073B95"/>
    <w:rsid w:val="000919D4"/>
    <w:rsid w:val="0009616F"/>
    <w:rsid w:val="000A21FE"/>
    <w:rsid w:val="000B62D3"/>
    <w:rsid w:val="000F718A"/>
    <w:rsid w:val="00101A73"/>
    <w:rsid w:val="00110095"/>
    <w:rsid w:val="00131131"/>
    <w:rsid w:val="00140CB2"/>
    <w:rsid w:val="00154AB7"/>
    <w:rsid w:val="00171882"/>
    <w:rsid w:val="00172F20"/>
    <w:rsid w:val="0018390F"/>
    <w:rsid w:val="00190D28"/>
    <w:rsid w:val="0019723A"/>
    <w:rsid w:val="001C2D9A"/>
    <w:rsid w:val="001C49A5"/>
    <w:rsid w:val="00204A19"/>
    <w:rsid w:val="00242092"/>
    <w:rsid w:val="00267FDF"/>
    <w:rsid w:val="002909B5"/>
    <w:rsid w:val="002930A3"/>
    <w:rsid w:val="00293985"/>
    <w:rsid w:val="002A7912"/>
    <w:rsid w:val="002D7D2F"/>
    <w:rsid w:val="002F2FF2"/>
    <w:rsid w:val="003132FE"/>
    <w:rsid w:val="003135C0"/>
    <w:rsid w:val="00321BB9"/>
    <w:rsid w:val="00330284"/>
    <w:rsid w:val="0034090D"/>
    <w:rsid w:val="003533A6"/>
    <w:rsid w:val="00394461"/>
    <w:rsid w:val="003B222D"/>
    <w:rsid w:val="003B4322"/>
    <w:rsid w:val="003C73AE"/>
    <w:rsid w:val="003D3DDE"/>
    <w:rsid w:val="003E0083"/>
    <w:rsid w:val="003F021E"/>
    <w:rsid w:val="00403A81"/>
    <w:rsid w:val="0042018F"/>
    <w:rsid w:val="00435625"/>
    <w:rsid w:val="00444D2D"/>
    <w:rsid w:val="00482035"/>
    <w:rsid w:val="00492B82"/>
    <w:rsid w:val="00492FF4"/>
    <w:rsid w:val="004A1C74"/>
    <w:rsid w:val="004C6FAE"/>
    <w:rsid w:val="004D56A9"/>
    <w:rsid w:val="004F108A"/>
    <w:rsid w:val="00503AD7"/>
    <w:rsid w:val="00504AF2"/>
    <w:rsid w:val="005075D9"/>
    <w:rsid w:val="00511F74"/>
    <w:rsid w:val="005356D0"/>
    <w:rsid w:val="00545452"/>
    <w:rsid w:val="00546311"/>
    <w:rsid w:val="00560347"/>
    <w:rsid w:val="00567279"/>
    <w:rsid w:val="0057777A"/>
    <w:rsid w:val="00596985"/>
    <w:rsid w:val="005B366A"/>
    <w:rsid w:val="005B5D84"/>
    <w:rsid w:val="005C435D"/>
    <w:rsid w:val="005C5297"/>
    <w:rsid w:val="005F07A0"/>
    <w:rsid w:val="005F22DE"/>
    <w:rsid w:val="00650A5D"/>
    <w:rsid w:val="0067263C"/>
    <w:rsid w:val="0067596A"/>
    <w:rsid w:val="0068573B"/>
    <w:rsid w:val="006902D2"/>
    <w:rsid w:val="00692EE8"/>
    <w:rsid w:val="006A257D"/>
    <w:rsid w:val="006F44A2"/>
    <w:rsid w:val="006F73F1"/>
    <w:rsid w:val="006F7B3D"/>
    <w:rsid w:val="00715DBD"/>
    <w:rsid w:val="00723604"/>
    <w:rsid w:val="007277EE"/>
    <w:rsid w:val="00735714"/>
    <w:rsid w:val="00737BE9"/>
    <w:rsid w:val="0077569D"/>
    <w:rsid w:val="007777F6"/>
    <w:rsid w:val="00794CEF"/>
    <w:rsid w:val="007B4815"/>
    <w:rsid w:val="007B55B4"/>
    <w:rsid w:val="007B5787"/>
    <w:rsid w:val="007E0CD4"/>
    <w:rsid w:val="007E45D3"/>
    <w:rsid w:val="007E6613"/>
    <w:rsid w:val="007E6A75"/>
    <w:rsid w:val="007F2917"/>
    <w:rsid w:val="00805CF7"/>
    <w:rsid w:val="00817400"/>
    <w:rsid w:val="00831DDA"/>
    <w:rsid w:val="00832E05"/>
    <w:rsid w:val="0084404D"/>
    <w:rsid w:val="00850F61"/>
    <w:rsid w:val="00873D82"/>
    <w:rsid w:val="0088793C"/>
    <w:rsid w:val="008938DB"/>
    <w:rsid w:val="008A05EE"/>
    <w:rsid w:val="008C0F00"/>
    <w:rsid w:val="008D375B"/>
    <w:rsid w:val="008D45CD"/>
    <w:rsid w:val="008E08B2"/>
    <w:rsid w:val="00900DEE"/>
    <w:rsid w:val="00923EA4"/>
    <w:rsid w:val="00924579"/>
    <w:rsid w:val="0094184C"/>
    <w:rsid w:val="00954EB3"/>
    <w:rsid w:val="00955CFE"/>
    <w:rsid w:val="00966CEB"/>
    <w:rsid w:val="00984F2A"/>
    <w:rsid w:val="009868A8"/>
    <w:rsid w:val="009A127C"/>
    <w:rsid w:val="009A4AED"/>
    <w:rsid w:val="009A6997"/>
    <w:rsid w:val="009A7C65"/>
    <w:rsid w:val="009B024D"/>
    <w:rsid w:val="009C476A"/>
    <w:rsid w:val="009C60A2"/>
    <w:rsid w:val="009C797B"/>
    <w:rsid w:val="009D2812"/>
    <w:rsid w:val="00A13321"/>
    <w:rsid w:val="00A250D6"/>
    <w:rsid w:val="00A63DCB"/>
    <w:rsid w:val="00A67B95"/>
    <w:rsid w:val="00A9271F"/>
    <w:rsid w:val="00A9280E"/>
    <w:rsid w:val="00AE2692"/>
    <w:rsid w:val="00B01571"/>
    <w:rsid w:val="00B02107"/>
    <w:rsid w:val="00B067C4"/>
    <w:rsid w:val="00B1179E"/>
    <w:rsid w:val="00B44A61"/>
    <w:rsid w:val="00B54845"/>
    <w:rsid w:val="00B56ABB"/>
    <w:rsid w:val="00B65437"/>
    <w:rsid w:val="00B70360"/>
    <w:rsid w:val="00B952FB"/>
    <w:rsid w:val="00BB29BA"/>
    <w:rsid w:val="00BB35E9"/>
    <w:rsid w:val="00C15B59"/>
    <w:rsid w:val="00C358A6"/>
    <w:rsid w:val="00C816E8"/>
    <w:rsid w:val="00CB6F7C"/>
    <w:rsid w:val="00CC58D5"/>
    <w:rsid w:val="00CE0CFA"/>
    <w:rsid w:val="00D10909"/>
    <w:rsid w:val="00D242AE"/>
    <w:rsid w:val="00D34E87"/>
    <w:rsid w:val="00D40EF7"/>
    <w:rsid w:val="00D62542"/>
    <w:rsid w:val="00D77F76"/>
    <w:rsid w:val="00D8103A"/>
    <w:rsid w:val="00D840FD"/>
    <w:rsid w:val="00D91F41"/>
    <w:rsid w:val="00DB2140"/>
    <w:rsid w:val="00DC0880"/>
    <w:rsid w:val="00DC4CA4"/>
    <w:rsid w:val="00DE0712"/>
    <w:rsid w:val="00DF6D52"/>
    <w:rsid w:val="00E4305A"/>
    <w:rsid w:val="00E43405"/>
    <w:rsid w:val="00E712EE"/>
    <w:rsid w:val="00EB0E0F"/>
    <w:rsid w:val="00EB21D5"/>
    <w:rsid w:val="00EB3C3D"/>
    <w:rsid w:val="00EC7A79"/>
    <w:rsid w:val="00F03FC7"/>
    <w:rsid w:val="00F12B31"/>
    <w:rsid w:val="00F3335D"/>
    <w:rsid w:val="00F34B41"/>
    <w:rsid w:val="00F3649F"/>
    <w:rsid w:val="00F373AA"/>
    <w:rsid w:val="00F55A44"/>
    <w:rsid w:val="00FC76B9"/>
    <w:rsid w:val="00FD08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E9B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9"/>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9"/>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DF6D52"/>
  </w:style>
  <w:style w:type="character" w:customStyle="1" w:styleId="BodyTextChar">
    <w:name w:val="Body Text Char"/>
    <w:basedOn w:val="DefaultParagraphFont"/>
    <w:link w:val="BodyText"/>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table" w:customStyle="1" w:styleId="TableGrid1">
    <w:name w:val="Table Grid1"/>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01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Benefits Register – Gifts Given June Quarter 2025</dc:title>
  <dc:subject/>
  <dc:creator/>
  <cp:keywords/>
  <dc:description/>
  <cp:lastModifiedBy/>
  <cp:revision>1</cp:revision>
  <dcterms:created xsi:type="dcterms:W3CDTF">2025-07-10T03:34:00Z</dcterms:created>
  <dcterms:modified xsi:type="dcterms:W3CDTF">2025-07-10T03:35:00Z</dcterms:modified>
</cp:coreProperties>
</file>