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rPr>
        <w:id w:val="-1862188249"/>
        <w:docPartObj>
          <w:docPartGallery w:val="Cover Pages"/>
          <w:docPartUnique/>
        </w:docPartObj>
      </w:sdtPr>
      <w:sdtEndPr>
        <w:rPr>
          <w:rFonts w:ascii="Arial" w:hAnsi="Arial"/>
        </w:rPr>
      </w:sdtEndPr>
      <w:sdtContent>
        <w:p w14:paraId="690CBFC8" w14:textId="5F8969F8" w:rsidR="00394461" w:rsidRDefault="00980BCB" w:rsidP="00DF6D52">
          <w:r>
            <w:rPr>
              <w:noProof/>
            </w:rPr>
            <w:drawing>
              <wp:anchor distT="0" distB="0" distL="114300" distR="114300" simplePos="0" relativeHeight="251658241" behindDoc="0" locked="0" layoutInCell="1" allowOverlap="1" wp14:anchorId="35B34974" wp14:editId="0DBFF76F">
                <wp:simplePos x="0" y="0"/>
                <wp:positionH relativeFrom="page">
                  <wp:align>right</wp:align>
                </wp:positionH>
                <wp:positionV relativeFrom="paragraph">
                  <wp:posOffset>-1170305</wp:posOffset>
                </wp:positionV>
                <wp:extent cx="7552663" cy="10679057"/>
                <wp:effectExtent l="0" t="0" r="0" b="8255"/>
                <wp:wrapNone/>
                <wp:docPr id="462602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206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63" cy="10679057"/>
                        </a:xfrm>
                        <a:prstGeom prst="rect">
                          <a:avLst/>
                        </a:prstGeom>
                      </pic:spPr>
                    </pic:pic>
                  </a:graphicData>
                </a:graphic>
                <wp14:sizeRelH relativeFrom="page">
                  <wp14:pctWidth>0</wp14:pctWidth>
                </wp14:sizeRelH>
                <wp14:sizeRelV relativeFrom="page">
                  <wp14:pctHeight>0</wp14:pctHeight>
                </wp14:sizeRelV>
              </wp:anchor>
            </w:drawing>
          </w:r>
        </w:p>
        <w:p w14:paraId="6302591F" w14:textId="77777777" w:rsidR="00B65762" w:rsidRDefault="00B65762" w:rsidP="00DF6D52">
          <w:pPr>
            <w:pStyle w:val="Heading1"/>
            <w:rPr>
              <w:sz w:val="44"/>
              <w:szCs w:val="22"/>
            </w:rPr>
          </w:pPr>
          <w:bookmarkStart w:id="0" w:name="_Toc177736544"/>
        </w:p>
        <w:p w14:paraId="361D0091" w14:textId="23B400F1" w:rsidR="008F431F" w:rsidRPr="00524D14" w:rsidRDefault="008F431F" w:rsidP="00524D14">
          <w:pPr>
            <w:spacing w:after="160" w:line="259" w:lineRule="auto"/>
            <w:rPr>
              <w:rFonts w:eastAsiaTheme="majorEastAsia" w:cstheme="majorBidi"/>
              <w:b/>
              <w:color w:val="003E69"/>
              <w:sz w:val="44"/>
            </w:rPr>
          </w:pPr>
          <w:bookmarkStart w:id="1" w:name="_Hlk177730411"/>
          <w:bookmarkEnd w:id="0"/>
        </w:p>
        <w:p w14:paraId="7E9BD26C" w14:textId="6199FFD1" w:rsidR="00600A2B" w:rsidRDefault="00FA220E">
          <w:pPr>
            <w:spacing w:after="160" w:line="259" w:lineRule="auto"/>
            <w:rPr>
              <w:rFonts w:eastAsiaTheme="majorEastAsia" w:cstheme="majorBidi"/>
              <w:b/>
              <w:noProof/>
              <w:color w:val="003E69"/>
              <w:sz w:val="60"/>
              <w:szCs w:val="36"/>
            </w:rPr>
          </w:pPr>
          <w:r>
            <w:rPr>
              <w:noProof/>
            </w:rPr>
            <mc:AlternateContent>
              <mc:Choice Requires="wps">
                <w:drawing>
                  <wp:inline distT="0" distB="0" distL="0" distR="0" wp14:anchorId="6BF7D090" wp14:editId="598FA7F5">
                    <wp:extent cx="6282047" cy="1828800"/>
                    <wp:effectExtent l="0" t="0" r="5080" b="0"/>
                    <wp:docPr id="23028559" name="Text Box 1"/>
                    <wp:cNvGraphicFramePr/>
                    <a:graphic xmlns:a="http://schemas.openxmlformats.org/drawingml/2006/main">
                      <a:graphicData uri="http://schemas.microsoft.com/office/word/2010/wordprocessingShape">
                        <wps:wsp>
                          <wps:cNvSpPr txBox="1"/>
                          <wps:spPr>
                            <a:xfrm>
                              <a:off x="0" y="0"/>
                              <a:ext cx="6282047" cy="1828800"/>
                            </a:xfrm>
                            <a:prstGeom prst="rect">
                              <a:avLst/>
                            </a:prstGeom>
                            <a:solidFill>
                              <a:schemeClr val="bg1"/>
                            </a:solidFill>
                            <a:ln w="6350">
                              <a:noFill/>
                            </a:ln>
                          </wps:spPr>
                          <wps:txbx>
                            <w:txbxContent>
                              <w:p w14:paraId="7DE28649" w14:textId="3D4301EF" w:rsidR="00FA220E" w:rsidRDefault="00FA220E" w:rsidP="00FA220E">
                                <w:pPr>
                                  <w:rPr>
                                    <w:b/>
                                    <w:bCs/>
                                    <w:sz w:val="48"/>
                                    <w:szCs w:val="44"/>
                                  </w:rPr>
                                </w:pPr>
                                <w:r w:rsidRPr="00FA220E">
                                  <w:rPr>
                                    <w:b/>
                                    <w:bCs/>
                                    <w:sz w:val="48"/>
                                    <w:szCs w:val="44"/>
                                  </w:rPr>
                                  <w:t>Queensland Transport and</w:t>
                                </w:r>
                                <w:r>
                                  <w:rPr>
                                    <w:b/>
                                    <w:bCs/>
                                    <w:sz w:val="48"/>
                                    <w:szCs w:val="44"/>
                                  </w:rPr>
                                  <w:t xml:space="preserve"> </w:t>
                                </w:r>
                                <w:r w:rsidRPr="00FA220E">
                                  <w:rPr>
                                    <w:b/>
                                    <w:bCs/>
                                    <w:sz w:val="48"/>
                                    <w:szCs w:val="44"/>
                                  </w:rPr>
                                  <w:t>Logistics Workforce Strategy</w:t>
                                </w:r>
                                <w:r>
                                  <w:rPr>
                                    <w:b/>
                                    <w:bCs/>
                                    <w:sz w:val="48"/>
                                    <w:szCs w:val="44"/>
                                  </w:rPr>
                                  <w:t xml:space="preserve"> </w:t>
                                </w:r>
                                <w:r w:rsidRPr="00FA220E">
                                  <w:rPr>
                                    <w:b/>
                                    <w:bCs/>
                                    <w:sz w:val="48"/>
                                    <w:szCs w:val="44"/>
                                  </w:rPr>
                                  <w:t>and Action Plan</w:t>
                                </w:r>
                              </w:p>
                              <w:p w14:paraId="264A1F5C" w14:textId="3C4EC3DA" w:rsidR="00FA220E" w:rsidRPr="00FA220E" w:rsidRDefault="00FA220E" w:rsidP="00FA220E">
                                <w:pPr>
                                  <w:rPr>
                                    <w:b/>
                                    <w:bCs/>
                                    <w:sz w:val="48"/>
                                    <w:szCs w:val="44"/>
                                  </w:rPr>
                                </w:pPr>
                                <w:r w:rsidRPr="00FA220E">
                                  <w:rPr>
                                    <w:b/>
                                    <w:bCs/>
                                    <w:sz w:val="48"/>
                                    <w:szCs w:val="44"/>
                                  </w:rPr>
                                  <w:t>2025 - 2028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F7D090" id="_x0000_t202" coordsize="21600,21600" o:spt="202" path="m,l,21600r21600,l21600,xe">
                    <v:stroke joinstyle="miter"/>
                    <v:path gradientshapeok="t" o:connecttype="rect"/>
                  </v:shapetype>
                  <v:shape id="Text Box 1" o:spid="_x0000_s1026" type="#_x0000_t202" style="width:494.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" fillcolor="white [3212]" stroked="f" strokeweight=".5pt">
                    <v:textbox>
                      <w:txbxContent>
                        <w:p w14:paraId="7DE28649" w14:textId="3D4301EF" w:rsidR="00FA220E" w:rsidRDefault="00FA220E" w:rsidP="00FA220E">
                          <w:pPr>
                            <w:rPr>
                              <w:b/>
                              <w:bCs/>
                              <w:sz w:val="48"/>
                              <w:szCs w:val="44"/>
                            </w:rPr>
                          </w:pPr>
                          <w:r w:rsidRPr="00FA220E">
                            <w:rPr>
                              <w:b/>
                              <w:bCs/>
                              <w:sz w:val="48"/>
                              <w:szCs w:val="44"/>
                            </w:rPr>
                            <w:t>Queensland Transport and</w:t>
                          </w:r>
                          <w:r>
                            <w:rPr>
                              <w:b/>
                              <w:bCs/>
                              <w:sz w:val="48"/>
                              <w:szCs w:val="44"/>
                            </w:rPr>
                            <w:t xml:space="preserve"> </w:t>
                          </w:r>
                          <w:r w:rsidRPr="00FA220E">
                            <w:rPr>
                              <w:b/>
                              <w:bCs/>
                              <w:sz w:val="48"/>
                              <w:szCs w:val="44"/>
                            </w:rPr>
                            <w:t>Logistics Workforce Strategy</w:t>
                          </w:r>
                          <w:r>
                            <w:rPr>
                              <w:b/>
                              <w:bCs/>
                              <w:sz w:val="48"/>
                              <w:szCs w:val="44"/>
                            </w:rPr>
                            <w:t xml:space="preserve"> </w:t>
                          </w:r>
                          <w:r w:rsidRPr="00FA220E">
                            <w:rPr>
                              <w:b/>
                              <w:bCs/>
                              <w:sz w:val="48"/>
                              <w:szCs w:val="44"/>
                            </w:rPr>
                            <w:t>and Action Plan</w:t>
                          </w:r>
                        </w:p>
                        <w:p w14:paraId="264A1F5C" w14:textId="3C4EC3DA" w:rsidR="00FA220E" w:rsidRPr="00FA220E" w:rsidRDefault="00FA220E" w:rsidP="00FA220E">
                          <w:pPr>
                            <w:rPr>
                              <w:b/>
                              <w:bCs/>
                              <w:sz w:val="48"/>
                              <w:szCs w:val="44"/>
                            </w:rPr>
                          </w:pPr>
                          <w:r w:rsidRPr="00FA220E">
                            <w:rPr>
                              <w:b/>
                              <w:bCs/>
                              <w:sz w:val="48"/>
                              <w:szCs w:val="44"/>
                            </w:rPr>
                            <w:t>2025 - 2028</w:t>
                          </w:r>
                        </w:p>
                      </w:txbxContent>
                    </v:textbox>
                    <w10:anchorlock/>
                  </v:shape>
                </w:pict>
              </mc:Fallback>
            </mc:AlternateContent>
          </w:r>
          <w:r w:rsidR="00600A2B">
            <w:rPr>
              <w:noProof/>
            </w:rPr>
            <w:br w:type="page"/>
          </w:r>
        </w:p>
        <w:bookmarkEnd w:id="1"/>
        <w:p w14:paraId="63A39C7B" w14:textId="77777777" w:rsidR="002E62F6" w:rsidRPr="00FA220E" w:rsidRDefault="002E62F6" w:rsidP="002E62F6">
          <w:pPr>
            <w:pStyle w:val="Heading3"/>
            <w:rPr>
              <w:color w:val="063A72"/>
            </w:rPr>
          </w:pPr>
          <w:r w:rsidRPr="00FA220E">
            <w:rPr>
              <w:color w:val="063A72"/>
            </w:rPr>
            <w:lastRenderedPageBreak/>
            <w:t>Copyright </w:t>
          </w:r>
        </w:p>
        <w:p w14:paraId="16B70ED3" w14:textId="77777777" w:rsidR="002E62F6" w:rsidRPr="00E23556" w:rsidRDefault="002E62F6" w:rsidP="002E62F6">
          <w:pPr>
            <w:pStyle w:val="BodyText"/>
          </w:pPr>
          <w:r w:rsidRPr="00E23556">
            <w:t xml:space="preserve">This publication is protected by the </w:t>
          </w:r>
          <w:r w:rsidRPr="00E23556">
            <w:rPr>
              <w:i/>
              <w:iCs/>
            </w:rPr>
            <w:t>Copyright Act 1968. </w:t>
          </w:r>
        </w:p>
        <w:p w14:paraId="07C07CF6" w14:textId="1E35339E" w:rsidR="002E62F6" w:rsidRPr="00E23556" w:rsidRDefault="002E62F6" w:rsidP="002E62F6">
          <w:pPr>
            <w:pStyle w:val="BodyText"/>
          </w:pPr>
          <w:r w:rsidRPr="00E23556">
            <w:t>© The State of Queensland (Department of Transport and Main Roads)</w:t>
          </w:r>
          <w:r w:rsidR="006956B1">
            <w:t xml:space="preserve"> 2025</w:t>
          </w:r>
          <w:r w:rsidRPr="00E23556">
            <w:t>. All rights reserved. </w:t>
          </w:r>
        </w:p>
        <w:p w14:paraId="7E86A7B4" w14:textId="77777777" w:rsidR="002E62F6" w:rsidRDefault="002E62F6" w:rsidP="002E62F6">
          <w:pPr>
            <w:pStyle w:val="BodyText"/>
            <w:rPr>
              <w:b/>
              <w:bCs/>
            </w:rPr>
          </w:pPr>
        </w:p>
        <w:p w14:paraId="0EDCA964" w14:textId="77777777" w:rsidR="002E62F6" w:rsidRPr="002E62F6" w:rsidRDefault="002E62F6" w:rsidP="002E62F6">
          <w:pPr>
            <w:pStyle w:val="Heading3"/>
          </w:pPr>
          <w:r w:rsidRPr="00FA220E">
            <w:rPr>
              <w:color w:val="063A72"/>
            </w:rPr>
            <w:t>Disclaimer</w:t>
          </w:r>
          <w:r w:rsidRPr="002E62F6">
            <w:t> </w:t>
          </w:r>
        </w:p>
        <w:p w14:paraId="425B24B0" w14:textId="77777777" w:rsidR="002E62F6" w:rsidRPr="00E23556" w:rsidRDefault="002E62F6" w:rsidP="002E62F6">
          <w:pPr>
            <w:pStyle w:val="BodyText"/>
          </w:pPr>
          <w:r w:rsidRPr="00E23556">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sidRPr="00E23556">
            <w:t>as a result of</w:t>
          </w:r>
          <w:proofErr w:type="gramEnd"/>
          <w:r w:rsidRPr="00E23556">
            <w:t xml:space="preserve"> any data, information, statement or advice, expressed or implied, contained within and excludes all liability (including, without limitation, liability in negligence) for all expenses, losses, damages and costs that may be incurred. </w:t>
          </w:r>
        </w:p>
        <w:p w14:paraId="3D9B5917" w14:textId="0B6B3A32" w:rsidR="002E62F6" w:rsidRPr="00E23556" w:rsidRDefault="002E62F6" w:rsidP="002E62F6">
          <w:pPr>
            <w:pStyle w:val="BodyText"/>
          </w:pPr>
        </w:p>
        <w:p w14:paraId="5331FE9C" w14:textId="466753FD" w:rsidR="002E62F6" w:rsidRPr="00FA220E" w:rsidRDefault="002E62F6" w:rsidP="002E62F6">
          <w:pPr>
            <w:pStyle w:val="Heading3"/>
            <w:rPr>
              <w:color w:val="063A72"/>
            </w:rPr>
          </w:pPr>
          <w:r w:rsidRPr="00FA220E">
            <w:rPr>
              <w:color w:val="063A72"/>
            </w:rPr>
            <w:t>Interpreter and accessibility services</w:t>
          </w:r>
        </w:p>
        <w:p w14:paraId="4001871B" w14:textId="1C8E3C0B" w:rsidR="002E62F6" w:rsidRDefault="002E62F6" w:rsidP="002E62F6">
          <w:pPr>
            <w:pStyle w:val="BodyText"/>
          </w:pPr>
          <w:r w:rsidRPr="00E23556">
            <w:rPr>
              <w:b/>
              <w:bCs/>
            </w:rPr>
            <w:t>Translating Interpreter Services (TIS)</w:t>
          </w:r>
          <w:r w:rsidRPr="00E23556">
            <w:t xml:space="preserve"> - 13</w:t>
          </w:r>
          <w:r w:rsidRPr="00E23556">
            <w:rPr>
              <w:b/>
              <w:bCs/>
            </w:rPr>
            <w:t xml:space="preserve"> </w:t>
          </w:r>
          <w:r w:rsidRPr="00E23556">
            <w:t>14 50</w:t>
          </w:r>
        </w:p>
        <w:p w14:paraId="15A8E7E2" w14:textId="38E2DFD7" w:rsidR="002E62F6" w:rsidRPr="00E23556" w:rsidRDefault="002E62F6" w:rsidP="002E62F6">
          <w:pPr>
            <w:pStyle w:val="BodyText"/>
          </w:pPr>
          <w:r w:rsidRPr="005F153B">
            <w:rPr>
              <w:noProof/>
              <w:lang w:eastAsia="en-AU"/>
            </w:rPr>
            <w:drawing>
              <wp:anchor distT="0" distB="0" distL="114300" distR="114300" simplePos="0" relativeHeight="251660290" behindDoc="0" locked="0" layoutInCell="1" allowOverlap="1" wp14:anchorId="2ADB19B0" wp14:editId="323F090D">
                <wp:simplePos x="0" y="0"/>
                <wp:positionH relativeFrom="margin">
                  <wp:align>left</wp:align>
                </wp:positionH>
                <wp:positionV relativeFrom="paragraph">
                  <wp:posOffset>41910</wp:posOffset>
                </wp:positionV>
                <wp:extent cx="753745" cy="752475"/>
                <wp:effectExtent l="0" t="0" r="8255" b="9525"/>
                <wp:wrapThrough wrapText="bothSides">
                  <wp:wrapPolygon edited="0">
                    <wp:start x="0" y="0"/>
                    <wp:lineTo x="0" y="21327"/>
                    <wp:lineTo x="21291" y="21327"/>
                    <wp:lineTo x="21291"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745" cy="752475"/>
                        </a:xfrm>
                        <a:prstGeom prst="rect">
                          <a:avLst/>
                        </a:prstGeom>
                        <a:noFill/>
                      </pic:spPr>
                    </pic:pic>
                  </a:graphicData>
                </a:graphic>
                <wp14:sizeRelH relativeFrom="margin">
                  <wp14:pctWidth>0</wp14:pctWidth>
                </wp14:sizeRelH>
                <wp14:sizeRelV relativeFrom="margin">
                  <wp14:pctHeight>0</wp14:pctHeight>
                </wp14:sizeRelV>
              </wp:anchor>
            </w:drawing>
          </w:r>
          <w:r w:rsidRPr="00E23556">
            <w:t xml:space="preserve">If you are deaf, hard of hearing, or have a speech difficulty please contact us by the </w:t>
          </w:r>
          <w:r w:rsidRPr="00E23556">
            <w:rPr>
              <w:b/>
              <w:bCs/>
            </w:rPr>
            <w:t>National Relay Service (NRS)</w:t>
          </w:r>
          <w:r w:rsidRPr="00E23556">
            <w:t>,</w:t>
          </w:r>
          <w:r w:rsidRPr="00E23556">
            <w:rPr>
              <w:b/>
              <w:bCs/>
            </w:rPr>
            <w:t xml:space="preserve"> </w:t>
          </w:r>
          <w:r w:rsidRPr="00E23556">
            <w:t xml:space="preserve">select </w:t>
          </w:r>
          <w:hyperlink r:id="rId13" w:history="1">
            <w:r w:rsidR="00CB07F4" w:rsidRPr="00CB07F4">
              <w:rPr>
                <w:rStyle w:val="Hyperlink"/>
              </w:rPr>
              <w:t>NRS call numbers and links</w:t>
            </w:r>
          </w:hyperlink>
          <w:r w:rsidRPr="00E23556">
            <w:t xml:space="preserve"> and ask for 13 23 80.</w:t>
          </w:r>
        </w:p>
        <w:p w14:paraId="01518E0A" w14:textId="77777777" w:rsidR="002E62F6" w:rsidRDefault="002E62F6">
          <w:pPr>
            <w:spacing w:after="160" w:line="259" w:lineRule="auto"/>
            <w:rPr>
              <w:rFonts w:eastAsiaTheme="majorEastAsia" w:cstheme="majorBidi"/>
              <w:b/>
              <w:bCs/>
              <w:noProof/>
              <w:color w:val="003E69"/>
              <w:sz w:val="44"/>
              <w:szCs w:val="36"/>
              <w:lang w:val="en-GB"/>
            </w:rPr>
          </w:pPr>
          <w:r>
            <w:rPr>
              <w:bCs/>
              <w:noProof/>
              <w:sz w:val="44"/>
              <w:lang w:val="en-GB"/>
            </w:rPr>
            <w:br w:type="page"/>
          </w:r>
        </w:p>
        <w:p w14:paraId="20F8793E" w14:textId="56407190" w:rsidR="00394461" w:rsidRPr="00FA220E" w:rsidRDefault="00C753C7" w:rsidP="005579B9">
          <w:pPr>
            <w:pStyle w:val="Heading1"/>
            <w:rPr>
              <w:bCs/>
              <w:noProof/>
              <w:color w:val="063A72"/>
              <w:sz w:val="44"/>
              <w:lang w:val="en-GB"/>
            </w:rPr>
          </w:pPr>
          <w:r w:rsidRPr="00FA220E">
            <w:rPr>
              <w:bCs/>
              <w:noProof/>
              <w:color w:val="063A72"/>
              <w:sz w:val="44"/>
              <w:lang w:val="en-GB"/>
            </w:rPr>
            <w:lastRenderedPageBreak/>
            <w:t>Introduction</w:t>
          </w:r>
        </w:p>
        <w:p w14:paraId="01FC0AE1" w14:textId="77777777" w:rsidR="00C753C7" w:rsidRPr="00C753C7" w:rsidRDefault="00C753C7" w:rsidP="00C753C7">
          <w:pPr>
            <w:rPr>
              <w:lang w:val="en-GB"/>
            </w:rPr>
          </w:pPr>
        </w:p>
        <w:p w14:paraId="6F97321A" w14:textId="77777777" w:rsidR="00C753C7" w:rsidRDefault="00C753C7" w:rsidP="00C753C7">
          <w:pPr>
            <w:rPr>
              <w:noProof/>
            </w:rPr>
          </w:pPr>
          <w:r>
            <w:rPr>
              <w:noProof/>
            </w:rPr>
            <w:t xml:space="preserve">The transport and logistics workforce delivers essential services for all communities and is critical to Queensland’s economic success. </w:t>
          </w:r>
        </w:p>
        <w:p w14:paraId="21EC93BC" w14:textId="77777777" w:rsidR="00C753C7" w:rsidRDefault="00C753C7" w:rsidP="00C753C7">
          <w:pPr>
            <w:rPr>
              <w:noProof/>
            </w:rPr>
          </w:pPr>
        </w:p>
        <w:p w14:paraId="1669F2BA" w14:textId="0A15D698" w:rsidR="00C753C7" w:rsidRDefault="00C753C7" w:rsidP="00C753C7">
          <w:pPr>
            <w:rPr>
              <w:noProof/>
            </w:rPr>
          </w:pPr>
          <w:r>
            <w:rPr>
              <w:noProof/>
            </w:rPr>
            <w:t>Every day, thousands of Queenslanders are working together to:</w:t>
          </w:r>
        </w:p>
        <w:p w14:paraId="7B85976D" w14:textId="77777777" w:rsidR="00342AA7" w:rsidRDefault="00342AA7" w:rsidP="007E7264">
          <w:pPr>
            <w:pStyle w:val="ListBullet"/>
            <w:rPr>
              <w:noProof/>
            </w:rPr>
          </w:pPr>
          <w:r w:rsidRPr="00342AA7">
            <w:rPr>
              <w:noProof/>
            </w:rPr>
            <w:t>make sure every Australian has access to goods and services</w:t>
          </w:r>
        </w:p>
        <w:p w14:paraId="763DB9A2" w14:textId="77777777" w:rsidR="00342AA7" w:rsidRDefault="00342AA7" w:rsidP="00342AA7">
          <w:pPr>
            <w:pStyle w:val="ListBullet"/>
          </w:pPr>
          <w:r>
            <w:t>connect us to world trade</w:t>
          </w:r>
        </w:p>
        <w:p w14:paraId="2524AB1C" w14:textId="77777777" w:rsidR="00342AA7" w:rsidRDefault="00342AA7" w:rsidP="00342AA7">
          <w:pPr>
            <w:pStyle w:val="ListBullet"/>
          </w:pPr>
          <w:r>
            <w:t>improve access to work, health, education, and recreation</w:t>
          </w:r>
        </w:p>
        <w:p w14:paraId="5CB214D7" w14:textId="77777777" w:rsidR="00342AA7" w:rsidRDefault="00342AA7" w:rsidP="00342AA7">
          <w:pPr>
            <w:pStyle w:val="ListBullet"/>
          </w:pPr>
          <w:r>
            <w:t>connect people and improve access to services and communities</w:t>
          </w:r>
        </w:p>
        <w:p w14:paraId="14AE7472" w14:textId="77777777" w:rsidR="00342AA7" w:rsidRDefault="00342AA7" w:rsidP="00342AA7">
          <w:pPr>
            <w:pStyle w:val="ListBullet"/>
          </w:pPr>
          <w:r>
            <w:t>give us the convenience of home delivery.</w:t>
          </w:r>
        </w:p>
        <w:p w14:paraId="16C5A4BF" w14:textId="77777777" w:rsidR="00C753C7" w:rsidRDefault="00C753C7" w:rsidP="00C753C7">
          <w:pPr>
            <w:pStyle w:val="ListParagraph"/>
          </w:pPr>
        </w:p>
        <w:p w14:paraId="7A61613F" w14:textId="77777777" w:rsidR="00C753C7" w:rsidRDefault="00C753C7" w:rsidP="00C753C7">
          <w:r>
            <w:t>The Queensland Transport and Logistics Workforce Strategy and Action Plan (Strategy and Action Plan) sets out actions for industry and government to maintain a skilled and engaged workforce for the transport and logistics industry across Queensland.</w:t>
          </w:r>
        </w:p>
        <w:p w14:paraId="15350D0A" w14:textId="77777777" w:rsidR="00431460" w:rsidRDefault="00431460" w:rsidP="00C753C7"/>
        <w:p w14:paraId="43C97082" w14:textId="237B8FA2" w:rsidR="00C753C7" w:rsidRDefault="00431460" w:rsidP="00C753C7">
          <w:r>
            <w:t>‘The transport and logistics workforce delivers essential services for all communities.’</w:t>
          </w:r>
        </w:p>
        <w:p w14:paraId="0E930547" w14:textId="77777777" w:rsidR="00431460" w:rsidRDefault="00431460" w:rsidP="00C753C7"/>
        <w:p w14:paraId="04DCB762" w14:textId="77777777" w:rsidR="00C753C7" w:rsidRDefault="00C753C7" w:rsidP="00C753C7">
          <w:r>
            <w:t>The Strategy and Action Plan has been developed by the industry, for the industry.</w:t>
          </w:r>
        </w:p>
        <w:p w14:paraId="269ADE06" w14:textId="77777777" w:rsidR="00431460" w:rsidRDefault="00431460" w:rsidP="00C753C7"/>
        <w:p w14:paraId="2273EA11" w14:textId="77777777" w:rsidR="00C753C7" w:rsidRDefault="00C753C7" w:rsidP="00C753C7">
          <w:r>
            <w:t>The Transport and Logistics Workforce Advisory Committee (TLWAC) is a group of representatives who are working on behalf of the transport and logistics industry to identify and prioritise workforce solutions for their industry. Representatives are from a cross-section of industry modes and sectors as well as industry associations.</w:t>
          </w:r>
        </w:p>
        <w:p w14:paraId="36C629DF" w14:textId="77777777" w:rsidR="00C753C7" w:rsidRDefault="00C753C7" w:rsidP="00C753C7"/>
        <w:p w14:paraId="53E7623F" w14:textId="77777777" w:rsidR="00C753C7" w:rsidRDefault="00C753C7" w:rsidP="00C753C7">
          <w:r>
            <w:t>Led by TLWAC, the Strategy and Action Plan was developed by the Department of Transport and Main Roads in consultation with industry stakeholders representing all sectors including, warehousing, road passenger transport, road freight transport, rail, maritime, logistics, and aviation.</w:t>
          </w:r>
        </w:p>
        <w:p w14:paraId="3F70908A" w14:textId="77777777" w:rsidR="00C753C7" w:rsidRDefault="00C753C7" w:rsidP="00C753C7"/>
        <w:p w14:paraId="6EB0DD15" w14:textId="4233691A" w:rsidR="00C753C7" w:rsidRDefault="00C753C7" w:rsidP="00C753C7">
          <w:r>
            <w:t>Recognising the importance of youth for the future of the transport and logistics workforce, contributors included professionals working with young people in multiple education and training settings, along with specialists in a variety of skilling</w:t>
          </w:r>
          <w:r w:rsidR="00BD66F4">
            <w:t xml:space="preserve"> a</w:t>
          </w:r>
          <w:r>
            <w:t>nd employment</w:t>
          </w:r>
          <w:r w:rsidR="00BD66F4">
            <w:t xml:space="preserve"> </w:t>
          </w:r>
          <w:r>
            <w:t>related fields.</w:t>
          </w:r>
        </w:p>
        <w:p w14:paraId="47C55807" w14:textId="77777777" w:rsidR="00C753C7" w:rsidRDefault="00C753C7" w:rsidP="00C753C7"/>
        <w:p w14:paraId="351ED14A" w14:textId="70F737E2" w:rsidR="00C753C7" w:rsidRDefault="00C753C7" w:rsidP="00C753C7">
          <w:r>
            <w:t xml:space="preserve">The Strategy and Action plan supports the vision and purpose of the Department of Transport and Main Roads: </w:t>
          </w:r>
        </w:p>
        <w:p w14:paraId="71943BF3" w14:textId="77777777" w:rsidR="00C753C7" w:rsidRDefault="00C753C7" w:rsidP="00C753C7"/>
        <w:p w14:paraId="6CAC54A1" w14:textId="77777777" w:rsidR="00446067" w:rsidRDefault="00446067" w:rsidP="007E7264">
          <w:pPr>
            <w:pStyle w:val="ListBullet"/>
            <w:rPr>
              <w:noProof/>
            </w:rPr>
          </w:pPr>
          <w:r w:rsidRPr="00446067">
            <w:rPr>
              <w:noProof/>
            </w:rPr>
            <w:lastRenderedPageBreak/>
            <w:t>Vision: Connected communities in a sustainable, thriving and inclusive Queensland.</w:t>
          </w:r>
        </w:p>
        <w:p w14:paraId="5A97F9E9" w14:textId="3095B9DA" w:rsidR="00C753C7" w:rsidRDefault="00446067" w:rsidP="007E7264">
          <w:pPr>
            <w:pStyle w:val="ListBullet"/>
            <w:rPr>
              <w:noProof/>
            </w:rPr>
          </w:pPr>
          <w:r w:rsidRPr="00446067">
            <w:rPr>
              <w:noProof/>
            </w:rPr>
            <w:t>Purpose: To provide reliable, resilient and responsive transport networks and services that are safe and accessible for everyone.</w:t>
          </w:r>
        </w:p>
        <w:p w14:paraId="742D6771" w14:textId="77777777" w:rsidR="00C753C7" w:rsidRDefault="00C753C7" w:rsidP="00C753C7"/>
        <w:p w14:paraId="7E448AB9" w14:textId="55CE0BE5" w:rsidR="00C753C7" w:rsidRDefault="00C753C7" w:rsidP="00C753C7">
          <w:r>
            <w:t>Our freight system is responsible for moving goods around the state and connecting Queensland with the world. Whether by road, rail, sea or air, freight helps to grow our economy and ensures we have access to fresh produce and the resources we need to maintain a good quality of life</w:t>
          </w:r>
          <w:r w:rsidR="001B380E">
            <w:t>.</w:t>
          </w:r>
        </w:p>
        <w:p w14:paraId="1483B92D" w14:textId="662D5428" w:rsidR="00FD65A7" w:rsidRDefault="00FD65A7" w:rsidP="00FD65A7">
          <w:pPr>
            <w:rPr>
              <w:noProof/>
            </w:rPr>
          </w:pPr>
        </w:p>
        <w:p w14:paraId="7492E790" w14:textId="6B7DE6FB" w:rsidR="00C753C7" w:rsidRPr="00C753C7" w:rsidRDefault="00C753C7" w:rsidP="00C753C7">
          <w:pPr>
            <w:rPr>
              <w:noProof/>
            </w:rPr>
          </w:pPr>
          <w:r w:rsidRPr="00FA220E">
            <w:rPr>
              <w:rStyle w:val="Heading1Char"/>
              <w:color w:val="063A72"/>
              <w:sz w:val="44"/>
              <w:szCs w:val="22"/>
              <w:lang w:val="en-GB"/>
            </w:rPr>
            <w:t xml:space="preserve">Workforce </w:t>
          </w:r>
          <w:r w:rsidR="00B02523" w:rsidRPr="00FA220E">
            <w:rPr>
              <w:rStyle w:val="Heading1Char"/>
              <w:color w:val="063A72"/>
              <w:sz w:val="44"/>
              <w:szCs w:val="22"/>
              <w:lang w:val="en-GB"/>
            </w:rPr>
            <w:t xml:space="preserve">context </w:t>
          </w:r>
          <w:r w:rsidRPr="00FA220E">
            <w:rPr>
              <w:rStyle w:val="Heading1Char"/>
              <w:color w:val="063A72"/>
              <w:sz w:val="44"/>
              <w:szCs w:val="22"/>
              <w:lang w:val="en-GB"/>
            </w:rPr>
            <w:t xml:space="preserve">and </w:t>
          </w:r>
          <w:r w:rsidR="00B02523" w:rsidRPr="00FA220E">
            <w:rPr>
              <w:rStyle w:val="Heading1Char"/>
              <w:color w:val="063A72"/>
              <w:sz w:val="44"/>
              <w:szCs w:val="22"/>
              <w:lang w:val="en-GB"/>
            </w:rPr>
            <w:t>challenges</w:t>
          </w:r>
          <w:r>
            <w:rPr>
              <w:rFonts w:eastAsiaTheme="majorEastAsia" w:cstheme="majorBidi"/>
              <w:b/>
              <w:bCs/>
              <w:noProof/>
              <w:color w:val="003E69"/>
              <w:sz w:val="44"/>
              <w:szCs w:val="32"/>
              <w:lang w:val="en-GB"/>
            </w:rPr>
            <w:br/>
          </w:r>
          <w:r w:rsidR="00BC3C44">
            <w:rPr>
              <w:noProof/>
            </w:rPr>
            <w:br/>
          </w:r>
          <w:r w:rsidRPr="00C753C7">
            <w:rPr>
              <w:noProof/>
            </w:rPr>
            <w:t>Industry representatives and other stakeholders reported their current workforce challenges. Research and labour force data also confirm the challenges that continue to impact the transport and logistics workforce</w:t>
          </w:r>
          <w:r w:rsidR="00383E04">
            <w:rPr>
              <w:noProof/>
            </w:rPr>
            <w:t>:</w:t>
          </w:r>
        </w:p>
        <w:p w14:paraId="42CA73C0" w14:textId="2D7A468C" w:rsidR="00C753C7" w:rsidRPr="00C753C7" w:rsidRDefault="00C753C7" w:rsidP="005E267B">
          <w:pPr>
            <w:pStyle w:val="ListBullet"/>
            <w:rPr>
              <w:noProof/>
            </w:rPr>
          </w:pPr>
          <w:r w:rsidRPr="00C753C7">
            <w:rPr>
              <w:noProof/>
            </w:rPr>
            <w:t xml:space="preserve">Limited awareness of </w:t>
          </w:r>
          <w:r w:rsidR="006956B1">
            <w:rPr>
              <w:noProof/>
            </w:rPr>
            <w:t>transport and logistics</w:t>
          </w:r>
          <w:r w:rsidRPr="00C753C7">
            <w:rPr>
              <w:noProof/>
            </w:rPr>
            <w:t xml:space="preserve"> careers in the community, including amongst young people and those assisting them with career planning.</w:t>
          </w:r>
        </w:p>
        <w:p w14:paraId="6BC77114" w14:textId="77777777" w:rsidR="00C753C7" w:rsidRPr="00C753C7" w:rsidRDefault="00C753C7" w:rsidP="005E267B">
          <w:pPr>
            <w:pStyle w:val="ListBullet"/>
            <w:rPr>
              <w:noProof/>
            </w:rPr>
          </w:pPr>
          <w:r w:rsidRPr="00C753C7">
            <w:rPr>
              <w:noProof/>
            </w:rPr>
            <w:t>Limited understanding in the community about roles in the industry with high levels of responsibility and professionalism.</w:t>
          </w:r>
        </w:p>
        <w:p w14:paraId="5D49EE6C" w14:textId="77777777" w:rsidR="00C753C7" w:rsidRPr="00C753C7" w:rsidRDefault="00C753C7" w:rsidP="005E267B">
          <w:pPr>
            <w:pStyle w:val="ListBullet"/>
            <w:rPr>
              <w:noProof/>
            </w:rPr>
          </w:pPr>
          <w:r w:rsidRPr="00C753C7">
            <w:rPr>
              <w:noProof/>
            </w:rPr>
            <w:t>An ageing workforce.</w:t>
          </w:r>
        </w:p>
        <w:p w14:paraId="784C7D46" w14:textId="77777777" w:rsidR="00C753C7" w:rsidRPr="00C753C7" w:rsidRDefault="00C753C7" w:rsidP="005E267B">
          <w:pPr>
            <w:pStyle w:val="ListBullet"/>
            <w:rPr>
              <w:noProof/>
            </w:rPr>
          </w:pPr>
          <w:r w:rsidRPr="00C753C7">
            <w:rPr>
              <w:noProof/>
            </w:rPr>
            <w:t>Persistent skill shortages in several specific occupations.</w:t>
          </w:r>
        </w:p>
        <w:p w14:paraId="296ED0AE" w14:textId="77777777" w:rsidR="00C753C7" w:rsidRPr="00C753C7" w:rsidRDefault="00C753C7" w:rsidP="005E267B">
          <w:pPr>
            <w:pStyle w:val="ListBullet"/>
            <w:rPr>
              <w:noProof/>
            </w:rPr>
          </w:pPr>
          <w:r w:rsidRPr="00C753C7">
            <w:rPr>
              <w:noProof/>
            </w:rPr>
            <w:t>Many more men than women in the workforce.</w:t>
          </w:r>
        </w:p>
        <w:p w14:paraId="1B486C91" w14:textId="77777777" w:rsidR="00C753C7" w:rsidRPr="00C753C7" w:rsidRDefault="00C753C7" w:rsidP="005E267B">
          <w:pPr>
            <w:pStyle w:val="ListBullet"/>
            <w:rPr>
              <w:noProof/>
            </w:rPr>
          </w:pPr>
          <w:r w:rsidRPr="00C753C7">
            <w:rPr>
              <w:noProof/>
            </w:rPr>
            <w:t>Ongoing pace of change across multiple domains, including technological and social.</w:t>
          </w:r>
        </w:p>
        <w:p w14:paraId="4479C9D9" w14:textId="77777777" w:rsidR="00C753C7" w:rsidRPr="00C753C7" w:rsidRDefault="00C753C7" w:rsidP="005E267B">
          <w:pPr>
            <w:pStyle w:val="ListBullet"/>
            <w:rPr>
              <w:noProof/>
            </w:rPr>
          </w:pPr>
          <w:r w:rsidRPr="00C753C7">
            <w:rPr>
              <w:noProof/>
            </w:rPr>
            <w:t>Barriers to licencing.</w:t>
          </w:r>
        </w:p>
        <w:p w14:paraId="0F415523" w14:textId="77777777" w:rsidR="00C753C7" w:rsidRPr="00C753C7" w:rsidRDefault="00C753C7" w:rsidP="005E267B">
          <w:pPr>
            <w:pStyle w:val="ListBullet"/>
            <w:rPr>
              <w:noProof/>
            </w:rPr>
          </w:pPr>
          <w:r w:rsidRPr="00C753C7">
            <w:rPr>
              <w:noProof/>
            </w:rPr>
            <w:t xml:space="preserve">Evolving expectations of the emerging workforce regarding communication preferences and work-life balance. </w:t>
          </w:r>
        </w:p>
        <w:p w14:paraId="586BE83F" w14:textId="77777777" w:rsidR="00C753C7" w:rsidRPr="00C753C7" w:rsidRDefault="00C753C7" w:rsidP="005E267B">
          <w:pPr>
            <w:pStyle w:val="ListBullet"/>
            <w:rPr>
              <w:noProof/>
            </w:rPr>
          </w:pPr>
          <w:r w:rsidRPr="00C753C7">
            <w:rPr>
              <w:noProof/>
            </w:rPr>
            <w:t xml:space="preserve">Navigating the complexities of workforce management in a 24/7 industry, while addressing employee expectations regarding flexibility. Seasonal fluctuations are also a challenge. </w:t>
          </w:r>
        </w:p>
        <w:p w14:paraId="04666F2D" w14:textId="53167A41" w:rsidR="00E501B8" w:rsidRDefault="00C753C7" w:rsidP="005E267B">
          <w:pPr>
            <w:pStyle w:val="ListBullet"/>
            <w:rPr>
              <w:noProof/>
            </w:rPr>
          </w:pPr>
          <w:r w:rsidRPr="00C753C7">
            <w:rPr>
              <w:noProof/>
            </w:rPr>
            <w:t>Competing with other industries offering attractive salaries and benefits.</w:t>
          </w:r>
        </w:p>
        <w:p w14:paraId="26BA0138" w14:textId="77777777" w:rsidR="00C753C7" w:rsidRPr="00C753C7" w:rsidRDefault="00C753C7" w:rsidP="00C753C7">
          <w:pPr>
            <w:pStyle w:val="ListParagraph"/>
          </w:pPr>
        </w:p>
        <w:p w14:paraId="0FE4262A" w14:textId="77777777" w:rsidR="00D7027D" w:rsidRDefault="00D7027D">
          <w:pPr>
            <w:spacing w:after="160" w:line="259" w:lineRule="auto"/>
            <w:rPr>
              <w:rFonts w:eastAsiaTheme="majorEastAsia" w:cstheme="majorBidi"/>
              <w:b/>
              <w:noProof/>
              <w:color w:val="003E69"/>
              <w:sz w:val="44"/>
              <w:lang w:val="en-GB"/>
            </w:rPr>
          </w:pPr>
          <w:r>
            <w:rPr>
              <w:noProof/>
              <w:sz w:val="44"/>
              <w:lang w:val="en-GB"/>
            </w:rPr>
            <w:br w:type="page"/>
          </w:r>
        </w:p>
        <w:p w14:paraId="496B046A" w14:textId="77777777" w:rsidR="006801C4" w:rsidRPr="00FA220E" w:rsidRDefault="00C753C7" w:rsidP="00351383">
          <w:pPr>
            <w:pStyle w:val="Heading1"/>
            <w:rPr>
              <w:noProof/>
              <w:color w:val="063A72"/>
              <w:sz w:val="44"/>
              <w:szCs w:val="22"/>
              <w:lang w:val="en-GB"/>
            </w:rPr>
          </w:pPr>
          <w:r w:rsidRPr="00FA220E">
            <w:rPr>
              <w:noProof/>
              <w:color w:val="063A72"/>
              <w:sz w:val="44"/>
              <w:szCs w:val="22"/>
              <w:lang w:val="en-GB"/>
            </w:rPr>
            <w:lastRenderedPageBreak/>
            <w:t>By the numbers</w:t>
          </w:r>
        </w:p>
        <w:p w14:paraId="24AB1B0F" w14:textId="77777777" w:rsidR="006801C4" w:rsidRDefault="006801C4" w:rsidP="006801C4">
          <w:pPr>
            <w:pStyle w:val="BodyText"/>
            <w:rPr>
              <w:noProof/>
              <w:lang w:val="en-GB"/>
            </w:rPr>
          </w:pPr>
        </w:p>
        <w:p w14:paraId="15562A13" w14:textId="4938B10C" w:rsidR="00D965F8" w:rsidRPr="00D965F8" w:rsidRDefault="006801C4" w:rsidP="006801C4">
          <w:pPr>
            <w:pStyle w:val="BodyText"/>
            <w:rPr>
              <w:lang w:val="en-GB"/>
            </w:rPr>
          </w:pPr>
          <w:r>
            <w:rPr>
              <w:noProof/>
              <w:lang w:val="en-GB"/>
            </w:rPr>
            <w:t>This l</w:t>
          </w:r>
          <w:r w:rsidR="00D965F8" w:rsidRPr="00351383">
            <w:rPr>
              <w:noProof/>
              <w:lang w:val="en-GB"/>
            </w:rPr>
            <w:t xml:space="preserve">abour force </w:t>
          </w:r>
          <w:r>
            <w:rPr>
              <w:noProof/>
              <w:lang w:val="en-GB"/>
            </w:rPr>
            <w:t>information</w:t>
          </w:r>
          <w:r w:rsidR="00D965F8" w:rsidRPr="00351383">
            <w:rPr>
              <w:noProof/>
              <w:lang w:val="en-GB"/>
            </w:rPr>
            <w:t xml:space="preserve"> for workers in </w:t>
          </w:r>
          <w:r w:rsidR="00383E04">
            <w:rPr>
              <w:noProof/>
              <w:lang w:val="en-GB"/>
            </w:rPr>
            <w:t>t</w:t>
          </w:r>
          <w:r w:rsidR="00383E04" w:rsidRPr="00351383">
            <w:rPr>
              <w:noProof/>
              <w:lang w:val="en-GB"/>
            </w:rPr>
            <w:t>ransport</w:t>
          </w:r>
          <w:r w:rsidR="00D965F8" w:rsidRPr="00351383">
            <w:rPr>
              <w:noProof/>
              <w:lang w:val="en-GB"/>
            </w:rPr>
            <w:t xml:space="preserve">, </w:t>
          </w:r>
          <w:r w:rsidR="00383E04">
            <w:rPr>
              <w:noProof/>
              <w:lang w:val="en-GB"/>
            </w:rPr>
            <w:t>p</w:t>
          </w:r>
          <w:r w:rsidR="00383E04" w:rsidRPr="00351383">
            <w:rPr>
              <w:noProof/>
              <w:lang w:val="en-GB"/>
            </w:rPr>
            <w:t xml:space="preserve">ostal </w:t>
          </w:r>
          <w:r w:rsidR="00D965F8" w:rsidRPr="00351383">
            <w:rPr>
              <w:noProof/>
              <w:lang w:val="en-GB"/>
            </w:rPr>
            <w:t xml:space="preserve">and </w:t>
          </w:r>
          <w:r w:rsidR="00383E04">
            <w:rPr>
              <w:noProof/>
              <w:lang w:val="en-GB"/>
            </w:rPr>
            <w:t>w</w:t>
          </w:r>
          <w:r w:rsidR="00383E04" w:rsidRPr="00351383">
            <w:rPr>
              <w:noProof/>
              <w:lang w:val="en-GB"/>
            </w:rPr>
            <w:t xml:space="preserve">arehousing </w:t>
          </w:r>
          <w:r w:rsidR="00D965F8" w:rsidRPr="00351383">
            <w:rPr>
              <w:noProof/>
              <w:lang w:val="en-GB"/>
            </w:rPr>
            <w:t>(TPW)</w:t>
          </w:r>
          <w:r>
            <w:rPr>
              <w:noProof/>
              <w:lang w:val="en-GB"/>
            </w:rPr>
            <w:t xml:space="preserve">, is based on data from the </w:t>
          </w:r>
          <w:r w:rsidRPr="006801C4">
            <w:rPr>
              <w:noProof/>
              <w:lang w:val="en-GB"/>
            </w:rPr>
            <w:t>Australian Bureau of Statistics, 2024</w:t>
          </w:r>
          <w:r>
            <w:rPr>
              <w:noProof/>
              <w:lang w:val="en-GB"/>
            </w:rPr>
            <w:t>.</w:t>
          </w:r>
        </w:p>
        <w:p w14:paraId="7D04BDC0" w14:textId="77777777" w:rsidR="008B6813" w:rsidRDefault="008B6813" w:rsidP="00D965F8">
          <w:pPr>
            <w:pStyle w:val="ListBullet"/>
            <w:numPr>
              <w:ilvl w:val="0"/>
              <w:numId w:val="0"/>
            </w:numPr>
            <w:rPr>
              <w:noProof/>
            </w:rPr>
          </w:pPr>
        </w:p>
        <w:p w14:paraId="446513EC" w14:textId="6FBBA1D4" w:rsidR="00525758" w:rsidRDefault="00525758" w:rsidP="00525758">
          <w:r w:rsidRPr="00525758">
            <w:t>TPW workers comprise approximately 5</w:t>
          </w:r>
          <w:r w:rsidR="002C4307">
            <w:t xml:space="preserve"> per cent</w:t>
          </w:r>
          <w:r w:rsidRPr="00525758">
            <w:t xml:space="preserve"> of the total Queensland workforce, or 8</w:t>
          </w:r>
          <w:r w:rsidR="002C4307">
            <w:t xml:space="preserve"> per cent</w:t>
          </w:r>
          <w:r w:rsidRPr="00525758">
            <w:t xml:space="preserve"> including workers performing transport and logistics roles inside other industries.</w:t>
          </w:r>
        </w:p>
        <w:p w14:paraId="304F0E9A" w14:textId="77777777" w:rsidR="00525758" w:rsidRDefault="00525758" w:rsidP="00525758"/>
        <w:p w14:paraId="6544F862" w14:textId="77777777" w:rsidR="00D965F8" w:rsidRPr="00FA220E" w:rsidRDefault="00D965F8" w:rsidP="00D965F8">
          <w:pPr>
            <w:pStyle w:val="Heading3"/>
            <w:rPr>
              <w:color w:val="063A72"/>
            </w:rPr>
          </w:pPr>
          <w:r w:rsidRPr="00FA220E">
            <w:rPr>
              <w:color w:val="063A72"/>
            </w:rPr>
            <w:t>Occupation shortages</w:t>
          </w:r>
        </w:p>
        <w:p w14:paraId="060C2141" w14:textId="1808924D" w:rsidR="00D965F8" w:rsidRPr="00D965F8" w:rsidRDefault="00D965F8" w:rsidP="005E267B">
          <w:pPr>
            <w:pStyle w:val="ListBullet"/>
            <w:rPr>
              <w:noProof/>
            </w:rPr>
          </w:pPr>
          <w:r w:rsidRPr="00D965F8">
            <w:rPr>
              <w:noProof/>
            </w:rPr>
            <w:t xml:space="preserve">Several professional and trade </w:t>
          </w:r>
          <w:r w:rsidR="006956B1">
            <w:rPr>
              <w:noProof/>
            </w:rPr>
            <w:t>transport and logistics</w:t>
          </w:r>
          <w:r w:rsidRPr="00D965F8">
            <w:rPr>
              <w:noProof/>
            </w:rPr>
            <w:t xml:space="preserve"> occupations feature in the Occupation Shortage List for Queensland.</w:t>
          </w:r>
        </w:p>
        <w:p w14:paraId="1A645BBC" w14:textId="77777777" w:rsidR="00D965F8" w:rsidRPr="00D965F8" w:rsidRDefault="00D965F8" w:rsidP="005E267B">
          <w:pPr>
            <w:pStyle w:val="ListBullet"/>
            <w:rPr>
              <w:noProof/>
            </w:rPr>
          </w:pPr>
          <w:r w:rsidRPr="00D965F8">
            <w:rPr>
              <w:noProof/>
            </w:rPr>
            <w:t>Truck, bus and coach drivers are all on the national shortage list.</w:t>
          </w:r>
        </w:p>
        <w:p w14:paraId="1335EA0D" w14:textId="261168FA" w:rsidR="00D965F8" w:rsidRDefault="00D965F8" w:rsidP="005E267B">
          <w:pPr>
            <w:pStyle w:val="ListBullet"/>
            <w:rPr>
              <w:noProof/>
            </w:rPr>
          </w:pPr>
          <w:r w:rsidRPr="00D965F8">
            <w:rPr>
              <w:noProof/>
            </w:rPr>
            <w:t>The high proportion of road transport related roles in the TPW workforce (45</w:t>
          </w:r>
          <w:r w:rsidR="00A56CC2">
            <w:rPr>
              <w:noProof/>
            </w:rPr>
            <w:t xml:space="preserve"> per cent</w:t>
          </w:r>
          <w:r w:rsidRPr="00D965F8">
            <w:rPr>
              <w:noProof/>
            </w:rPr>
            <w:t>) highlights the impact of these shortages.</w:t>
          </w:r>
        </w:p>
        <w:p w14:paraId="2AF8090E" w14:textId="77777777" w:rsidR="00D965F8" w:rsidRDefault="00D965F8" w:rsidP="00D965F8"/>
        <w:p w14:paraId="3E96D20A" w14:textId="599B59D1" w:rsidR="00D965F8" w:rsidRPr="00FA220E" w:rsidRDefault="00D965F8" w:rsidP="00D965F8">
          <w:pPr>
            <w:pStyle w:val="Heading3"/>
            <w:rPr>
              <w:color w:val="063A72"/>
            </w:rPr>
          </w:pPr>
          <w:r w:rsidRPr="00FA220E">
            <w:rPr>
              <w:color w:val="063A72"/>
            </w:rPr>
            <w:t>The ageing workforce</w:t>
          </w:r>
        </w:p>
        <w:p w14:paraId="3937C496" w14:textId="63ABFBFF" w:rsidR="00D965F8" w:rsidRDefault="000F59E3" w:rsidP="002A4BE2">
          <w:pPr>
            <w:pStyle w:val="ListBullet"/>
            <w:rPr>
              <w:noProof/>
            </w:rPr>
          </w:pPr>
          <w:r>
            <w:rPr>
              <w:noProof/>
            </w:rPr>
            <w:t>The m</w:t>
          </w:r>
          <w:r w:rsidR="00D965F8" w:rsidRPr="00D965F8">
            <w:rPr>
              <w:noProof/>
            </w:rPr>
            <w:t>edian age of the Australian TPW workforce is 42.9 years.</w:t>
          </w:r>
          <w:r w:rsidR="00BD5E67">
            <w:rPr>
              <w:noProof/>
            </w:rPr>
            <w:t xml:space="preserve"> </w:t>
          </w:r>
          <w:r>
            <w:rPr>
              <w:noProof/>
            </w:rPr>
            <w:t>The median age of the t</w:t>
          </w:r>
          <w:r w:rsidR="00D965F8" w:rsidRPr="00D965F8">
            <w:rPr>
              <w:noProof/>
            </w:rPr>
            <w:t>otal workforce median is 38.9 years</w:t>
          </w:r>
          <w:r w:rsidR="00D965F8">
            <w:rPr>
              <w:noProof/>
            </w:rPr>
            <w:t>.</w:t>
          </w:r>
        </w:p>
        <w:p w14:paraId="2D6453D1" w14:textId="77CA40D8" w:rsidR="00D965F8" w:rsidRPr="000F59E3" w:rsidRDefault="00D965F8" w:rsidP="00844536">
          <w:pPr>
            <w:pStyle w:val="ListBullet"/>
            <w:rPr>
              <w:noProof/>
            </w:rPr>
          </w:pPr>
          <w:r w:rsidRPr="000F59E3">
            <w:rPr>
              <w:noProof/>
            </w:rPr>
            <w:t xml:space="preserve">25.3 per cent of the Australian TPW workforce </w:t>
          </w:r>
          <w:r w:rsidR="000F59E3" w:rsidRPr="000F59E3">
            <w:rPr>
              <w:noProof/>
            </w:rPr>
            <w:t xml:space="preserve">is </w:t>
          </w:r>
          <w:r w:rsidRPr="000F59E3">
            <w:rPr>
              <w:noProof/>
            </w:rPr>
            <w:t>aged 55 years and above.</w:t>
          </w:r>
          <w:r w:rsidR="00351383" w:rsidRPr="000F59E3">
            <w:rPr>
              <w:noProof/>
            </w:rPr>
            <w:t xml:space="preserve"> </w:t>
          </w:r>
          <w:r w:rsidR="000F59E3" w:rsidRPr="000F59E3">
            <w:rPr>
              <w:noProof/>
            </w:rPr>
            <w:t>For the t</w:t>
          </w:r>
          <w:r w:rsidRPr="000F59E3">
            <w:rPr>
              <w:noProof/>
            </w:rPr>
            <w:t>otal workforce</w:t>
          </w:r>
          <w:r w:rsidR="000F59E3" w:rsidRPr="000F59E3">
            <w:rPr>
              <w:noProof/>
            </w:rPr>
            <w:t xml:space="preserve">, </w:t>
          </w:r>
          <w:r w:rsidRPr="000F59E3">
            <w:rPr>
              <w:noProof/>
            </w:rPr>
            <w:t>19.6 per cent</w:t>
          </w:r>
          <w:r w:rsidR="000F59E3" w:rsidRPr="000F59E3">
            <w:rPr>
              <w:noProof/>
            </w:rPr>
            <w:t xml:space="preserve"> is aged 55 years and above.</w:t>
          </w:r>
        </w:p>
        <w:p w14:paraId="1C5E7121" w14:textId="7F977261" w:rsidR="00D965F8" w:rsidRDefault="00D965F8" w:rsidP="005E267B">
          <w:pPr>
            <w:pStyle w:val="ListBullet"/>
            <w:rPr>
              <w:noProof/>
            </w:rPr>
          </w:pPr>
          <w:r>
            <w:rPr>
              <w:noProof/>
            </w:rPr>
            <w:t>Almost one quarter of storepersons are aged 15–24 years, and almost half are aged 34 years and younger.</w:t>
          </w:r>
        </w:p>
        <w:p w14:paraId="6811496D" w14:textId="6E26BA54" w:rsidR="00D965F8" w:rsidRDefault="00D965F8" w:rsidP="005E267B">
          <w:pPr>
            <w:pStyle w:val="ListBullet"/>
            <w:rPr>
              <w:noProof/>
            </w:rPr>
          </w:pPr>
          <w:r>
            <w:rPr>
              <w:noProof/>
            </w:rPr>
            <w:t>This highlights the importance of entry level warehousing as a pathway into the industry, and the value of visible progression pathways to encourage retention.</w:t>
          </w:r>
        </w:p>
        <w:p w14:paraId="54FB237F" w14:textId="77777777" w:rsidR="005E267B" w:rsidRPr="00D965F8" w:rsidRDefault="005E267B" w:rsidP="005E267B">
          <w:pPr>
            <w:pStyle w:val="ListBullet"/>
            <w:numPr>
              <w:ilvl w:val="0"/>
              <w:numId w:val="0"/>
            </w:numPr>
            <w:ind w:left="567" w:hanging="567"/>
            <w:rPr>
              <w:noProof/>
            </w:rPr>
          </w:pPr>
        </w:p>
        <w:p w14:paraId="5CC85CD7" w14:textId="1648A7A5" w:rsidR="005E267B" w:rsidRPr="00FA220E" w:rsidRDefault="005E267B" w:rsidP="005E267B">
          <w:pPr>
            <w:pStyle w:val="Heading3"/>
            <w:rPr>
              <w:color w:val="063A72"/>
            </w:rPr>
          </w:pPr>
          <w:r w:rsidRPr="00FA220E">
            <w:rPr>
              <w:color w:val="063A72"/>
            </w:rPr>
            <w:t>Full-time</w:t>
          </w:r>
        </w:p>
        <w:p w14:paraId="2E315F87" w14:textId="46DD731D" w:rsidR="005E267B" w:rsidRDefault="004D04A7" w:rsidP="005E267B">
          <w:pPr>
            <w:pStyle w:val="ListBullet"/>
            <w:rPr>
              <w:noProof/>
            </w:rPr>
          </w:pPr>
          <w:r>
            <w:rPr>
              <w:noProof/>
            </w:rPr>
            <w:t xml:space="preserve">In Queensland, men hold </w:t>
          </w:r>
          <w:r w:rsidR="005E267B" w:rsidRPr="005E267B">
            <w:rPr>
              <w:noProof/>
            </w:rPr>
            <w:t>80 per cent</w:t>
          </w:r>
          <w:r w:rsidR="005E267B">
            <w:rPr>
              <w:noProof/>
            </w:rPr>
            <w:t xml:space="preserve"> of TPW roles in </w:t>
          </w:r>
          <w:r>
            <w:rPr>
              <w:noProof/>
            </w:rPr>
            <w:t xml:space="preserve">comparsion to </w:t>
          </w:r>
          <w:r w:rsidR="005E267B">
            <w:rPr>
              <w:noProof/>
            </w:rPr>
            <w:t>60 per cent of the total workforce.</w:t>
          </w:r>
        </w:p>
        <w:p w14:paraId="3CF04970" w14:textId="6A9B5FEB" w:rsidR="005E267B" w:rsidRDefault="004D04A7" w:rsidP="005E267B">
          <w:pPr>
            <w:pStyle w:val="ListBullet"/>
            <w:rPr>
              <w:noProof/>
            </w:rPr>
          </w:pPr>
          <w:r>
            <w:rPr>
              <w:noProof/>
            </w:rPr>
            <w:t xml:space="preserve">In Queensland, women hold </w:t>
          </w:r>
          <w:r w:rsidR="005E267B">
            <w:rPr>
              <w:noProof/>
            </w:rPr>
            <w:t xml:space="preserve">20 per cent of TPW roles </w:t>
          </w:r>
          <w:r>
            <w:rPr>
              <w:noProof/>
            </w:rPr>
            <w:t>in comparison to</w:t>
          </w:r>
          <w:r w:rsidR="005E267B">
            <w:rPr>
              <w:noProof/>
            </w:rPr>
            <w:t xml:space="preserve"> 40 per cent of of the total workforce. </w:t>
          </w:r>
        </w:p>
        <w:p w14:paraId="104F7C7C" w14:textId="77777777" w:rsidR="005E267B" w:rsidRDefault="005E267B" w:rsidP="005E267B">
          <w:pPr>
            <w:pStyle w:val="ListBullet"/>
            <w:numPr>
              <w:ilvl w:val="0"/>
              <w:numId w:val="0"/>
            </w:numPr>
            <w:ind w:left="567" w:hanging="567"/>
            <w:rPr>
              <w:noProof/>
            </w:rPr>
          </w:pPr>
        </w:p>
        <w:p w14:paraId="417196E7" w14:textId="0A474B5F" w:rsidR="005E267B" w:rsidRPr="00FA220E" w:rsidRDefault="005E267B" w:rsidP="005E267B">
          <w:pPr>
            <w:pStyle w:val="Heading3"/>
            <w:rPr>
              <w:color w:val="063A72"/>
            </w:rPr>
          </w:pPr>
          <w:r w:rsidRPr="00FA220E">
            <w:rPr>
              <w:color w:val="063A72"/>
            </w:rPr>
            <w:t>Part-time</w:t>
          </w:r>
        </w:p>
        <w:p w14:paraId="1DB99134" w14:textId="455BEA5F" w:rsidR="005E267B" w:rsidRDefault="004D04A7" w:rsidP="005E267B">
          <w:pPr>
            <w:pStyle w:val="ListBullet"/>
            <w:rPr>
              <w:noProof/>
            </w:rPr>
          </w:pPr>
          <w:r>
            <w:rPr>
              <w:noProof/>
            </w:rPr>
            <w:t xml:space="preserve">In Queensland, men hold </w:t>
          </w:r>
          <w:r w:rsidR="005E267B">
            <w:rPr>
              <w:noProof/>
            </w:rPr>
            <w:t>60</w:t>
          </w:r>
          <w:r w:rsidR="005E267B" w:rsidRPr="005E267B">
            <w:rPr>
              <w:noProof/>
            </w:rPr>
            <w:t xml:space="preserve"> per cent</w:t>
          </w:r>
          <w:r w:rsidR="005E267B">
            <w:rPr>
              <w:noProof/>
            </w:rPr>
            <w:t xml:space="preserve"> of TPW roles</w:t>
          </w:r>
          <w:r>
            <w:rPr>
              <w:noProof/>
            </w:rPr>
            <w:t xml:space="preserve"> </w:t>
          </w:r>
          <w:r w:rsidR="005E267B">
            <w:rPr>
              <w:noProof/>
            </w:rPr>
            <w:t xml:space="preserve">in </w:t>
          </w:r>
          <w:r>
            <w:rPr>
              <w:noProof/>
            </w:rPr>
            <w:t xml:space="preserve">comparison to </w:t>
          </w:r>
          <w:r w:rsidR="005E267B">
            <w:rPr>
              <w:noProof/>
            </w:rPr>
            <w:t>32 per cent of the total workforce.</w:t>
          </w:r>
        </w:p>
        <w:p w14:paraId="7304364E" w14:textId="5EC63604" w:rsidR="005E267B" w:rsidRDefault="004D04A7" w:rsidP="005E267B">
          <w:pPr>
            <w:pStyle w:val="ListBullet"/>
            <w:rPr>
              <w:noProof/>
            </w:rPr>
          </w:pPr>
          <w:r>
            <w:rPr>
              <w:noProof/>
            </w:rPr>
            <w:t xml:space="preserve">In Queensland, women hold </w:t>
          </w:r>
          <w:r w:rsidR="005E267B">
            <w:rPr>
              <w:noProof/>
            </w:rPr>
            <w:t xml:space="preserve">40 per cent of TPW roles </w:t>
          </w:r>
          <w:r>
            <w:rPr>
              <w:noProof/>
            </w:rPr>
            <w:t xml:space="preserve">in comparison to </w:t>
          </w:r>
          <w:r w:rsidR="005E267B">
            <w:rPr>
              <w:noProof/>
            </w:rPr>
            <w:t xml:space="preserve">68 per cent of of the total workforce. </w:t>
          </w:r>
        </w:p>
        <w:p w14:paraId="6B4EC33A" w14:textId="77777777" w:rsidR="005E267B" w:rsidRDefault="005E267B" w:rsidP="005E267B">
          <w:pPr>
            <w:pStyle w:val="ListBullet"/>
            <w:numPr>
              <w:ilvl w:val="0"/>
              <w:numId w:val="0"/>
            </w:numPr>
            <w:ind w:left="567" w:hanging="567"/>
            <w:rPr>
              <w:noProof/>
            </w:rPr>
          </w:pPr>
        </w:p>
        <w:p w14:paraId="2BE250E3" w14:textId="128EDBD0" w:rsidR="00351383" w:rsidRPr="00FA220E" w:rsidRDefault="00351383" w:rsidP="00351383">
          <w:pPr>
            <w:pStyle w:val="Heading3"/>
            <w:rPr>
              <w:color w:val="063A72"/>
            </w:rPr>
          </w:pPr>
          <w:r w:rsidRPr="00FA220E">
            <w:rPr>
              <w:color w:val="063A72"/>
            </w:rPr>
            <w:lastRenderedPageBreak/>
            <w:t>Gender balance</w:t>
          </w:r>
        </w:p>
        <w:p w14:paraId="48E4E720" w14:textId="3E3900D9" w:rsidR="005E267B" w:rsidRPr="005E267B" w:rsidRDefault="005E267B" w:rsidP="00351383">
          <w:pPr>
            <w:pStyle w:val="ListBullet"/>
            <w:rPr>
              <w:noProof/>
            </w:rPr>
          </w:pPr>
          <w:r w:rsidRPr="005E267B">
            <w:rPr>
              <w:noProof/>
            </w:rPr>
            <w:t>Men feature significantly more than women in the TPW workforce</w:t>
          </w:r>
          <w:r w:rsidR="00351383">
            <w:rPr>
              <w:noProof/>
            </w:rPr>
            <w:t xml:space="preserve"> at a ratio of four to one </w:t>
          </w:r>
          <w:r w:rsidRPr="005E267B">
            <w:rPr>
              <w:noProof/>
            </w:rPr>
            <w:t>for full-time roles, and</w:t>
          </w:r>
          <w:r w:rsidR="00351383">
            <w:rPr>
              <w:noProof/>
            </w:rPr>
            <w:t xml:space="preserve"> three to two </w:t>
          </w:r>
          <w:r w:rsidRPr="005E267B">
            <w:rPr>
              <w:noProof/>
            </w:rPr>
            <w:t xml:space="preserve">for part-time roles. </w:t>
          </w:r>
        </w:p>
        <w:p w14:paraId="0C662A1E" w14:textId="78972067" w:rsidR="005E267B" w:rsidRDefault="005E267B" w:rsidP="00351383">
          <w:pPr>
            <w:pStyle w:val="ListBullet"/>
            <w:rPr>
              <w:noProof/>
            </w:rPr>
          </w:pPr>
          <w:r w:rsidRPr="005E267B">
            <w:rPr>
              <w:noProof/>
            </w:rPr>
            <w:t xml:space="preserve">For the total workforce (across all industries), the full-time ratio of men to women is </w:t>
          </w:r>
          <w:r w:rsidR="00351383">
            <w:rPr>
              <w:noProof/>
            </w:rPr>
            <w:t xml:space="preserve">three to two, </w:t>
          </w:r>
          <w:r w:rsidRPr="005E267B">
            <w:rPr>
              <w:noProof/>
            </w:rPr>
            <w:t>while women occupy more than twice the number of part-time roles as do men.</w:t>
          </w:r>
        </w:p>
        <w:p w14:paraId="64235FB8" w14:textId="77777777" w:rsidR="005E267B" w:rsidRDefault="005E267B" w:rsidP="005E267B"/>
        <w:p w14:paraId="4CD0E8CE" w14:textId="2ED71E28" w:rsidR="00351383" w:rsidRPr="00FA220E" w:rsidRDefault="00351383" w:rsidP="00351383">
          <w:pPr>
            <w:pStyle w:val="Heading3"/>
            <w:rPr>
              <w:color w:val="063A72"/>
            </w:rPr>
          </w:pPr>
          <w:r w:rsidRPr="00FA220E">
            <w:rPr>
              <w:color w:val="063A72"/>
            </w:rPr>
            <w:t>Road transport and driving roles</w:t>
          </w:r>
        </w:p>
        <w:p w14:paraId="1148FDBF" w14:textId="2B7EF9E8" w:rsidR="005E267B" w:rsidRPr="005E267B" w:rsidRDefault="005E267B" w:rsidP="005E267B">
          <w:pPr>
            <w:pStyle w:val="ListBullet"/>
            <w:rPr>
              <w:noProof/>
            </w:rPr>
          </w:pPr>
          <w:r w:rsidRPr="005E267B">
            <w:rPr>
              <w:noProof/>
            </w:rPr>
            <w:t>Road transport enterprises account for around 45</w:t>
          </w:r>
          <w:r w:rsidR="007D6A6B">
            <w:rPr>
              <w:noProof/>
            </w:rPr>
            <w:t xml:space="preserve"> per cent</w:t>
          </w:r>
          <w:r w:rsidRPr="005E267B">
            <w:rPr>
              <w:noProof/>
            </w:rPr>
            <w:t xml:space="preserve"> of employment in the Queensland TPW sector.</w:t>
          </w:r>
        </w:p>
        <w:p w14:paraId="383B4920" w14:textId="38C59905" w:rsidR="005E267B" w:rsidRPr="005E267B" w:rsidRDefault="005E267B" w:rsidP="005E267B">
          <w:pPr>
            <w:pStyle w:val="ListBullet"/>
            <w:rPr>
              <w:noProof/>
            </w:rPr>
          </w:pPr>
          <w:r w:rsidRPr="005E267B">
            <w:rPr>
              <w:noProof/>
            </w:rPr>
            <w:t>Truck drivers represent the largest portion of driving roles. Storepersons also represent a significant portion of this workforce, and serve as a key entry point to the broader industry (refer to</w:t>
          </w:r>
          <w:r w:rsidR="007D6A6B">
            <w:rPr>
              <w:noProof/>
            </w:rPr>
            <w:t xml:space="preserve"> Figure 1</w:t>
          </w:r>
          <w:r w:rsidRPr="005E267B">
            <w:rPr>
              <w:noProof/>
            </w:rPr>
            <w:t>).</w:t>
          </w:r>
        </w:p>
        <w:p w14:paraId="1878EAB8" w14:textId="55712811" w:rsidR="005E267B" w:rsidRDefault="005E267B" w:rsidP="005E267B">
          <w:pPr>
            <w:pStyle w:val="ListBullet"/>
            <w:rPr>
              <w:noProof/>
            </w:rPr>
          </w:pPr>
          <w:r w:rsidRPr="005E267B">
            <w:rPr>
              <w:noProof/>
            </w:rPr>
            <w:t>These roles are a primary focus for entry pathways.</w:t>
          </w:r>
        </w:p>
        <w:p w14:paraId="2ACFD37C" w14:textId="77777777" w:rsidR="005E267B" w:rsidRDefault="005E267B" w:rsidP="005E267B">
          <w:pPr>
            <w:pStyle w:val="ListBullet"/>
            <w:numPr>
              <w:ilvl w:val="0"/>
              <w:numId w:val="0"/>
            </w:numPr>
            <w:ind w:left="567"/>
            <w:rPr>
              <w:noProof/>
            </w:rPr>
          </w:pPr>
        </w:p>
        <w:p w14:paraId="6F40D3F6" w14:textId="3EBDE04A" w:rsidR="005E267B" w:rsidRDefault="005E267B" w:rsidP="005E267B">
          <w:pPr>
            <w:pStyle w:val="ListBullet"/>
            <w:numPr>
              <w:ilvl w:val="0"/>
              <w:numId w:val="0"/>
            </w:numPr>
            <w:ind w:left="567" w:hanging="567"/>
            <w:rPr>
              <w:noProof/>
            </w:rPr>
          </w:pPr>
          <w:r>
            <w:rPr>
              <w:noProof/>
            </w:rPr>
            <w:drawing>
              <wp:inline distT="0" distB="0" distL="0" distR="0" wp14:anchorId="155245B6" wp14:editId="661538C0">
                <wp:extent cx="5807243" cy="3100098"/>
                <wp:effectExtent l="0" t="0" r="3175" b="5080"/>
                <wp:docPr id="634881114" name="Picture 8" descr="A doughnut graph representing nine types of driving roles in Queensland, and the approximate proportion of each type.  Refer to Figure one descriptio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81114" name="Picture 8" descr="A doughnut graph representing nine types of driving roles in Queensland, and the approximate proportion of each type.  Refer to Figure one description below. "/>
                        <pic:cNvPicPr/>
                      </pic:nvPicPr>
                      <pic:blipFill>
                        <a:blip r:embed="rId14">
                          <a:extLst>
                            <a:ext uri="{28A0092B-C50C-407E-A947-70E740481C1C}">
                              <a14:useLocalDpi xmlns:a14="http://schemas.microsoft.com/office/drawing/2010/main" val="0"/>
                            </a:ext>
                          </a:extLst>
                        </a:blip>
                        <a:srcRect l="2369" r="2369"/>
                        <a:stretch>
                          <a:fillRect/>
                        </a:stretch>
                      </pic:blipFill>
                      <pic:spPr bwMode="auto">
                        <a:xfrm>
                          <a:off x="0" y="0"/>
                          <a:ext cx="5807243" cy="3100098"/>
                        </a:xfrm>
                        <a:prstGeom prst="rect">
                          <a:avLst/>
                        </a:prstGeom>
                        <a:ln>
                          <a:noFill/>
                        </a:ln>
                        <a:extLst>
                          <a:ext uri="{53640926-AAD7-44D8-BBD7-CCE9431645EC}">
                            <a14:shadowObscured xmlns:a14="http://schemas.microsoft.com/office/drawing/2010/main"/>
                          </a:ext>
                        </a:extLst>
                      </pic:spPr>
                    </pic:pic>
                  </a:graphicData>
                </a:graphic>
              </wp:inline>
            </w:drawing>
          </w:r>
        </w:p>
        <w:p w14:paraId="046D35CB" w14:textId="201DE3EE" w:rsidR="005E267B" w:rsidRDefault="005E267B" w:rsidP="005E267B">
          <w:pPr>
            <w:pStyle w:val="ListBullet"/>
            <w:numPr>
              <w:ilvl w:val="0"/>
              <w:numId w:val="0"/>
            </w:numPr>
            <w:ind w:left="567" w:hanging="567"/>
            <w:rPr>
              <w:noProof/>
            </w:rPr>
          </w:pPr>
        </w:p>
        <w:p w14:paraId="1C13DF7E" w14:textId="0F8C2B10" w:rsidR="005E267B" w:rsidRDefault="005E267B" w:rsidP="005E267B">
          <w:r>
            <w:t xml:space="preserve">Figure 1: </w:t>
          </w:r>
          <w:r w:rsidRPr="005E267B">
            <w:t xml:space="preserve">A doughnut graph representing nine types of driving roles in Queensland, and the approximate proportion of each type. Truck drivers represent a significant proportion, closely followed by </w:t>
          </w:r>
          <w:proofErr w:type="spellStart"/>
          <w:r w:rsidRPr="005E267B">
            <w:t>storepersons</w:t>
          </w:r>
          <w:proofErr w:type="spellEnd"/>
          <w:r w:rsidRPr="005E267B">
            <w:t>. The proportion of the other seven roles in descending order are automobile drivers, delivery drivers, couriers and postal deliverers, forklift drivers, bus and coach drivers, train and tram drivers</w:t>
          </w:r>
          <w:r w:rsidR="007A4483">
            <w:t xml:space="preserve"> and road and rail (unspecified)</w:t>
          </w:r>
          <w:r w:rsidRPr="005E267B">
            <w:t>.</w:t>
          </w:r>
        </w:p>
        <w:p w14:paraId="679E11D3" w14:textId="77777777" w:rsidR="003A1E00" w:rsidRDefault="003A1E00" w:rsidP="003A1E00">
          <w:pPr>
            <w:pStyle w:val="ListBullet"/>
            <w:numPr>
              <w:ilvl w:val="0"/>
              <w:numId w:val="0"/>
            </w:numPr>
            <w:rPr>
              <w:sz w:val="44"/>
            </w:rPr>
          </w:pPr>
        </w:p>
        <w:p w14:paraId="51DF1783" w14:textId="77777777" w:rsidR="003A1E00" w:rsidRDefault="003A1E00" w:rsidP="003A1E00">
          <w:pPr>
            <w:pStyle w:val="ListBullet"/>
            <w:numPr>
              <w:ilvl w:val="0"/>
              <w:numId w:val="0"/>
            </w:numPr>
            <w:rPr>
              <w:sz w:val="44"/>
            </w:rPr>
          </w:pPr>
        </w:p>
        <w:p w14:paraId="67D1A334" w14:textId="705A67E4" w:rsidR="00D1103A" w:rsidRPr="00FA220E" w:rsidRDefault="00D7027D" w:rsidP="003A1E00">
          <w:pPr>
            <w:pStyle w:val="Heading1"/>
            <w:rPr>
              <w:color w:val="063A72"/>
              <w:sz w:val="44"/>
              <w:szCs w:val="44"/>
              <w:lang w:val="en-GB"/>
            </w:rPr>
          </w:pPr>
          <w:r w:rsidRPr="00FA220E">
            <w:rPr>
              <w:color w:val="063A72"/>
              <w:sz w:val="44"/>
              <w:szCs w:val="44"/>
              <w:lang w:val="en-GB"/>
            </w:rPr>
            <w:lastRenderedPageBreak/>
            <w:t xml:space="preserve">A </w:t>
          </w:r>
          <w:r w:rsidR="00B02523" w:rsidRPr="00FA220E">
            <w:rPr>
              <w:color w:val="063A72"/>
              <w:sz w:val="44"/>
              <w:szCs w:val="44"/>
              <w:lang w:val="en-GB"/>
            </w:rPr>
            <w:t>key theme</w:t>
          </w:r>
        </w:p>
        <w:p w14:paraId="7CC0A101" w14:textId="77777777" w:rsidR="00D7027D" w:rsidRPr="00D7027D" w:rsidRDefault="00D7027D" w:rsidP="00D7027D">
          <w:pPr>
            <w:rPr>
              <w:lang w:val="en-GB"/>
            </w:rPr>
          </w:pPr>
        </w:p>
        <w:p w14:paraId="2FFC4C40" w14:textId="34E94ED5" w:rsidR="00A37CA2" w:rsidRPr="00FA220E" w:rsidRDefault="00D7027D" w:rsidP="00D7027D">
          <w:pPr>
            <w:pStyle w:val="Heading2"/>
            <w:rPr>
              <w:color w:val="063A72"/>
              <w:sz w:val="36"/>
              <w:szCs w:val="24"/>
              <w:lang w:val="en-GB"/>
            </w:rPr>
          </w:pPr>
          <w:r w:rsidRPr="00FA220E">
            <w:rPr>
              <w:color w:val="063A72"/>
              <w:sz w:val="36"/>
              <w:szCs w:val="24"/>
              <w:lang w:val="en-GB"/>
            </w:rPr>
            <w:t xml:space="preserve">Intergenerational </w:t>
          </w:r>
          <w:r w:rsidR="00B02523" w:rsidRPr="00FA220E">
            <w:rPr>
              <w:color w:val="063A72"/>
              <w:sz w:val="36"/>
              <w:szCs w:val="24"/>
              <w:lang w:val="en-GB"/>
            </w:rPr>
            <w:t xml:space="preserve">teams </w:t>
          </w:r>
          <w:r w:rsidRPr="00FA220E">
            <w:rPr>
              <w:color w:val="063A72"/>
              <w:sz w:val="36"/>
              <w:szCs w:val="24"/>
              <w:lang w:val="en-GB"/>
            </w:rPr>
            <w:t xml:space="preserve">and </w:t>
          </w:r>
          <w:r w:rsidR="00B02523" w:rsidRPr="00FA220E">
            <w:rPr>
              <w:color w:val="063A72"/>
              <w:sz w:val="36"/>
              <w:szCs w:val="24"/>
              <w:lang w:val="en-GB"/>
            </w:rPr>
            <w:t>employee engagement</w:t>
          </w:r>
        </w:p>
        <w:p w14:paraId="24D96FC9" w14:textId="77777777" w:rsidR="00D7027D" w:rsidRPr="00D7027D" w:rsidRDefault="00D7027D" w:rsidP="00D7027D">
          <w:pPr>
            <w:rPr>
              <w:lang w:val="en-GB"/>
            </w:rPr>
          </w:pPr>
        </w:p>
        <w:p w14:paraId="67BB5E9E" w14:textId="77777777" w:rsidR="00D7027D" w:rsidRDefault="00D7027D" w:rsidP="00D7027D">
          <w:pPr>
            <w:rPr>
              <w:noProof/>
            </w:rPr>
          </w:pPr>
          <w:r>
            <w:rPr>
              <w:noProof/>
            </w:rPr>
            <w:t xml:space="preserve">The industry has identified the challenge of working with and attracting/retaining talent from different generations—revealing a key employee engagement consideration. </w:t>
          </w:r>
        </w:p>
        <w:p w14:paraId="5BEC119B" w14:textId="77777777" w:rsidR="00D7027D" w:rsidRDefault="00D7027D" w:rsidP="00D7027D">
          <w:pPr>
            <w:rPr>
              <w:noProof/>
            </w:rPr>
          </w:pPr>
        </w:p>
        <w:p w14:paraId="1A29B15C" w14:textId="77777777" w:rsidR="00D7027D" w:rsidRDefault="00D7027D" w:rsidP="00D7027D">
          <w:pPr>
            <w:rPr>
              <w:noProof/>
            </w:rPr>
          </w:pPr>
          <w:r>
            <w:rPr>
              <w:noProof/>
            </w:rPr>
            <w:t xml:space="preserve">The presence of multiple generations in the workplace is not new; nor are the challenges of working together. </w:t>
          </w:r>
        </w:p>
        <w:p w14:paraId="7A8CCC9D" w14:textId="77777777" w:rsidR="00D7027D" w:rsidRDefault="00D7027D" w:rsidP="00D7027D">
          <w:pPr>
            <w:rPr>
              <w:noProof/>
            </w:rPr>
          </w:pPr>
        </w:p>
        <w:p w14:paraId="420BD2CD" w14:textId="294FDF98" w:rsidR="00D7027D" w:rsidRDefault="00D7027D" w:rsidP="003A1E00">
          <w:pPr>
            <w:rPr>
              <w:noProof/>
            </w:rPr>
          </w:pPr>
          <w:r>
            <w:rPr>
              <w:noProof/>
            </w:rPr>
            <w:t xml:space="preserve">However, </w:t>
          </w:r>
          <w:r w:rsidR="0006269B">
            <w:rPr>
              <w:noProof/>
            </w:rPr>
            <w:t xml:space="preserve">according to </w:t>
          </w:r>
          <w:r w:rsidR="0006269B" w:rsidRPr="0006269B">
            <w:rPr>
              <w:noProof/>
            </w:rPr>
            <w:t>(Renton and McCrindle, 2024)</w:t>
          </w:r>
          <w:r w:rsidR="0006269B">
            <w:rPr>
              <w:noProof/>
            </w:rPr>
            <w:t xml:space="preserve">, </w:t>
          </w:r>
          <w:r>
            <w:rPr>
              <w:noProof/>
            </w:rPr>
            <w:t>today’s increasing pace of change requires workers to navigate complex generational differences. But there are also valuable opportunities to be found</w:t>
          </w:r>
          <w:r w:rsidR="00E0778F">
            <w:rPr>
              <w:noProof/>
            </w:rPr>
            <w:t>:</w:t>
          </w:r>
        </w:p>
        <w:p w14:paraId="20C1BD8F" w14:textId="77777777" w:rsidR="00FC41EE" w:rsidRDefault="00FC41EE" w:rsidP="00D7027D">
          <w:pPr>
            <w:rPr>
              <w:noProof/>
            </w:rPr>
          </w:pPr>
        </w:p>
        <w:p w14:paraId="48175AC1" w14:textId="77777777" w:rsidR="00D7027D" w:rsidRDefault="00D7027D" w:rsidP="00D7027D">
          <w:pPr>
            <w:pStyle w:val="ListBullet"/>
            <w:rPr>
              <w:noProof/>
            </w:rPr>
          </w:pPr>
          <w:r>
            <w:rPr>
              <w:noProof/>
            </w:rPr>
            <w:t xml:space="preserve">Thriving intergenerational teams can increase adaptability, innovation and resilience. </w:t>
          </w:r>
        </w:p>
        <w:p w14:paraId="1C9EA9B3" w14:textId="77777777" w:rsidR="003A1E00" w:rsidRDefault="00D7027D" w:rsidP="003A1E00">
          <w:pPr>
            <w:pStyle w:val="ListBullet"/>
            <w:rPr>
              <w:noProof/>
            </w:rPr>
          </w:pPr>
          <w:r>
            <w:rPr>
              <w:noProof/>
            </w:rPr>
            <w:t>Creating opportunities to learn from one another can improve attraction and retention of workers from emerging generations, while honouring and harnessing the wisdom and experience of established generations.</w:t>
          </w:r>
        </w:p>
        <w:p w14:paraId="38D995E1" w14:textId="7D93728E" w:rsidR="00D7027D" w:rsidRDefault="00D7027D" w:rsidP="003A1E00">
          <w:pPr>
            <w:pStyle w:val="ListBullet"/>
            <w:rPr>
              <w:noProof/>
            </w:rPr>
          </w:pPr>
          <w:r>
            <w:rPr>
              <w:noProof/>
            </w:rPr>
            <w:t xml:space="preserve">Mutual understanding and appreciation between generations, can pave the way for individuals to contribute their unique strengths towards the organisation’s success. </w:t>
          </w:r>
        </w:p>
        <w:p w14:paraId="0B6F263E" w14:textId="77777777" w:rsidR="003A1E00" w:rsidRDefault="003A1E00" w:rsidP="003A1E00">
          <w:pPr>
            <w:pStyle w:val="ListBullet"/>
            <w:numPr>
              <w:ilvl w:val="0"/>
              <w:numId w:val="0"/>
            </w:numPr>
            <w:rPr>
              <w:noProof/>
            </w:rPr>
          </w:pPr>
        </w:p>
        <w:p w14:paraId="24CCCBB3" w14:textId="77777777" w:rsidR="00D7027D" w:rsidRDefault="00D7027D" w:rsidP="00D7027D">
          <w:pPr>
            <w:rPr>
              <w:noProof/>
            </w:rPr>
          </w:pPr>
          <w:r>
            <w:rPr>
              <w:noProof/>
            </w:rPr>
            <w:t>While there are certainly differences, workers from all generations share the desire for trust, meaningful work, flexibility, and approachable leaders (Renton and McCrindle, 2024).</w:t>
          </w:r>
        </w:p>
        <w:p w14:paraId="551D0CEE" w14:textId="77777777" w:rsidR="00D7027D" w:rsidRDefault="00D7027D" w:rsidP="00D7027D">
          <w:pPr>
            <w:rPr>
              <w:noProof/>
            </w:rPr>
          </w:pPr>
        </w:p>
        <w:p w14:paraId="4E70CA28" w14:textId="43058F89" w:rsidR="00A37CA2" w:rsidRDefault="00D7027D" w:rsidP="00D7027D">
          <w:pPr>
            <w:rPr>
              <w:noProof/>
            </w:rPr>
          </w:pPr>
          <w:r>
            <w:rPr>
              <w:noProof/>
            </w:rPr>
            <w:t xml:space="preserve">Intergenerational teams whose members can learn with and from each other, can be pivotal to their organisation’s success. In a learning organisation, </w:t>
          </w:r>
          <w:r w:rsidR="00E0778F">
            <w:rPr>
              <w:noProof/>
            </w:rPr>
            <w:t>’</w:t>
          </w:r>
          <w:r>
            <w:rPr>
              <w:noProof/>
            </w:rPr>
            <w:t>people continually expand their capacity to create the results they truly desire</w:t>
          </w:r>
          <w:r w:rsidR="00E0778F">
            <w:rPr>
              <w:noProof/>
            </w:rPr>
            <w:t xml:space="preserve">‘ </w:t>
          </w:r>
          <w:r>
            <w:rPr>
              <w:noProof/>
            </w:rPr>
            <w:t>(Senge, 2006).</w:t>
          </w:r>
        </w:p>
        <w:p w14:paraId="325365C0" w14:textId="77777777" w:rsidR="00AE6151" w:rsidRPr="00A37CA2" w:rsidRDefault="00AE6151" w:rsidP="00D7027D"/>
        <w:p w14:paraId="501340EC" w14:textId="350AA237" w:rsidR="00AE6151" w:rsidRPr="00FA220E" w:rsidRDefault="00AE6151" w:rsidP="00AE6151">
          <w:pPr>
            <w:pStyle w:val="Heading2"/>
            <w:rPr>
              <w:color w:val="063A72"/>
              <w:sz w:val="36"/>
              <w:szCs w:val="24"/>
              <w:lang w:val="en-GB"/>
            </w:rPr>
          </w:pPr>
          <w:r w:rsidRPr="00FA220E">
            <w:rPr>
              <w:color w:val="063A72"/>
              <w:sz w:val="36"/>
              <w:szCs w:val="24"/>
              <w:lang w:val="en-GB"/>
            </w:rPr>
            <w:t>Timeless wisdom</w:t>
          </w:r>
        </w:p>
        <w:p w14:paraId="059FA77E" w14:textId="77777777" w:rsidR="00B27F8F" w:rsidRDefault="00B27F8F" w:rsidP="00B27F8F">
          <w:pPr>
            <w:pStyle w:val="BodyText"/>
            <w:rPr>
              <w:noProof/>
            </w:rPr>
          </w:pPr>
        </w:p>
        <w:p w14:paraId="6761F536" w14:textId="2266169C" w:rsidR="00AE6151" w:rsidRDefault="00E0778F" w:rsidP="00AE6151">
          <w:pPr>
            <w:rPr>
              <w:noProof/>
            </w:rPr>
          </w:pPr>
          <w:r>
            <w:rPr>
              <w:noProof/>
            </w:rPr>
            <w:t>’</w:t>
          </w:r>
          <w:r w:rsidR="00AE6151" w:rsidRPr="00AE6151">
            <w:rPr>
              <w:noProof/>
            </w:rPr>
            <w:t>Every generation imagines itself to be more intelligent than the one that went before it, and wiser than the one that comes after it.</w:t>
          </w:r>
          <w:r>
            <w:rPr>
              <w:noProof/>
            </w:rPr>
            <w:t>’</w:t>
          </w:r>
          <w:r w:rsidR="00AE6151" w:rsidRPr="00AE6151">
            <w:rPr>
              <w:noProof/>
            </w:rPr>
            <w:t xml:space="preserve"> George Orwell</w:t>
          </w:r>
          <w:r w:rsidR="007034D9">
            <w:rPr>
              <w:noProof/>
            </w:rPr>
            <w:t>.</w:t>
          </w:r>
        </w:p>
        <w:p w14:paraId="6CCEBE04" w14:textId="77777777" w:rsidR="00AE6151" w:rsidRDefault="00AE6151" w:rsidP="00AE6151">
          <w:pPr>
            <w:rPr>
              <w:noProof/>
            </w:rPr>
          </w:pPr>
        </w:p>
        <w:p w14:paraId="442E9270" w14:textId="56E147A8" w:rsidR="00AE6151" w:rsidRDefault="00E0778F" w:rsidP="00AE6151">
          <w:pPr>
            <w:rPr>
              <w:noProof/>
            </w:rPr>
          </w:pPr>
          <w:r>
            <w:rPr>
              <w:noProof/>
            </w:rPr>
            <w:t>’</w:t>
          </w:r>
          <w:r w:rsidR="00AE6151" w:rsidRPr="00AE6151">
            <w:rPr>
              <w:noProof/>
            </w:rPr>
            <w:t>Seek first to understand, then to be understood</w:t>
          </w:r>
          <w:r w:rsidRPr="00AE6151">
            <w:rPr>
              <w:noProof/>
            </w:rPr>
            <w:t>.</w:t>
          </w:r>
          <w:r>
            <w:rPr>
              <w:noProof/>
            </w:rPr>
            <w:t xml:space="preserve">’ </w:t>
          </w:r>
          <w:r w:rsidR="00AE6151" w:rsidRPr="00AE6151">
            <w:rPr>
              <w:noProof/>
            </w:rPr>
            <w:t>Stephen Covey</w:t>
          </w:r>
          <w:r w:rsidR="007034D9">
            <w:rPr>
              <w:noProof/>
            </w:rPr>
            <w:t>.</w:t>
          </w:r>
        </w:p>
        <w:p w14:paraId="14F30437" w14:textId="77777777" w:rsidR="00AE6151" w:rsidRPr="00AE6151" w:rsidRDefault="00AE6151" w:rsidP="00AE6151">
          <w:pPr>
            <w:rPr>
              <w:noProof/>
            </w:rPr>
          </w:pPr>
        </w:p>
        <w:p w14:paraId="39B8E072" w14:textId="53096728" w:rsidR="00E501B8" w:rsidRDefault="003A1E00" w:rsidP="00AE6151">
          <w:pPr>
            <w:rPr>
              <w:noProof/>
            </w:rPr>
          </w:pPr>
          <w:r>
            <w:rPr>
              <w:noProof/>
            </w:rPr>
            <w:lastRenderedPageBreak/>
            <w:t>‘</w:t>
          </w:r>
          <w:r w:rsidR="00AE6151" w:rsidRPr="00AE6151">
            <w:rPr>
              <w:noProof/>
            </w:rPr>
            <w:t>The only sustainable competitive advantage is an organisation’s ability to learn faster than the competition.</w:t>
          </w:r>
          <w:r>
            <w:rPr>
              <w:noProof/>
            </w:rPr>
            <w:t>’</w:t>
          </w:r>
          <w:r w:rsidR="00AE6151" w:rsidRPr="00AE6151">
            <w:rPr>
              <w:noProof/>
            </w:rPr>
            <w:t xml:space="preserve"> Peter Senge</w:t>
          </w:r>
          <w:r w:rsidR="007034D9">
            <w:rPr>
              <w:noProof/>
            </w:rPr>
            <w:t>.</w:t>
          </w:r>
        </w:p>
        <w:p w14:paraId="1021B8D1" w14:textId="77777777" w:rsidR="00A134A6" w:rsidRPr="00AE6151" w:rsidRDefault="00A134A6" w:rsidP="00AE6151">
          <w:pPr>
            <w:rPr>
              <w:noProof/>
            </w:rPr>
          </w:pPr>
        </w:p>
        <w:p w14:paraId="26A9738C" w14:textId="62CA2CEC" w:rsidR="00B32FEA" w:rsidRPr="00FA220E" w:rsidRDefault="00AE6151" w:rsidP="000F5B1D">
          <w:pPr>
            <w:pStyle w:val="Heading1"/>
            <w:rPr>
              <w:noProof/>
              <w:color w:val="063A72"/>
              <w:sz w:val="44"/>
              <w:szCs w:val="22"/>
            </w:rPr>
          </w:pPr>
          <w:r w:rsidRPr="00FA220E">
            <w:rPr>
              <w:noProof/>
              <w:color w:val="063A72"/>
              <w:sz w:val="44"/>
              <w:szCs w:val="22"/>
            </w:rPr>
            <w:t xml:space="preserve">The </w:t>
          </w:r>
          <w:r w:rsidR="007034D9" w:rsidRPr="00FA220E">
            <w:rPr>
              <w:noProof/>
              <w:color w:val="063A72"/>
              <w:sz w:val="44"/>
              <w:szCs w:val="22"/>
            </w:rPr>
            <w:t>path ahead</w:t>
          </w:r>
        </w:p>
        <w:p w14:paraId="3ABC6E58" w14:textId="77777777" w:rsidR="00E22F1B" w:rsidRDefault="00E22F1B" w:rsidP="00AE6151">
          <w:pPr>
            <w:pStyle w:val="BodyText"/>
            <w:rPr>
              <w:noProof/>
            </w:rPr>
          </w:pPr>
        </w:p>
        <w:p w14:paraId="6527673C" w14:textId="15C17BF0" w:rsidR="00AE6151" w:rsidRDefault="00AE6151" w:rsidP="00AE6151">
          <w:pPr>
            <w:pStyle w:val="BodyText"/>
            <w:rPr>
              <w:noProof/>
            </w:rPr>
          </w:pPr>
          <w:r>
            <w:rPr>
              <w:noProof/>
            </w:rPr>
            <w:t>The vision is that individuals at every career stage can discover roles in transport and logistics, and then pursue careers in the industry because the work has purpose, is engaging and aligns with their development and lifestyle goals.</w:t>
          </w:r>
        </w:p>
        <w:p w14:paraId="3E2209C2" w14:textId="77777777" w:rsidR="00AE6151" w:rsidRPr="00AE6151" w:rsidRDefault="00AE6151" w:rsidP="00AE6151"/>
        <w:p w14:paraId="33B0591E" w14:textId="77777777" w:rsidR="00AE6151" w:rsidRDefault="00AE6151" w:rsidP="00AE6151">
          <w:pPr>
            <w:pStyle w:val="BodyText"/>
            <w:rPr>
              <w:noProof/>
            </w:rPr>
          </w:pPr>
          <w:r>
            <w:rPr>
              <w:noProof/>
            </w:rPr>
            <w:t>To realise this vision, TLWAC and key stakeholders agreed to organise actions into three main focus areas:</w:t>
          </w:r>
        </w:p>
        <w:p w14:paraId="0F579218" w14:textId="77777777" w:rsidR="00AE6151" w:rsidRDefault="00AE6151" w:rsidP="00AE6151">
          <w:pPr>
            <w:pStyle w:val="BodyText"/>
            <w:numPr>
              <w:ilvl w:val="0"/>
              <w:numId w:val="22"/>
            </w:numPr>
            <w:rPr>
              <w:noProof/>
            </w:rPr>
          </w:pPr>
          <w:r>
            <w:rPr>
              <w:noProof/>
            </w:rPr>
            <w:t>Promote transport and logistics as an excellent career choice, where individuals can build successful, purpose-driven and fulfilling careers.</w:t>
          </w:r>
        </w:p>
        <w:p w14:paraId="2D8C4D0E" w14:textId="77777777" w:rsidR="00AE6151" w:rsidRDefault="00AE6151" w:rsidP="00AE6151">
          <w:pPr>
            <w:pStyle w:val="BodyText"/>
            <w:numPr>
              <w:ilvl w:val="0"/>
              <w:numId w:val="22"/>
            </w:numPr>
            <w:rPr>
              <w:noProof/>
            </w:rPr>
          </w:pPr>
          <w:r>
            <w:rPr>
              <w:noProof/>
            </w:rPr>
            <w:t>Optimise engagement with current and potential employees to maintain a skilled, motivated and available workforce.</w:t>
          </w:r>
        </w:p>
        <w:p w14:paraId="7A74DD9C" w14:textId="69AF820C" w:rsidR="00AE6151" w:rsidRDefault="00AE6151" w:rsidP="00AE6151">
          <w:pPr>
            <w:pStyle w:val="BodyText"/>
            <w:numPr>
              <w:ilvl w:val="0"/>
              <w:numId w:val="22"/>
            </w:numPr>
            <w:rPr>
              <w:noProof/>
            </w:rPr>
          </w:pPr>
          <w:r>
            <w:rPr>
              <w:noProof/>
            </w:rPr>
            <w:t>Link with specialists to increase the visibility, availability and accessibility of transport and logistics entry pathways for a wide range of job seekers.</w:t>
          </w:r>
        </w:p>
        <w:p w14:paraId="2C891FE2" w14:textId="77777777" w:rsidR="00AE6151" w:rsidRPr="00AE6151" w:rsidRDefault="00AE6151" w:rsidP="00AE6151"/>
        <w:p w14:paraId="2A8E708F" w14:textId="72B4290C" w:rsidR="00EB417C" w:rsidRDefault="00AE6151" w:rsidP="00AE6151">
          <w:pPr>
            <w:pStyle w:val="BodyText"/>
            <w:rPr>
              <w:noProof/>
            </w:rPr>
          </w:pPr>
          <w:r>
            <w:rPr>
              <w:noProof/>
            </w:rPr>
            <w:t xml:space="preserve">The actions align with the aims of the </w:t>
          </w:r>
          <w:hyperlink r:id="rId15" w:history="1">
            <w:r w:rsidRPr="00E22F1B">
              <w:rPr>
                <w:rStyle w:val="Hyperlink"/>
                <w:noProof/>
              </w:rPr>
              <w:t>Good People. Good Jobs: Queensland Workforce Strategy 2022–2032</w:t>
            </w:r>
          </w:hyperlink>
          <w:r>
            <w:rPr>
              <w:noProof/>
            </w:rPr>
            <w:t xml:space="preserve">, the </w:t>
          </w:r>
          <w:hyperlink r:id="rId16" w:history="1">
            <w:r w:rsidRPr="00E22F1B">
              <w:rPr>
                <w:rStyle w:val="Hyperlink"/>
                <w:noProof/>
              </w:rPr>
              <w:t>Queensland Skills Strategy</w:t>
            </w:r>
          </w:hyperlink>
          <w:r>
            <w:rPr>
              <w:noProof/>
            </w:rPr>
            <w:t xml:space="preserve">, and the applicable </w:t>
          </w:r>
          <w:hyperlink r:id="rId17" w:history="1">
            <w:r w:rsidRPr="00E22F1B">
              <w:rPr>
                <w:rStyle w:val="Hyperlink"/>
                <w:noProof/>
              </w:rPr>
              <w:t>Industry Skills Australia workforce plans</w:t>
            </w:r>
          </w:hyperlink>
          <w:r>
            <w:rPr>
              <w:noProof/>
            </w:rPr>
            <w:t>.</w:t>
          </w:r>
        </w:p>
        <w:p w14:paraId="532CBCEC" w14:textId="77777777" w:rsidR="00AE6151" w:rsidRDefault="00AE6151" w:rsidP="00AE6151"/>
        <w:p w14:paraId="01A5DEF7" w14:textId="77777777" w:rsidR="00AE6151" w:rsidRPr="00AE6151" w:rsidRDefault="007034D9" w:rsidP="00AE6151">
          <w:pPr>
            <w:rPr>
              <w:lang w:val="en-US"/>
            </w:rPr>
          </w:pPr>
          <w:r>
            <w:t>‘</w:t>
          </w:r>
          <w:r w:rsidR="00AE6151" w:rsidRPr="00AE6151">
            <w:rPr>
              <w:lang w:val="en-US"/>
            </w:rPr>
            <w:t>Our vision is to see a thriving transport and logistics workforce, where young people and others can find a role in the industry, discover the endless opportunities available, and then stay to pursue long-term, rewarding careers. The actions laid out here, provide a game plan for us and our industry colleagues to work towards every day</w:t>
          </w:r>
          <w:r w:rsidRPr="00AE6151">
            <w:rPr>
              <w:lang w:val="en-US"/>
            </w:rPr>
            <w:t>.</w:t>
          </w:r>
          <w:r>
            <w:rPr>
              <w:lang w:val="en-US"/>
            </w:rPr>
            <w:t>’</w:t>
          </w:r>
          <w:r w:rsidRPr="00AE6151">
            <w:rPr>
              <w:lang w:val="en-US"/>
            </w:rPr>
            <w:t xml:space="preserve"> </w:t>
          </w:r>
          <w:r w:rsidR="00AE6151" w:rsidRPr="00AE6151">
            <w:rPr>
              <w:lang w:val="en-US"/>
            </w:rPr>
            <w:t>TLWAC Members</w:t>
          </w:r>
          <w:r>
            <w:rPr>
              <w:lang w:val="en-US"/>
            </w:rPr>
            <w:t>.</w:t>
          </w:r>
        </w:p>
        <w:p w14:paraId="40B6024B" w14:textId="536751D1" w:rsidR="00AE6151" w:rsidRPr="00AE6151" w:rsidRDefault="00AE6151" w:rsidP="00AE6151"/>
        <w:p w14:paraId="68C07426" w14:textId="77777777" w:rsidR="008B5FAA" w:rsidRDefault="008B5FAA">
          <w:pPr>
            <w:spacing w:after="160" w:line="259" w:lineRule="auto"/>
            <w:rPr>
              <w:rFonts w:eastAsiaTheme="majorEastAsia" w:cstheme="majorBidi"/>
              <w:b/>
              <w:noProof/>
              <w:color w:val="003E69"/>
              <w:sz w:val="44"/>
            </w:rPr>
          </w:pPr>
          <w:r>
            <w:rPr>
              <w:noProof/>
              <w:sz w:val="44"/>
            </w:rPr>
            <w:br w:type="page"/>
          </w:r>
        </w:p>
        <w:p w14:paraId="463B20F9" w14:textId="01C75DB2" w:rsidR="00456B48" w:rsidRPr="00FA220E" w:rsidRDefault="00671613" w:rsidP="00456B48">
          <w:pPr>
            <w:pStyle w:val="Heading1"/>
            <w:rPr>
              <w:noProof/>
              <w:color w:val="063A72"/>
              <w:sz w:val="44"/>
              <w:szCs w:val="22"/>
            </w:rPr>
          </w:pPr>
          <w:r w:rsidRPr="00FA220E">
            <w:rPr>
              <w:noProof/>
              <w:color w:val="063A72"/>
              <w:sz w:val="44"/>
              <w:szCs w:val="22"/>
            </w:rPr>
            <w:lastRenderedPageBreak/>
            <w:t>Vision</w:t>
          </w:r>
        </w:p>
        <w:p w14:paraId="170754E6" w14:textId="77777777" w:rsidR="00456B48" w:rsidRDefault="00456B48" w:rsidP="008B5FAA">
          <w:pPr>
            <w:pStyle w:val="BodyText"/>
          </w:pPr>
        </w:p>
        <w:p w14:paraId="28B8D0A7" w14:textId="25E7608C" w:rsidR="00456B48" w:rsidRDefault="00456B48" w:rsidP="008B5FAA">
          <w:pPr>
            <w:pStyle w:val="BodyText"/>
          </w:pPr>
          <w:r>
            <w:rPr>
              <w:noProof/>
              <w:sz w:val="44"/>
            </w:rPr>
            <w:drawing>
              <wp:inline distT="0" distB="0" distL="0" distR="0" wp14:anchorId="386F9BC0" wp14:editId="4064C62C">
                <wp:extent cx="5760720" cy="5143500"/>
                <wp:effectExtent l="0" t="0" r="0" b="0"/>
                <wp:docPr id="2060741215" name="Picture 1" descr="Diagram representing the vision of Accessible and engaging transport and logistics careers, across sectors and throughout the career lifecycle. Nine job seeker groups are listed, with lines representing their possible pathways into seven different sectors in the industry. Refer to Figure two descriptio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41215" name="Picture 1" descr="Diagram representing the vision of Accessible and engaging transport and logistics careers, across sectors and throughout the career lifecycle. Nine job seeker groups are listed, with lines representing their possible pathways into seven different sectors in the industry. Refer to Figure two description below. "/>
                        <pic:cNvPicPr/>
                      </pic:nvPicPr>
                      <pic:blipFill>
                        <a:blip r:embed="rId18">
                          <a:extLst>
                            <a:ext uri="{28A0092B-C50C-407E-A947-70E740481C1C}">
                              <a14:useLocalDpi xmlns:a14="http://schemas.microsoft.com/office/drawing/2010/main" val="0"/>
                            </a:ext>
                          </a:extLst>
                        </a:blip>
                        <a:srcRect l="237" r="237"/>
                        <a:stretch>
                          <a:fillRect/>
                        </a:stretch>
                      </pic:blipFill>
                      <pic:spPr bwMode="auto">
                        <a:xfrm>
                          <a:off x="0" y="0"/>
                          <a:ext cx="5760720" cy="5143500"/>
                        </a:xfrm>
                        <a:prstGeom prst="rect">
                          <a:avLst/>
                        </a:prstGeom>
                        <a:ln>
                          <a:noFill/>
                        </a:ln>
                        <a:extLst>
                          <a:ext uri="{53640926-AAD7-44D8-BBD7-CCE9431645EC}">
                            <a14:shadowObscured xmlns:a14="http://schemas.microsoft.com/office/drawing/2010/main"/>
                          </a:ext>
                        </a:extLst>
                      </pic:spPr>
                    </pic:pic>
                  </a:graphicData>
                </a:graphic>
              </wp:inline>
            </w:drawing>
          </w:r>
        </w:p>
        <w:p w14:paraId="549F51CE" w14:textId="586220AC" w:rsidR="00E501B8" w:rsidRPr="008B5FAA" w:rsidRDefault="00456B48" w:rsidP="008B5FAA">
          <w:pPr>
            <w:pStyle w:val="BodyText"/>
            <w:rPr>
              <w:rFonts w:eastAsiaTheme="majorEastAsia" w:cstheme="majorBidi"/>
              <w:b/>
              <w:noProof/>
              <w:color w:val="003E69"/>
              <w:sz w:val="44"/>
            </w:rPr>
          </w:pPr>
          <w:r>
            <w:br/>
          </w:r>
          <w:r w:rsidR="008B5FAA" w:rsidRPr="008B5FAA">
            <w:t xml:space="preserve">Figure </w:t>
          </w:r>
          <w:r w:rsidR="008B5FAA">
            <w:t>2</w:t>
          </w:r>
          <w:r w:rsidR="008B5FAA" w:rsidRPr="008B5FAA">
            <w:t>: Diagram representing the vision of Accessible and engaging transport and logistics careers, across sectors and throughout the career lifecycle.</w:t>
          </w:r>
          <w:r w:rsidR="007034D9">
            <w:t xml:space="preserve"> </w:t>
          </w:r>
          <w:r w:rsidR="008B5FAA" w:rsidRPr="008B5FAA">
            <w:t xml:space="preserve">Nine job seeker groups are listed, with lines representing their possible pathways into seven different sectors in the industry. The job seeker groups </w:t>
          </w:r>
          <w:proofErr w:type="gramStart"/>
          <w:r w:rsidR="008B5FAA" w:rsidRPr="008B5FAA">
            <w:t>are:</w:t>
          </w:r>
          <w:proofErr w:type="gramEnd"/>
          <w:r w:rsidR="008B5FAA" w:rsidRPr="008B5FAA">
            <w:t xml:space="preserve"> </w:t>
          </w:r>
          <w:r w:rsidR="00D83983">
            <w:t>j</w:t>
          </w:r>
          <w:r w:rsidR="008B5FAA" w:rsidRPr="008B5FAA">
            <w:t xml:space="preserve">ob seekers, school leavers, tertiary students, school students, seeking progression, displaced workers, career change, retirement transition, and returning to the workforce. The sectors are aviation, road passenger transport, logistics, maritime, rail, road freight transport, and warehousing. </w:t>
          </w:r>
          <w:r w:rsidR="00E501B8">
            <w:rPr>
              <w:sz w:val="44"/>
            </w:rPr>
            <w:br w:type="page"/>
          </w:r>
        </w:p>
        <w:p w14:paraId="051E70AC" w14:textId="197E5118" w:rsidR="00DD526D" w:rsidRPr="00FA220E" w:rsidRDefault="00DF07AB" w:rsidP="00DD526D">
          <w:pPr>
            <w:pStyle w:val="Heading1"/>
            <w:rPr>
              <w:color w:val="063A72"/>
              <w:sz w:val="44"/>
              <w:szCs w:val="22"/>
            </w:rPr>
          </w:pPr>
          <w:r w:rsidRPr="00FA220E">
            <w:rPr>
              <w:color w:val="063A72"/>
              <w:sz w:val="44"/>
              <w:szCs w:val="22"/>
            </w:rPr>
            <w:lastRenderedPageBreak/>
            <w:t>Focus Areas and Actions</w:t>
          </w:r>
        </w:p>
        <w:p w14:paraId="0FDE3077" w14:textId="77777777" w:rsidR="00671613" w:rsidRPr="00671613" w:rsidRDefault="00671613" w:rsidP="00671613">
          <w:pPr>
            <w:pStyle w:val="ListBullet"/>
            <w:numPr>
              <w:ilvl w:val="0"/>
              <w:numId w:val="0"/>
            </w:numPr>
            <w:rPr>
              <w:szCs w:val="12"/>
            </w:rPr>
          </w:pPr>
        </w:p>
        <w:p w14:paraId="6CA66146" w14:textId="77777777" w:rsidR="00671613" w:rsidRPr="00FA220E" w:rsidRDefault="00671613" w:rsidP="00671613">
          <w:pPr>
            <w:pStyle w:val="Heading3"/>
            <w:rPr>
              <w:color w:val="063A72"/>
            </w:rPr>
          </w:pPr>
          <w:r w:rsidRPr="00FA220E">
            <w:rPr>
              <w:color w:val="063A72"/>
            </w:rPr>
            <w:t>Promote</w:t>
          </w:r>
        </w:p>
        <w:p w14:paraId="51EB1FCD" w14:textId="77777777" w:rsidR="00671613" w:rsidRDefault="00671613" w:rsidP="00671613">
          <w:pPr>
            <w:pStyle w:val="BodyText"/>
          </w:pPr>
          <w:r w:rsidRPr="00671613">
            <w:t>Promote transport and logistics as an excellent career choice, where individuals can build successful, purpose-driven and fulfilling careers.</w:t>
          </w:r>
        </w:p>
        <w:p w14:paraId="010B2BA2" w14:textId="77777777" w:rsidR="00DF07AB" w:rsidRDefault="00DF07AB" w:rsidP="00DF07AB"/>
        <w:p w14:paraId="4EF780DD" w14:textId="5E6F9DA2" w:rsidR="00DF07AB" w:rsidRPr="00DF07AB" w:rsidRDefault="00DF07AB" w:rsidP="00DF07AB">
          <w:pPr>
            <w:rPr>
              <w:b/>
              <w:bCs/>
            </w:rPr>
          </w:pPr>
          <w:r w:rsidRPr="00DF07AB">
            <w:rPr>
              <w:b/>
              <w:bCs/>
            </w:rPr>
            <w:t>Actions can include:</w:t>
          </w:r>
        </w:p>
        <w:p w14:paraId="458E98EC" w14:textId="77777777" w:rsidR="00DF07AB" w:rsidRPr="00671613" w:rsidRDefault="00DF07AB" w:rsidP="00DF07AB">
          <w:pPr>
            <w:pStyle w:val="ListBullet"/>
          </w:pPr>
          <w:r w:rsidRPr="00671613">
            <w:t>Produce high quality, engaging content to promote industry careers and advertise vacancies on multiple platforms.</w:t>
          </w:r>
        </w:p>
        <w:p w14:paraId="0A8D7FD6" w14:textId="77777777" w:rsidR="00DF07AB" w:rsidRPr="00671613" w:rsidRDefault="00DF07AB" w:rsidP="00DF07AB">
          <w:pPr>
            <w:pStyle w:val="ListBullet"/>
          </w:pPr>
          <w:r w:rsidRPr="00671613">
            <w:t>Highlight the essential role of transport and logistics for the community and the economy. Explicitly link industry roles with purpose-driven work.</w:t>
          </w:r>
        </w:p>
        <w:p w14:paraId="716DF002" w14:textId="77777777" w:rsidR="00DF07AB" w:rsidRPr="00671613" w:rsidRDefault="00DF07AB" w:rsidP="00DF07AB">
          <w:pPr>
            <w:pStyle w:val="ListBullet"/>
          </w:pPr>
          <w:r w:rsidRPr="00671613">
            <w:t>Increase the visibility of industry roles across all target audiences by providing multiple career education opportunities to progressively build awareness.</w:t>
          </w:r>
        </w:p>
        <w:p w14:paraId="219D7091" w14:textId="77777777" w:rsidR="00DF07AB" w:rsidRPr="00671613" w:rsidRDefault="00DF07AB" w:rsidP="00DF07AB">
          <w:pPr>
            <w:pStyle w:val="ListBullet"/>
          </w:pPr>
          <w:r w:rsidRPr="00671613">
            <w:t>Highlight the variety of roles, including those requiring a level of complexity and accountability not well understood in the community.</w:t>
          </w:r>
        </w:p>
        <w:p w14:paraId="2FF43D9F" w14:textId="77777777" w:rsidR="00DF07AB" w:rsidRPr="00671613" w:rsidRDefault="00DF07AB" w:rsidP="00DF07AB">
          <w:pPr>
            <w:pStyle w:val="ListBullet"/>
          </w:pPr>
          <w:r w:rsidRPr="00671613">
            <w:t>Showcase stories of people thriving in transport and logistics careers.</w:t>
          </w:r>
        </w:p>
        <w:p w14:paraId="47ECD986" w14:textId="77777777" w:rsidR="00DF07AB" w:rsidRDefault="00DF07AB" w:rsidP="00DF07AB">
          <w:pPr>
            <w:pStyle w:val="ListBullet"/>
          </w:pPr>
          <w:r w:rsidRPr="00671613">
            <w:t>Promote workforce development programs that are successfully addressing transport and logistics workforce challenges.</w:t>
          </w:r>
        </w:p>
        <w:p w14:paraId="17425E8F" w14:textId="77777777" w:rsidR="00DF07AB" w:rsidRPr="00DF07AB" w:rsidRDefault="00DF07AB" w:rsidP="00DF07AB"/>
        <w:p w14:paraId="0CFF3F59" w14:textId="442FE3B3" w:rsidR="00671613" w:rsidRDefault="00671613" w:rsidP="00671613">
          <w:pPr>
            <w:pStyle w:val="Heading3"/>
          </w:pPr>
          <w:r>
            <w:br/>
          </w:r>
          <w:r w:rsidRPr="00FA220E">
            <w:rPr>
              <w:color w:val="063A72"/>
            </w:rPr>
            <w:t>Engage</w:t>
          </w:r>
        </w:p>
        <w:p w14:paraId="76C5B31F" w14:textId="77777777" w:rsidR="00671613" w:rsidRDefault="00671613" w:rsidP="00671613">
          <w:r w:rsidRPr="00671613">
            <w:t>Optimise engagement with current and potential employees to maintain a skilled, motivated and available workforce.</w:t>
          </w:r>
        </w:p>
        <w:p w14:paraId="7E3CD044" w14:textId="77777777" w:rsidR="00DF07AB" w:rsidRDefault="00DF07AB" w:rsidP="00671613"/>
        <w:p w14:paraId="19053F45" w14:textId="0BBFF6E6" w:rsidR="00DF07AB" w:rsidRPr="00DF07AB" w:rsidRDefault="00DF07AB" w:rsidP="00671613">
          <w:pPr>
            <w:rPr>
              <w:b/>
              <w:bCs/>
            </w:rPr>
          </w:pPr>
          <w:r w:rsidRPr="00DF07AB">
            <w:rPr>
              <w:b/>
              <w:bCs/>
            </w:rPr>
            <w:t>Actions can include:</w:t>
          </w:r>
        </w:p>
        <w:p w14:paraId="22DDA85C" w14:textId="77777777" w:rsidR="00DF07AB" w:rsidRDefault="00DF07AB" w:rsidP="00DF07AB">
          <w:pPr>
            <w:pStyle w:val="ListBullet"/>
          </w:pPr>
          <w:r>
            <w:t>Highlight the purpose-driven nature of work in the industry, including the essential contribution to community, environmental and social factors.</w:t>
          </w:r>
        </w:p>
        <w:p w14:paraId="2C90A292" w14:textId="77777777" w:rsidR="00DF07AB" w:rsidRDefault="00DF07AB" w:rsidP="00DF07AB">
          <w:pPr>
            <w:pStyle w:val="ListBullet"/>
          </w:pPr>
          <w:r>
            <w:t>Make opportunities for career advancement and growth visible and rewarding. Map career pathways, including career lattices and transferable skills.</w:t>
          </w:r>
        </w:p>
        <w:p w14:paraId="43B98A03" w14:textId="77777777" w:rsidR="00DF07AB" w:rsidRPr="00671613" w:rsidRDefault="00DF07AB" w:rsidP="00DF07AB">
          <w:pPr>
            <w:pStyle w:val="ListBullet"/>
          </w:pPr>
          <w:r>
            <w:t>Respond to employee and job seeker preferences regarding job design, flexibility, and workplace culture. Highlight strengths in job advertisements.</w:t>
          </w:r>
        </w:p>
        <w:p w14:paraId="3FF0802A" w14:textId="77777777" w:rsidR="00DF07AB" w:rsidRDefault="00DF07AB" w:rsidP="00DF07AB">
          <w:pPr>
            <w:pStyle w:val="ListBullet"/>
          </w:pPr>
          <w:r>
            <w:t>Advocate for training and skilling that is fit-for-purpose, accessible and linked to career pathways. Includes micro-credentials, and initiatives to support heavy vehicle licencing.</w:t>
          </w:r>
        </w:p>
        <w:p w14:paraId="08719464" w14:textId="77777777" w:rsidR="00DF07AB" w:rsidRDefault="00DF07AB" w:rsidP="00DF07AB">
          <w:pPr>
            <w:pStyle w:val="ListBullet"/>
          </w:pPr>
          <w:r>
            <w:t>Respond to individuals’ contextual factors that influence workforce participation and engagement. Consider people at all stages of the career lifecycle, members of underrepresented groups, those living in regional and remote communities, and seasonal/mobile workers.</w:t>
          </w:r>
        </w:p>
        <w:p w14:paraId="08567E99" w14:textId="77777777" w:rsidR="00DF07AB" w:rsidRDefault="00DF07AB" w:rsidP="00DF07AB">
          <w:pPr>
            <w:pStyle w:val="ListBullet"/>
          </w:pPr>
          <w:r>
            <w:t>Adopt practices that facilitate employee wellbeing (physical and psychosocial).</w:t>
          </w:r>
        </w:p>
        <w:p w14:paraId="794364E2" w14:textId="77777777" w:rsidR="00DF07AB" w:rsidRDefault="00DF07AB" w:rsidP="00DF07AB">
          <w:pPr>
            <w:pStyle w:val="ListBullet"/>
          </w:pPr>
          <w:r>
            <w:lastRenderedPageBreak/>
            <w:t>Create opportunities for existing and potential employees from multiple generations to learn from each other, and value their respective strengths and contributions.</w:t>
          </w:r>
        </w:p>
        <w:p w14:paraId="5AA90789" w14:textId="77777777" w:rsidR="00DF07AB" w:rsidRDefault="00DF07AB" w:rsidP="00671613"/>
        <w:p w14:paraId="4EB18DA7" w14:textId="77777777" w:rsidR="00671613" w:rsidRDefault="00671613" w:rsidP="00671613"/>
        <w:p w14:paraId="0C943143" w14:textId="0D9A706E" w:rsidR="00671613" w:rsidRPr="00FA220E" w:rsidRDefault="00671613" w:rsidP="00671613">
          <w:pPr>
            <w:pStyle w:val="Heading3"/>
            <w:rPr>
              <w:color w:val="063A72"/>
            </w:rPr>
          </w:pPr>
          <w:r w:rsidRPr="00FA220E">
            <w:rPr>
              <w:color w:val="063A72"/>
            </w:rPr>
            <w:t>Link</w:t>
          </w:r>
        </w:p>
        <w:p w14:paraId="3CA272E6" w14:textId="77777777" w:rsidR="00671613" w:rsidRDefault="00671613" w:rsidP="00671613">
          <w:r w:rsidRPr="00671613">
            <w:t>Link with specialists to increase the visibility, availability and accessibility of transport and logistics entry pathways for a wide range of job seekers.</w:t>
          </w:r>
        </w:p>
        <w:p w14:paraId="19D11A50" w14:textId="77777777" w:rsidR="00671613" w:rsidRDefault="00671613" w:rsidP="00671613"/>
        <w:p w14:paraId="357436E0" w14:textId="59016203" w:rsidR="00DF07AB" w:rsidRPr="00DF07AB" w:rsidRDefault="00DF07AB" w:rsidP="00671613">
          <w:pPr>
            <w:rPr>
              <w:b/>
              <w:bCs/>
            </w:rPr>
          </w:pPr>
          <w:r w:rsidRPr="00DF07AB">
            <w:rPr>
              <w:b/>
              <w:bCs/>
            </w:rPr>
            <w:t>Actions can include:</w:t>
          </w:r>
        </w:p>
        <w:p w14:paraId="54F4B57A" w14:textId="77777777" w:rsidR="00DF07AB" w:rsidRDefault="00DF07AB" w:rsidP="00DF07AB">
          <w:pPr>
            <w:pStyle w:val="ListBullet"/>
          </w:pPr>
          <w:r w:rsidRPr="00671613">
            <w:t>Link with education professionals to provide career education experiences and entry pathway opportunities for secondary students and recent school leavers.</w:t>
          </w:r>
        </w:p>
        <w:p w14:paraId="4AE2E628" w14:textId="77777777" w:rsidR="00DF07AB" w:rsidRDefault="00DF07AB" w:rsidP="00DF07AB">
          <w:pPr>
            <w:pStyle w:val="ListBullet"/>
          </w:pPr>
          <w:r>
            <w:t>Link with universities to provide career education experiences and entry pathways opportunities for university students.</w:t>
          </w:r>
        </w:p>
        <w:p w14:paraId="7DA46864" w14:textId="77777777" w:rsidR="00DF07AB" w:rsidRDefault="00DF07AB" w:rsidP="00DF07AB">
          <w:pPr>
            <w:pStyle w:val="ListBullet"/>
            <w:rPr>
              <w:lang w:val="en-US"/>
            </w:rPr>
          </w:pPr>
          <w:r w:rsidRPr="00671613">
            <w:rPr>
              <w:lang w:val="en-US"/>
            </w:rPr>
            <w:t>Increase visibility of existing entry pathways to expand participation.</w:t>
          </w:r>
          <w:r>
            <w:rPr>
              <w:lang w:val="en-US"/>
            </w:rPr>
            <w:t xml:space="preserve"> </w:t>
          </w:r>
          <w:r w:rsidRPr="00671613">
            <w:rPr>
              <w:lang w:val="en-US"/>
            </w:rPr>
            <w:t>For example: internship programs, mentoring programs, Heavy Vehicle Driver Apprenticeship, traineeships and apprenticeships, scholarships, graduate recruitment.</w:t>
          </w:r>
        </w:p>
        <w:p w14:paraId="2745B8B2" w14:textId="77777777" w:rsidR="00DF07AB" w:rsidRDefault="00DF07AB" w:rsidP="00DF07AB">
          <w:pPr>
            <w:pStyle w:val="ListBullet"/>
          </w:pPr>
          <w:r>
            <w:t>Facilitate new career education opportunities and entry pathways for a variety of job seekers and target audiences.</w:t>
          </w:r>
        </w:p>
        <w:p w14:paraId="38CB3B96" w14:textId="77777777" w:rsidR="00DF07AB" w:rsidRPr="00671613" w:rsidRDefault="00DF07AB" w:rsidP="00DF07AB">
          <w:pPr>
            <w:pStyle w:val="ListBullet"/>
            <w:rPr>
              <w:lang w:val="en-US"/>
            </w:rPr>
          </w:pPr>
          <w:r w:rsidRPr="00671613">
            <w:rPr>
              <w:lang w:val="en-US"/>
            </w:rPr>
            <w:t>Identify and support solutions to common employment or progression barriers.</w:t>
          </w:r>
          <w:r>
            <w:rPr>
              <w:lang w:val="en-US"/>
            </w:rPr>
            <w:t xml:space="preserve"> </w:t>
          </w:r>
          <w:r w:rsidRPr="00671613">
            <w:rPr>
              <w:lang w:val="en-US"/>
            </w:rPr>
            <w:t>This includes programs to help young people obtain a driver licence.</w:t>
          </w:r>
        </w:p>
        <w:p w14:paraId="4913A9FE" w14:textId="77777777" w:rsidR="00671613" w:rsidRPr="00671613" w:rsidRDefault="00671613" w:rsidP="00671613">
          <w:pPr>
            <w:rPr>
              <w:lang w:val="en-US"/>
            </w:rPr>
          </w:pPr>
        </w:p>
        <w:p w14:paraId="183C18E0" w14:textId="77777777" w:rsidR="00671613" w:rsidRPr="00FA220E" w:rsidRDefault="00671613" w:rsidP="00671613">
          <w:pPr>
            <w:pStyle w:val="Heading1"/>
            <w:rPr>
              <w:bCs/>
              <w:color w:val="063A72"/>
              <w:sz w:val="44"/>
              <w:lang w:val="en-GB"/>
            </w:rPr>
          </w:pPr>
          <w:r w:rsidRPr="00FA220E">
            <w:rPr>
              <w:bCs/>
              <w:color w:val="063A72"/>
              <w:sz w:val="44"/>
              <w:lang w:val="en-GB"/>
            </w:rPr>
            <w:t>Making it happen</w:t>
          </w:r>
        </w:p>
        <w:p w14:paraId="1C5E27BC" w14:textId="77777777" w:rsidR="008B5FAA" w:rsidRPr="00671613" w:rsidRDefault="008B5FAA" w:rsidP="008B5FAA">
          <w:pPr>
            <w:rPr>
              <w:lang w:val="en-GB"/>
            </w:rPr>
          </w:pPr>
        </w:p>
        <w:p w14:paraId="5CB08C4A" w14:textId="77777777" w:rsidR="00671613" w:rsidRPr="00671613" w:rsidRDefault="00671613" w:rsidP="00671613">
          <w:r w:rsidRPr="00671613">
            <w:t>The 2025–2028 actions will be implemented via a series of events and activities facilitated by:</w:t>
          </w:r>
        </w:p>
        <w:p w14:paraId="7C02EA2A" w14:textId="77777777" w:rsidR="00671613" w:rsidRPr="00671613" w:rsidRDefault="00671613" w:rsidP="008B5FAA">
          <w:pPr>
            <w:pStyle w:val="ListBullet"/>
          </w:pPr>
          <w:r w:rsidRPr="00671613">
            <w:t>TLWAC members</w:t>
          </w:r>
        </w:p>
        <w:p w14:paraId="52E75634" w14:textId="141E11E3" w:rsidR="003D7DD7" w:rsidRDefault="00087A4E" w:rsidP="003601FD">
          <w:pPr>
            <w:pStyle w:val="ListBullet"/>
          </w:pPr>
          <w:r>
            <w:t>m</w:t>
          </w:r>
          <w:r w:rsidR="00671613" w:rsidRPr="00671613">
            <w:t>embers of the related Pathways and Attraction Working Group</w:t>
          </w:r>
        </w:p>
        <w:p w14:paraId="6A4B6E3B" w14:textId="2AFD4FB3" w:rsidR="00671613" w:rsidRPr="00671613" w:rsidRDefault="00671613" w:rsidP="003601FD">
          <w:pPr>
            <w:pStyle w:val="ListBullet"/>
          </w:pPr>
          <w:r w:rsidRPr="00671613">
            <w:t>TLI Connect</w:t>
          </w:r>
        </w:p>
        <w:p w14:paraId="6AD0C2C5" w14:textId="16E08A36" w:rsidR="00671613" w:rsidRPr="00671613" w:rsidRDefault="00087A4E" w:rsidP="008B5FAA">
          <w:pPr>
            <w:pStyle w:val="ListBullet"/>
          </w:pPr>
          <w:r>
            <w:t>i</w:t>
          </w:r>
          <w:r w:rsidR="00671613" w:rsidRPr="00671613">
            <w:t>ndustry colleagues</w:t>
          </w:r>
        </w:p>
        <w:p w14:paraId="65CCEAA3" w14:textId="38B8115C" w:rsidR="00671613" w:rsidRDefault="00087A4E" w:rsidP="008B5FAA">
          <w:pPr>
            <w:pStyle w:val="ListBullet"/>
          </w:pPr>
          <w:r>
            <w:t>c</w:t>
          </w:r>
          <w:r w:rsidR="00671613" w:rsidRPr="00671613">
            <w:t>ollaboration with professionals working in education, training and employment.</w:t>
          </w:r>
        </w:p>
        <w:p w14:paraId="68877C07" w14:textId="77777777" w:rsidR="008B5FAA" w:rsidRPr="00671613" w:rsidRDefault="008B5FAA" w:rsidP="008B5FAA">
          <w:pPr>
            <w:pStyle w:val="ListBullet"/>
            <w:numPr>
              <w:ilvl w:val="0"/>
              <w:numId w:val="0"/>
            </w:numPr>
            <w:ind w:left="567" w:hanging="567"/>
          </w:pPr>
        </w:p>
        <w:p w14:paraId="01525ECA" w14:textId="77777777" w:rsidR="00671613" w:rsidRDefault="00671613" w:rsidP="00671613">
          <w:r w:rsidRPr="00671613">
            <w:t>Events and activities will be planned in a variety of locations around the state, including in regional communities. These will be supported by the development and distribution of quality career education resources and promotional content.</w:t>
          </w:r>
        </w:p>
        <w:p w14:paraId="215FCFEA" w14:textId="77777777" w:rsidR="008B5FAA" w:rsidRPr="00671613" w:rsidRDefault="008B5FAA" w:rsidP="00671613"/>
        <w:p w14:paraId="500B0A41" w14:textId="77777777" w:rsidR="00671613" w:rsidRDefault="00671613" w:rsidP="00671613">
          <w:r w:rsidRPr="00671613">
            <w:t xml:space="preserve">Coordinating resources and efforts for activities across the sectors remains a challenge. Success will rely on the active engagement and participation of industry representatives from across the industry and around the state, and on creating </w:t>
          </w:r>
          <w:r w:rsidRPr="00671613">
            <w:lastRenderedPageBreak/>
            <w:t>additional opportunities for industry to work with education and training representatives.</w:t>
          </w:r>
        </w:p>
        <w:p w14:paraId="77895495" w14:textId="77777777" w:rsidR="008B5FAA" w:rsidRPr="00671613" w:rsidRDefault="008B5FAA" w:rsidP="00671613"/>
        <w:p w14:paraId="6FAF133D" w14:textId="57BEDA1E" w:rsidR="008B5FAA" w:rsidRDefault="00671613" w:rsidP="00671613">
          <w:pPr>
            <w:rPr>
              <w:sz w:val="44"/>
            </w:rPr>
          </w:pPr>
          <w:r w:rsidRPr="00671613">
            <w:t xml:space="preserve">Dynamic, actively engaged industry groups with expanding membership, a comprehensive annual events calendar, and regular reporting of activities will facilitate tangible progress towards the vision: </w:t>
          </w:r>
          <w:r w:rsidR="003C6F56">
            <w:t>‘</w:t>
          </w:r>
          <w:r w:rsidRPr="00671613">
            <w:t>Accessible and engaging transport and logistics careers, across sectors and throughout the career lifecycle.</w:t>
          </w:r>
          <w:r w:rsidR="003C6F56">
            <w:t>’</w:t>
          </w:r>
          <w:r w:rsidRPr="00B7680B">
            <w:rPr>
              <w:sz w:val="44"/>
            </w:rPr>
            <w:t xml:space="preserve"> </w:t>
          </w:r>
        </w:p>
        <w:p w14:paraId="1CD67E07" w14:textId="77777777" w:rsidR="008B5FAA" w:rsidRDefault="008B5FAA" w:rsidP="008B5FAA"/>
        <w:p w14:paraId="44D91BF6" w14:textId="047F11A5" w:rsidR="008B5FAA" w:rsidRDefault="00DF07AB" w:rsidP="00E96D81">
          <w:r>
            <w:t>‘</w:t>
          </w:r>
          <w:r w:rsidR="008B5FAA" w:rsidRPr="008B5FAA">
            <w:t>We look forward to working with our partners and stakeholders on these actions. We genuinely love working in this industry, and we are committed to building a skilled workforce to keep delivering the services so essential to our communities.</w:t>
          </w:r>
          <w:r>
            <w:t xml:space="preserve">’ </w:t>
          </w:r>
          <w:r w:rsidR="008B5FAA" w:rsidRPr="008B5FAA">
            <w:t>TLWAC Members</w:t>
          </w:r>
          <w:r>
            <w:t>.</w:t>
          </w:r>
        </w:p>
        <w:p w14:paraId="35251A69" w14:textId="77777777" w:rsidR="008B5FAA" w:rsidRPr="008B5FAA" w:rsidRDefault="008B5FAA" w:rsidP="008B5FAA"/>
        <w:p w14:paraId="7B3747BE" w14:textId="0B234F20" w:rsidR="008B5FAA" w:rsidRDefault="008B5FAA" w:rsidP="00E463C6">
          <w:pPr>
            <w:rPr>
              <w:sz w:val="44"/>
            </w:rPr>
          </w:pPr>
          <w:r>
            <w:rPr>
              <w:noProof/>
            </w:rPr>
            <w:lastRenderedPageBreak/>
            <w:drawing>
              <wp:inline distT="0" distB="0" distL="0" distR="0" wp14:anchorId="649F3685" wp14:editId="5446AB21">
                <wp:extent cx="6210390" cy="6224413"/>
                <wp:effectExtent l="0" t="0" r="0" b="5080"/>
                <wp:docPr id="1334493834" name="Picture 6" descr="Mind map representing the vision of “Accessible and engaging transport and logistics careers, across sectors and throughout the career lifecycle”, with twelve examples of activities included. Refer to Figure thr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93834" name="Picture 6" descr="Mind map representing the vision of “Accessible and engaging transport and logistics careers, across sectors and throughout the career lifecycle”, with twelve examples of activities included. Refer to Figure three description below."/>
                        <pic:cNvPicPr/>
                      </pic:nvPicPr>
                      <pic:blipFill rotWithShape="1">
                        <a:blip r:embed="rId19">
                          <a:extLst>
                            <a:ext uri="{28A0092B-C50C-407E-A947-70E740481C1C}">
                              <a14:useLocalDpi xmlns:a14="http://schemas.microsoft.com/office/drawing/2010/main" val="0"/>
                            </a:ext>
                          </a:extLst>
                        </a:blip>
                        <a:srcRect l="-256" t="1" r="-6961" b="264"/>
                        <a:stretch/>
                      </pic:blipFill>
                      <pic:spPr bwMode="auto">
                        <a:xfrm>
                          <a:off x="0" y="0"/>
                          <a:ext cx="6210390" cy="6224413"/>
                        </a:xfrm>
                        <a:prstGeom prst="rect">
                          <a:avLst/>
                        </a:prstGeom>
                        <a:ln>
                          <a:noFill/>
                        </a:ln>
                        <a:extLst>
                          <a:ext uri="{53640926-AAD7-44D8-BBD7-CCE9431645EC}">
                            <a14:shadowObscured xmlns:a14="http://schemas.microsoft.com/office/drawing/2010/main"/>
                          </a:ext>
                        </a:extLst>
                      </pic:spPr>
                    </pic:pic>
                  </a:graphicData>
                </a:graphic>
              </wp:inline>
            </w:drawing>
          </w:r>
        </w:p>
        <w:p w14:paraId="1E6EFC05" w14:textId="22C70B5C" w:rsidR="003D7DD7" w:rsidRDefault="007E7264" w:rsidP="003D7DD7">
          <w:r>
            <w:br/>
          </w:r>
          <w:r w:rsidR="008B5FAA">
            <w:t xml:space="preserve">Figure 3: </w:t>
          </w:r>
          <w:r w:rsidR="008B5FAA" w:rsidRPr="008B5FAA">
            <w:t>Mind</w:t>
          </w:r>
          <w:r w:rsidR="002C4307">
            <w:t xml:space="preserve"> </w:t>
          </w:r>
          <w:r w:rsidR="008B5FAA" w:rsidRPr="008B5FAA">
            <w:t>map representing the vision of “Accessible and engaging transport and logistics careers, across sectors and throughout the career lifecycle”, with twelve examples of activities included. The activities are: industry site visits for school students and staff, industry site visits for university students and staff, community events (including regional communities), entry pathways, school events, work experience and work-integrated learning, transport and logistics careers guide, Transfutures internships, career education resources on digital platforms, identifying funding sources to support skills, industry site visits for staff and clients from youth employment, ex-</w:t>
          </w:r>
          <w:r w:rsidR="007034D9">
            <w:t>d</w:t>
          </w:r>
          <w:r w:rsidR="007034D9" w:rsidRPr="008B5FAA">
            <w:t xml:space="preserve">efence </w:t>
          </w:r>
          <w:r w:rsidR="008B5FAA" w:rsidRPr="008B5FAA">
            <w:t>and other job seeker programs.</w:t>
          </w:r>
        </w:p>
      </w:sdtContent>
    </w:sdt>
    <w:p w14:paraId="0F910B0F" w14:textId="2B34AA1E" w:rsidR="00EA66C1" w:rsidRDefault="00EA66C1" w:rsidP="003D7DD7">
      <w:r>
        <w:br w:type="page"/>
      </w:r>
    </w:p>
    <w:p w14:paraId="36BF727F" w14:textId="0F54FE7E" w:rsidR="0084404D" w:rsidRPr="00FA220E" w:rsidRDefault="00EA66C1" w:rsidP="00A94846">
      <w:pPr>
        <w:pStyle w:val="Heading1"/>
        <w:jc w:val="center"/>
        <w:rPr>
          <w:bCs/>
          <w:color w:val="063A72"/>
          <w:sz w:val="44"/>
          <w:lang w:val="en-GB"/>
        </w:rPr>
      </w:pPr>
      <w:r w:rsidRPr="00FA220E">
        <w:rPr>
          <w:bCs/>
          <w:color w:val="063A72"/>
          <w:sz w:val="44"/>
          <w:lang w:val="en-GB"/>
        </w:rPr>
        <w:lastRenderedPageBreak/>
        <w:t>References</w:t>
      </w:r>
    </w:p>
    <w:p w14:paraId="4D0B9EF9" w14:textId="77777777" w:rsidR="00EA66C1" w:rsidRDefault="00EA66C1" w:rsidP="008B5FAA"/>
    <w:p w14:paraId="40705495" w14:textId="088A9CD0" w:rsidR="00EA66C1" w:rsidRDefault="00EA66C1" w:rsidP="00EA66C1">
      <w:pPr>
        <w:spacing w:line="480" w:lineRule="auto"/>
        <w:ind w:left="720" w:hanging="720"/>
        <w:rPr>
          <w:rFonts w:cstheme="minorHAnsi"/>
          <w:szCs w:val="24"/>
          <w:shd w:val="clear" w:color="auto" w:fill="FFFFFF"/>
        </w:rPr>
      </w:pPr>
      <w:r>
        <w:rPr>
          <w:rFonts w:cstheme="minorHAnsi"/>
          <w:szCs w:val="24"/>
          <w:shd w:val="clear" w:color="auto" w:fill="FFFFFF"/>
        </w:rPr>
        <w:t>Australian Bureau of Statistics. (2024, September). Labour Force, Australia. ABS. https://www.abs.gov.au/statistics/labour/employment-and-unemployment/labour-force-australia/latest-release.</w:t>
      </w:r>
    </w:p>
    <w:p w14:paraId="085B3321" w14:textId="3624E4F5" w:rsidR="00EA66C1" w:rsidRPr="00D23E4F" w:rsidRDefault="00EA66C1" w:rsidP="00EA66C1">
      <w:pPr>
        <w:spacing w:line="480" w:lineRule="auto"/>
        <w:ind w:left="720" w:hanging="720"/>
        <w:rPr>
          <w:rFonts w:cstheme="minorHAnsi"/>
          <w:szCs w:val="24"/>
          <w:shd w:val="clear" w:color="auto" w:fill="FFFFFF"/>
        </w:rPr>
      </w:pPr>
      <w:r w:rsidRPr="00D23E4F">
        <w:rPr>
          <w:rFonts w:cstheme="minorHAnsi"/>
          <w:szCs w:val="24"/>
          <w:shd w:val="clear" w:color="auto" w:fill="FFFFFF"/>
        </w:rPr>
        <w:t xml:space="preserve">Australian Government, Jobs and Skills Australia. (2024). Occupation Shortage Analysis. Jobs and Skills Australia. https://www.jobsandskills.gov.au/data/occupation-shortages-analysis </w:t>
      </w:r>
    </w:p>
    <w:p w14:paraId="331316FB" w14:textId="1D303275"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Covey, S. R. (1989). </w:t>
      </w:r>
      <w:r w:rsidRPr="00A94846">
        <w:rPr>
          <w:rFonts w:cstheme="minorHAnsi"/>
          <w:i/>
          <w:iCs/>
          <w:szCs w:val="24"/>
          <w:shd w:val="clear" w:color="auto" w:fill="FFFFFF"/>
        </w:rPr>
        <w:t xml:space="preserve">The </w:t>
      </w:r>
      <w:r w:rsidR="0045722C" w:rsidRPr="00F926C5">
        <w:rPr>
          <w:rFonts w:cstheme="minorHAnsi"/>
          <w:i/>
          <w:iCs/>
          <w:szCs w:val="24"/>
          <w:shd w:val="clear" w:color="auto" w:fill="FFFFFF"/>
        </w:rPr>
        <w:t>seven habits of highly effective people</w:t>
      </w:r>
      <w:r w:rsidR="00F926C5" w:rsidRPr="00F926C5">
        <w:rPr>
          <w:rFonts w:cstheme="minorHAnsi"/>
          <w:i/>
          <w:iCs/>
          <w:szCs w:val="24"/>
          <w:shd w:val="clear" w:color="auto" w:fill="FFFFFF"/>
        </w:rPr>
        <w:t xml:space="preserve">: Restoring </w:t>
      </w:r>
      <w:r w:rsidR="00F926C5">
        <w:rPr>
          <w:rFonts w:cstheme="minorHAnsi"/>
          <w:i/>
          <w:iCs/>
          <w:szCs w:val="24"/>
          <w:shd w:val="clear" w:color="auto" w:fill="FFFFFF"/>
        </w:rPr>
        <w:t>t</w:t>
      </w:r>
      <w:r w:rsidR="00F926C5" w:rsidRPr="00F926C5">
        <w:rPr>
          <w:rFonts w:cstheme="minorHAnsi"/>
          <w:i/>
          <w:iCs/>
          <w:szCs w:val="24"/>
          <w:shd w:val="clear" w:color="auto" w:fill="FFFFFF"/>
        </w:rPr>
        <w:t>he Character Ethic</w:t>
      </w:r>
      <w:r w:rsidRPr="00A94846">
        <w:rPr>
          <w:rFonts w:cstheme="minorHAnsi"/>
          <w:i/>
          <w:iCs/>
          <w:szCs w:val="24"/>
          <w:shd w:val="clear" w:color="auto" w:fill="FFFFFF"/>
        </w:rPr>
        <w:t>.</w:t>
      </w:r>
      <w:r w:rsidRPr="00A94846">
        <w:rPr>
          <w:rFonts w:cstheme="minorHAnsi"/>
          <w:szCs w:val="24"/>
          <w:shd w:val="clear" w:color="auto" w:fill="FFFFFF"/>
        </w:rPr>
        <w:t> New York, Simon and Schuster.</w:t>
      </w:r>
    </w:p>
    <w:p w14:paraId="10E06B8D" w14:textId="73603346"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 xml:space="preserve">Department of Employment, Small Business and Training. (2022). Good people, </w:t>
      </w:r>
      <w:proofErr w:type="gramStart"/>
      <w:r w:rsidRPr="00A94846">
        <w:rPr>
          <w:rFonts w:cstheme="minorHAnsi"/>
          <w:szCs w:val="24"/>
          <w:shd w:val="clear" w:color="auto" w:fill="FFFFFF"/>
        </w:rPr>
        <w:t>Good</w:t>
      </w:r>
      <w:proofErr w:type="gramEnd"/>
      <w:r w:rsidRPr="00A94846">
        <w:rPr>
          <w:rFonts w:cstheme="minorHAnsi"/>
          <w:szCs w:val="24"/>
          <w:shd w:val="clear" w:color="auto" w:fill="FFFFFF"/>
        </w:rPr>
        <w:t xml:space="preserve"> jobs: Queensland Workforce Strategy 2022-2032 [Report]. Queensland Government. </w:t>
      </w:r>
      <w:r w:rsidRPr="00A94846">
        <w:rPr>
          <w:szCs w:val="24"/>
        </w:rPr>
        <w:t>https://www.publications.qld.gov.au</w:t>
      </w:r>
      <w:r w:rsidRPr="00A94846">
        <w:rPr>
          <w:rFonts w:cstheme="minorHAnsi"/>
          <w:szCs w:val="24"/>
          <w:shd w:val="clear" w:color="auto" w:fill="FFFFFF"/>
        </w:rPr>
        <w:t xml:space="preserve"> </w:t>
      </w:r>
    </w:p>
    <w:p w14:paraId="0C8AB799" w14:textId="3414D9E5"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 xml:space="preserve">Department of Employment, Small Business and Training. (2024). Good Jobs, Great Training: Queensland Skills Strategy 2024 – 2028 [Report]. Queensland Government. </w:t>
      </w:r>
      <w:r w:rsidRPr="00A94846">
        <w:rPr>
          <w:szCs w:val="24"/>
        </w:rPr>
        <w:t>https://www.publications.qld.gov.au</w:t>
      </w:r>
    </w:p>
    <w:p w14:paraId="40B224F9" w14:textId="77777777" w:rsidR="00EA66C1" w:rsidRPr="00A94846" w:rsidRDefault="00EA66C1" w:rsidP="00A94846">
      <w:pPr>
        <w:spacing w:line="480" w:lineRule="auto"/>
        <w:ind w:left="567" w:hanging="567"/>
        <w:rPr>
          <w:rFonts w:cstheme="minorHAnsi"/>
          <w:szCs w:val="24"/>
          <w:shd w:val="clear" w:color="auto" w:fill="FFFFFF"/>
        </w:rPr>
      </w:pPr>
      <w:r w:rsidRPr="00A94846">
        <w:rPr>
          <w:rFonts w:cstheme="minorHAnsi"/>
          <w:szCs w:val="24"/>
          <w:shd w:val="clear" w:color="auto" w:fill="FFFFFF"/>
        </w:rPr>
        <w:t xml:space="preserve">Department of Transport and Main Roads. (2019). Queensland Freight Strategy. Queensland Government. </w:t>
      </w:r>
    </w:p>
    <w:p w14:paraId="0D414DBC" w14:textId="77777777"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Department of Transport and Main Roads. (2020). Queensland Freight Action Plan 2020–2022. Queensland Government.</w:t>
      </w:r>
    </w:p>
    <w:p w14:paraId="1D4FE0A4" w14:textId="77777777"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 xml:space="preserve">Department of Transport and Main Roads. (2022). Queensland Transport and Logistics Workforce Marketing Strategy 2022-2024. Queensland Government. </w:t>
      </w:r>
    </w:p>
    <w:p w14:paraId="1C69C806" w14:textId="77777777" w:rsidR="00EA66C1" w:rsidRPr="00A94846" w:rsidRDefault="00EA66C1" w:rsidP="00EA66C1">
      <w:pPr>
        <w:spacing w:line="480" w:lineRule="auto"/>
        <w:ind w:left="720" w:hanging="720"/>
        <w:rPr>
          <w:rFonts w:cstheme="minorHAnsi"/>
          <w:szCs w:val="24"/>
          <w:shd w:val="clear" w:color="auto" w:fill="FFFFFF"/>
        </w:rPr>
      </w:pPr>
      <w:r w:rsidRPr="00A94846">
        <w:rPr>
          <w:rFonts w:cstheme="minorHAnsi"/>
          <w:szCs w:val="24"/>
          <w:shd w:val="clear" w:color="auto" w:fill="FFFFFF"/>
        </w:rPr>
        <w:t xml:space="preserve">Department of Transport and Main Roads. (2020). Queensland Transport and Logistics Workforce Strategy and Action Plan 2021–2024. Queensland Government. </w:t>
      </w:r>
    </w:p>
    <w:p w14:paraId="212B5CDB" w14:textId="317199A2" w:rsidR="00EA66C1" w:rsidRPr="00A94846" w:rsidRDefault="00EA66C1" w:rsidP="00EA66C1">
      <w:pPr>
        <w:spacing w:line="480" w:lineRule="auto"/>
        <w:ind w:left="720" w:hanging="720"/>
        <w:rPr>
          <w:rFonts w:cstheme="minorHAnsi"/>
          <w:szCs w:val="24"/>
        </w:rPr>
      </w:pPr>
      <w:r w:rsidRPr="00A94846">
        <w:rPr>
          <w:rFonts w:cstheme="minorHAnsi"/>
          <w:szCs w:val="24"/>
        </w:rPr>
        <w:lastRenderedPageBreak/>
        <w:t xml:space="preserve">Orwell, G. (1945). [pseud. of Eric Arthur Blair]. </w:t>
      </w:r>
      <w:r w:rsidRPr="00A94846">
        <w:rPr>
          <w:rFonts w:cstheme="minorHAnsi"/>
          <w:i/>
          <w:iCs/>
          <w:szCs w:val="24"/>
        </w:rPr>
        <w:t xml:space="preserve">Review </w:t>
      </w:r>
      <w:r w:rsidR="0045722C" w:rsidRPr="00A94846">
        <w:rPr>
          <w:rFonts w:cstheme="minorHAnsi"/>
          <w:i/>
          <w:iCs/>
          <w:szCs w:val="24"/>
        </w:rPr>
        <w:t>of a coat of many colours</w:t>
      </w:r>
      <w:r w:rsidRPr="00A94846">
        <w:rPr>
          <w:rFonts w:cstheme="minorHAnsi"/>
          <w:i/>
          <w:iCs/>
          <w:szCs w:val="24"/>
        </w:rPr>
        <w:t xml:space="preserve">: Occasional </w:t>
      </w:r>
      <w:r w:rsidR="0045722C" w:rsidRPr="00A94846">
        <w:rPr>
          <w:rFonts w:cstheme="minorHAnsi"/>
          <w:i/>
          <w:iCs/>
          <w:szCs w:val="24"/>
        </w:rPr>
        <w:t>essays </w:t>
      </w:r>
      <w:r w:rsidRPr="00A94846">
        <w:rPr>
          <w:rFonts w:cstheme="minorHAnsi"/>
          <w:i/>
          <w:iCs/>
          <w:szCs w:val="24"/>
        </w:rPr>
        <w:t>by Herbert Read</w:t>
      </w:r>
      <w:r w:rsidRPr="00A94846">
        <w:rPr>
          <w:rFonts w:cstheme="minorHAnsi"/>
          <w:szCs w:val="24"/>
        </w:rPr>
        <w:t>, Poetry Quarterly (Winter 1945).</w:t>
      </w:r>
    </w:p>
    <w:p w14:paraId="17960CC3" w14:textId="73112170" w:rsidR="00EA66C1" w:rsidRPr="00A94846" w:rsidRDefault="00EA66C1" w:rsidP="00A94846">
      <w:pPr>
        <w:spacing w:line="480" w:lineRule="auto"/>
        <w:ind w:left="567" w:hanging="567"/>
        <w:rPr>
          <w:rFonts w:cstheme="minorHAnsi"/>
          <w:szCs w:val="24"/>
        </w:rPr>
      </w:pPr>
      <w:r w:rsidRPr="00A94846">
        <w:rPr>
          <w:rFonts w:cstheme="minorHAnsi"/>
          <w:szCs w:val="24"/>
        </w:rPr>
        <w:t xml:space="preserve">Renton, S. and </w:t>
      </w:r>
      <w:proofErr w:type="spellStart"/>
      <w:r w:rsidRPr="00A94846">
        <w:rPr>
          <w:rFonts w:cstheme="minorHAnsi"/>
          <w:szCs w:val="24"/>
        </w:rPr>
        <w:t>McCrindle</w:t>
      </w:r>
      <w:proofErr w:type="spellEnd"/>
      <w:r w:rsidRPr="00A94846">
        <w:rPr>
          <w:rFonts w:cstheme="minorHAnsi"/>
          <w:szCs w:val="24"/>
        </w:rPr>
        <w:t xml:space="preserve">, M. (2024). </w:t>
      </w:r>
      <w:r w:rsidRPr="00A94846">
        <w:rPr>
          <w:rFonts w:cstheme="minorHAnsi"/>
          <w:i/>
          <w:iCs/>
          <w:szCs w:val="24"/>
        </w:rPr>
        <w:t xml:space="preserve">Cultivating </w:t>
      </w:r>
      <w:r w:rsidR="00F926C5" w:rsidRPr="00F926C5">
        <w:rPr>
          <w:rFonts w:cstheme="minorHAnsi"/>
          <w:i/>
          <w:iCs/>
          <w:szCs w:val="24"/>
        </w:rPr>
        <w:t>Healthy Intergenerational Teams</w:t>
      </w:r>
      <w:r w:rsidRPr="00A94846">
        <w:rPr>
          <w:rFonts w:cstheme="minorHAnsi"/>
          <w:i/>
          <w:iCs/>
          <w:szCs w:val="24"/>
        </w:rPr>
        <w:t xml:space="preserve">. </w:t>
      </w:r>
      <w:r w:rsidRPr="00A94846">
        <w:rPr>
          <w:rFonts w:cstheme="minorHAnsi"/>
          <w:szCs w:val="24"/>
        </w:rPr>
        <w:t xml:space="preserve">Norwest, </w:t>
      </w:r>
      <w:proofErr w:type="spellStart"/>
      <w:r w:rsidRPr="00A94846">
        <w:rPr>
          <w:rFonts w:cstheme="minorHAnsi"/>
          <w:szCs w:val="24"/>
        </w:rPr>
        <w:t>McCrindle</w:t>
      </w:r>
      <w:proofErr w:type="spellEnd"/>
      <w:r w:rsidRPr="00A94846">
        <w:rPr>
          <w:rFonts w:cstheme="minorHAnsi"/>
          <w:szCs w:val="24"/>
        </w:rPr>
        <w:t xml:space="preserve"> Research.</w:t>
      </w:r>
    </w:p>
    <w:p w14:paraId="72744817" w14:textId="402A0D1F" w:rsidR="00EA66C1" w:rsidRPr="00A94846" w:rsidRDefault="00EA66C1" w:rsidP="00EA66C1">
      <w:pPr>
        <w:spacing w:line="480" w:lineRule="auto"/>
        <w:ind w:left="720" w:hanging="720"/>
        <w:rPr>
          <w:rFonts w:cstheme="minorHAnsi"/>
          <w:szCs w:val="24"/>
        </w:rPr>
      </w:pPr>
      <w:r w:rsidRPr="00A94846">
        <w:rPr>
          <w:rFonts w:cstheme="minorHAnsi"/>
          <w:szCs w:val="24"/>
        </w:rPr>
        <w:t>Senge, Peter M. </w:t>
      </w:r>
      <w:r w:rsidRPr="00A94846">
        <w:rPr>
          <w:rFonts w:cstheme="minorHAnsi"/>
          <w:i/>
          <w:iCs/>
          <w:szCs w:val="24"/>
        </w:rPr>
        <w:t xml:space="preserve">The Fifth Discipline: The </w:t>
      </w:r>
      <w:r w:rsidR="0045722C" w:rsidRPr="00A94846">
        <w:rPr>
          <w:rFonts w:cstheme="minorHAnsi"/>
          <w:i/>
          <w:iCs/>
          <w:szCs w:val="24"/>
        </w:rPr>
        <w:t xml:space="preserve">Art </w:t>
      </w:r>
      <w:r w:rsidR="0045722C">
        <w:rPr>
          <w:rFonts w:cstheme="minorHAnsi"/>
          <w:i/>
          <w:iCs/>
          <w:szCs w:val="24"/>
        </w:rPr>
        <w:t>a</w:t>
      </w:r>
      <w:r w:rsidR="0045722C" w:rsidRPr="00A94846">
        <w:rPr>
          <w:rFonts w:cstheme="minorHAnsi"/>
          <w:i/>
          <w:iCs/>
          <w:szCs w:val="24"/>
        </w:rPr>
        <w:t>nd Practice of The Learning Organization</w:t>
      </w:r>
      <w:r w:rsidRPr="00A94846">
        <w:rPr>
          <w:rFonts w:cstheme="minorHAnsi"/>
          <w:szCs w:val="24"/>
        </w:rPr>
        <w:t>. New York, Doubleday/Currency, 1990.</w:t>
      </w:r>
    </w:p>
    <w:p w14:paraId="71FE7D7C" w14:textId="1F965832" w:rsidR="00EA66C1" w:rsidRPr="00A94846" w:rsidRDefault="00EA66C1" w:rsidP="00EA66C1">
      <w:pPr>
        <w:spacing w:line="480" w:lineRule="auto"/>
        <w:ind w:left="720" w:hanging="720"/>
        <w:rPr>
          <w:rFonts w:cstheme="minorHAnsi"/>
          <w:szCs w:val="24"/>
        </w:rPr>
      </w:pPr>
      <w:r w:rsidRPr="00A94846">
        <w:rPr>
          <w:rFonts w:cstheme="minorHAnsi"/>
          <w:szCs w:val="24"/>
        </w:rPr>
        <w:t xml:space="preserve">Seawright, S. (2009). Influencing </w:t>
      </w:r>
      <w:r w:rsidR="00F926C5" w:rsidRPr="00F926C5">
        <w:rPr>
          <w:rFonts w:cstheme="minorHAnsi"/>
          <w:szCs w:val="24"/>
        </w:rPr>
        <w:t xml:space="preserve">Career Development Commitment with Employers </w:t>
      </w:r>
      <w:r w:rsidR="00F926C5">
        <w:rPr>
          <w:rFonts w:cstheme="minorHAnsi"/>
          <w:szCs w:val="24"/>
        </w:rPr>
        <w:t>a</w:t>
      </w:r>
      <w:r w:rsidR="00F926C5" w:rsidRPr="00F926C5">
        <w:rPr>
          <w:rFonts w:cstheme="minorHAnsi"/>
          <w:szCs w:val="24"/>
        </w:rPr>
        <w:t>nd Individuals</w:t>
      </w:r>
      <w:r w:rsidRPr="00A94846">
        <w:rPr>
          <w:rFonts w:cstheme="minorHAnsi"/>
          <w:szCs w:val="24"/>
        </w:rPr>
        <w:t xml:space="preserve">. </w:t>
      </w:r>
      <w:r w:rsidRPr="00A94846">
        <w:rPr>
          <w:rFonts w:cstheme="minorHAnsi"/>
          <w:i/>
          <w:szCs w:val="24"/>
        </w:rPr>
        <w:t>Australian Journal of Career Development, 18</w:t>
      </w:r>
      <w:r w:rsidRPr="00A94846">
        <w:rPr>
          <w:rFonts w:cstheme="minorHAnsi"/>
          <w:szCs w:val="24"/>
        </w:rPr>
        <w:t>(3), 65-67.</w:t>
      </w:r>
    </w:p>
    <w:p w14:paraId="0EB93703" w14:textId="77777777" w:rsidR="00EA66C1" w:rsidRPr="00EA66C1" w:rsidRDefault="00EA66C1" w:rsidP="008B5FAA">
      <w:pPr>
        <w:rPr>
          <w:szCs w:val="24"/>
        </w:rPr>
      </w:pPr>
    </w:p>
    <w:sectPr w:rsidR="00EA66C1" w:rsidRPr="00EA66C1" w:rsidSect="00394461">
      <w:headerReference w:type="even" r:id="rId20"/>
      <w:headerReference w:type="default" r:id="rId21"/>
      <w:footerReference w:type="even" r:id="rId22"/>
      <w:footerReference w:type="default" r:id="rId23"/>
      <w:headerReference w:type="first" r:id="rId24"/>
      <w:footerReference w:type="first" r:id="rId25"/>
      <w:pgSz w:w="11906" w:h="16838" w:code="9"/>
      <w:pgMar w:top="1843" w:right="1417" w:bottom="1560"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5CF6A" w14:textId="77777777" w:rsidR="00C34644" w:rsidRDefault="00C34644" w:rsidP="00A9280E">
      <w:pPr>
        <w:spacing w:line="240" w:lineRule="auto"/>
      </w:pPr>
      <w:r>
        <w:separator/>
      </w:r>
    </w:p>
  </w:endnote>
  <w:endnote w:type="continuationSeparator" w:id="0">
    <w:p w14:paraId="4B33FC18" w14:textId="77777777" w:rsidR="00C34644" w:rsidRDefault="00C34644" w:rsidP="00A9280E">
      <w:pPr>
        <w:spacing w:line="240" w:lineRule="auto"/>
      </w:pPr>
      <w:r>
        <w:continuationSeparator/>
      </w:r>
    </w:p>
  </w:endnote>
  <w:endnote w:type="continuationNotice" w:id="1">
    <w:p w14:paraId="53B350CC" w14:textId="77777777" w:rsidR="00C34644" w:rsidRDefault="00C346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
    <w:panose1 w:val="020B0504030101020102"/>
    <w:charset w:val="00"/>
    <w:family w:val="swiss"/>
    <w:notTrueType/>
    <w:pitch w:val="variable"/>
    <w:sig w:usb0="A00002FF" w:usb1="4000207B"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2226" w14:textId="77777777" w:rsidR="002D01C0" w:rsidRDefault="002D0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CC52" w14:textId="77777777" w:rsidR="002D01C0" w:rsidRDefault="002D0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5124" w14:textId="77777777" w:rsidR="002D01C0" w:rsidRDefault="002D0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D29DD" w14:textId="77777777" w:rsidR="00C34644" w:rsidRDefault="00C34644" w:rsidP="00A9280E">
      <w:pPr>
        <w:spacing w:line="240" w:lineRule="auto"/>
      </w:pPr>
      <w:r>
        <w:separator/>
      </w:r>
    </w:p>
  </w:footnote>
  <w:footnote w:type="continuationSeparator" w:id="0">
    <w:p w14:paraId="71B55854" w14:textId="77777777" w:rsidR="00C34644" w:rsidRDefault="00C34644" w:rsidP="00A9280E">
      <w:pPr>
        <w:spacing w:line="240" w:lineRule="auto"/>
      </w:pPr>
      <w:r>
        <w:continuationSeparator/>
      </w:r>
    </w:p>
  </w:footnote>
  <w:footnote w:type="continuationNotice" w:id="1">
    <w:p w14:paraId="0D8B6334" w14:textId="77777777" w:rsidR="00C34644" w:rsidRDefault="00C346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FB28" w14:textId="7C2A22DE" w:rsidR="002D01C0" w:rsidRDefault="002D0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6768" w14:textId="7788A66A" w:rsidR="002D01C0" w:rsidRDefault="002D01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358C" w14:textId="598270B1" w:rsidR="002D01C0" w:rsidRDefault="002D0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B9ECBF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AF34DF"/>
    <w:multiLevelType w:val="hybridMultilevel"/>
    <w:tmpl w:val="337440BA"/>
    <w:lvl w:ilvl="0" w:tplc="7D28E916">
      <w:start w:val="1"/>
      <w:numFmt w:val="bullet"/>
      <w:lvlText w:val=""/>
      <w:lvlJc w:val="left"/>
      <w:pPr>
        <w:ind w:left="1280" w:hanging="360"/>
      </w:pPr>
      <w:rPr>
        <w:rFonts w:ascii="Symbol" w:hAnsi="Symbol"/>
      </w:rPr>
    </w:lvl>
    <w:lvl w:ilvl="1" w:tplc="AC32A98A">
      <w:start w:val="1"/>
      <w:numFmt w:val="bullet"/>
      <w:lvlText w:val=""/>
      <w:lvlJc w:val="left"/>
      <w:pPr>
        <w:ind w:left="1280" w:hanging="360"/>
      </w:pPr>
      <w:rPr>
        <w:rFonts w:ascii="Symbol" w:hAnsi="Symbol"/>
      </w:rPr>
    </w:lvl>
    <w:lvl w:ilvl="2" w:tplc="8AA8BFE0">
      <w:start w:val="1"/>
      <w:numFmt w:val="bullet"/>
      <w:lvlText w:val=""/>
      <w:lvlJc w:val="left"/>
      <w:pPr>
        <w:ind w:left="1280" w:hanging="360"/>
      </w:pPr>
      <w:rPr>
        <w:rFonts w:ascii="Symbol" w:hAnsi="Symbol"/>
      </w:rPr>
    </w:lvl>
    <w:lvl w:ilvl="3" w:tplc="AB7AE676">
      <w:start w:val="1"/>
      <w:numFmt w:val="bullet"/>
      <w:lvlText w:val=""/>
      <w:lvlJc w:val="left"/>
      <w:pPr>
        <w:ind w:left="1280" w:hanging="360"/>
      </w:pPr>
      <w:rPr>
        <w:rFonts w:ascii="Symbol" w:hAnsi="Symbol"/>
      </w:rPr>
    </w:lvl>
    <w:lvl w:ilvl="4" w:tplc="BC9E990C">
      <w:start w:val="1"/>
      <w:numFmt w:val="bullet"/>
      <w:lvlText w:val=""/>
      <w:lvlJc w:val="left"/>
      <w:pPr>
        <w:ind w:left="1280" w:hanging="360"/>
      </w:pPr>
      <w:rPr>
        <w:rFonts w:ascii="Symbol" w:hAnsi="Symbol"/>
      </w:rPr>
    </w:lvl>
    <w:lvl w:ilvl="5" w:tplc="C9C089C4">
      <w:start w:val="1"/>
      <w:numFmt w:val="bullet"/>
      <w:lvlText w:val=""/>
      <w:lvlJc w:val="left"/>
      <w:pPr>
        <w:ind w:left="1280" w:hanging="360"/>
      </w:pPr>
      <w:rPr>
        <w:rFonts w:ascii="Symbol" w:hAnsi="Symbol"/>
      </w:rPr>
    </w:lvl>
    <w:lvl w:ilvl="6" w:tplc="C7B2941C">
      <w:start w:val="1"/>
      <w:numFmt w:val="bullet"/>
      <w:lvlText w:val=""/>
      <w:lvlJc w:val="left"/>
      <w:pPr>
        <w:ind w:left="1280" w:hanging="360"/>
      </w:pPr>
      <w:rPr>
        <w:rFonts w:ascii="Symbol" w:hAnsi="Symbol"/>
      </w:rPr>
    </w:lvl>
    <w:lvl w:ilvl="7" w:tplc="6994BE30">
      <w:start w:val="1"/>
      <w:numFmt w:val="bullet"/>
      <w:lvlText w:val=""/>
      <w:lvlJc w:val="left"/>
      <w:pPr>
        <w:ind w:left="1280" w:hanging="360"/>
      </w:pPr>
      <w:rPr>
        <w:rFonts w:ascii="Symbol" w:hAnsi="Symbol"/>
      </w:rPr>
    </w:lvl>
    <w:lvl w:ilvl="8" w:tplc="C5FE46FE">
      <w:start w:val="1"/>
      <w:numFmt w:val="bullet"/>
      <w:lvlText w:val=""/>
      <w:lvlJc w:val="left"/>
      <w:pPr>
        <w:ind w:left="1280" w:hanging="360"/>
      </w:pPr>
      <w:rPr>
        <w:rFonts w:ascii="Symbol" w:hAnsi="Symbol"/>
      </w:rPr>
    </w:lvl>
  </w:abstractNum>
  <w:abstractNum w:abstractNumId="7"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8C7661"/>
    <w:multiLevelType w:val="hybridMultilevel"/>
    <w:tmpl w:val="90C08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343A13"/>
    <w:multiLevelType w:val="hybridMultilevel"/>
    <w:tmpl w:val="302A32B6"/>
    <w:lvl w:ilvl="0" w:tplc="F6A4AC3A">
      <w:start w:val="1"/>
      <w:numFmt w:val="bullet"/>
      <w:lvlText w:val=""/>
      <w:lvlJc w:val="left"/>
      <w:pPr>
        <w:ind w:left="1280" w:hanging="360"/>
      </w:pPr>
      <w:rPr>
        <w:rFonts w:ascii="Symbol" w:hAnsi="Symbol"/>
      </w:rPr>
    </w:lvl>
    <w:lvl w:ilvl="1" w:tplc="C1F08D08">
      <w:start w:val="1"/>
      <w:numFmt w:val="bullet"/>
      <w:lvlText w:val=""/>
      <w:lvlJc w:val="left"/>
      <w:pPr>
        <w:ind w:left="1280" w:hanging="360"/>
      </w:pPr>
      <w:rPr>
        <w:rFonts w:ascii="Symbol" w:hAnsi="Symbol"/>
      </w:rPr>
    </w:lvl>
    <w:lvl w:ilvl="2" w:tplc="04D6D5AA">
      <w:start w:val="1"/>
      <w:numFmt w:val="bullet"/>
      <w:lvlText w:val=""/>
      <w:lvlJc w:val="left"/>
      <w:pPr>
        <w:ind w:left="1280" w:hanging="360"/>
      </w:pPr>
      <w:rPr>
        <w:rFonts w:ascii="Symbol" w:hAnsi="Symbol"/>
      </w:rPr>
    </w:lvl>
    <w:lvl w:ilvl="3" w:tplc="7F6CB54C">
      <w:start w:val="1"/>
      <w:numFmt w:val="bullet"/>
      <w:lvlText w:val=""/>
      <w:lvlJc w:val="left"/>
      <w:pPr>
        <w:ind w:left="1280" w:hanging="360"/>
      </w:pPr>
      <w:rPr>
        <w:rFonts w:ascii="Symbol" w:hAnsi="Symbol"/>
      </w:rPr>
    </w:lvl>
    <w:lvl w:ilvl="4" w:tplc="C688EBDC">
      <w:start w:val="1"/>
      <w:numFmt w:val="bullet"/>
      <w:lvlText w:val=""/>
      <w:lvlJc w:val="left"/>
      <w:pPr>
        <w:ind w:left="1280" w:hanging="360"/>
      </w:pPr>
      <w:rPr>
        <w:rFonts w:ascii="Symbol" w:hAnsi="Symbol"/>
      </w:rPr>
    </w:lvl>
    <w:lvl w:ilvl="5" w:tplc="114849DE">
      <w:start w:val="1"/>
      <w:numFmt w:val="bullet"/>
      <w:lvlText w:val=""/>
      <w:lvlJc w:val="left"/>
      <w:pPr>
        <w:ind w:left="1280" w:hanging="360"/>
      </w:pPr>
      <w:rPr>
        <w:rFonts w:ascii="Symbol" w:hAnsi="Symbol"/>
      </w:rPr>
    </w:lvl>
    <w:lvl w:ilvl="6" w:tplc="5D5A9B6E">
      <w:start w:val="1"/>
      <w:numFmt w:val="bullet"/>
      <w:lvlText w:val=""/>
      <w:lvlJc w:val="left"/>
      <w:pPr>
        <w:ind w:left="1280" w:hanging="360"/>
      </w:pPr>
      <w:rPr>
        <w:rFonts w:ascii="Symbol" w:hAnsi="Symbol"/>
      </w:rPr>
    </w:lvl>
    <w:lvl w:ilvl="7" w:tplc="444A3E02">
      <w:start w:val="1"/>
      <w:numFmt w:val="bullet"/>
      <w:lvlText w:val=""/>
      <w:lvlJc w:val="left"/>
      <w:pPr>
        <w:ind w:left="1280" w:hanging="360"/>
      </w:pPr>
      <w:rPr>
        <w:rFonts w:ascii="Symbol" w:hAnsi="Symbol"/>
      </w:rPr>
    </w:lvl>
    <w:lvl w:ilvl="8" w:tplc="4FD075D4">
      <w:start w:val="1"/>
      <w:numFmt w:val="bullet"/>
      <w:lvlText w:val=""/>
      <w:lvlJc w:val="left"/>
      <w:pPr>
        <w:ind w:left="1280" w:hanging="360"/>
      </w:pPr>
      <w:rPr>
        <w:rFonts w:ascii="Symbol" w:hAnsi="Symbol"/>
      </w:rPr>
    </w:lvl>
  </w:abstractNum>
  <w:abstractNum w:abstractNumId="12" w15:restartNumberingAfterBreak="0">
    <w:nsid w:val="352875A7"/>
    <w:multiLevelType w:val="hybridMultilevel"/>
    <w:tmpl w:val="8EC22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45D0E"/>
    <w:multiLevelType w:val="hybridMultilevel"/>
    <w:tmpl w:val="3DD81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0"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1"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2"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23" w15:restartNumberingAfterBreak="0">
    <w:nsid w:val="7FE41977"/>
    <w:multiLevelType w:val="hybridMultilevel"/>
    <w:tmpl w:val="3FF89822"/>
    <w:lvl w:ilvl="0" w:tplc="EA08DC48">
      <w:start w:val="1"/>
      <w:numFmt w:val="bullet"/>
      <w:lvlText w:val=""/>
      <w:lvlJc w:val="left"/>
      <w:pPr>
        <w:ind w:left="1280" w:hanging="360"/>
      </w:pPr>
      <w:rPr>
        <w:rFonts w:ascii="Symbol" w:hAnsi="Symbol"/>
      </w:rPr>
    </w:lvl>
    <w:lvl w:ilvl="1" w:tplc="74AECA5A">
      <w:start w:val="1"/>
      <w:numFmt w:val="bullet"/>
      <w:lvlText w:val=""/>
      <w:lvlJc w:val="left"/>
      <w:pPr>
        <w:ind w:left="1280" w:hanging="360"/>
      </w:pPr>
      <w:rPr>
        <w:rFonts w:ascii="Symbol" w:hAnsi="Symbol"/>
      </w:rPr>
    </w:lvl>
    <w:lvl w:ilvl="2" w:tplc="70143FFA">
      <w:start w:val="1"/>
      <w:numFmt w:val="bullet"/>
      <w:lvlText w:val=""/>
      <w:lvlJc w:val="left"/>
      <w:pPr>
        <w:ind w:left="1280" w:hanging="360"/>
      </w:pPr>
      <w:rPr>
        <w:rFonts w:ascii="Symbol" w:hAnsi="Symbol"/>
      </w:rPr>
    </w:lvl>
    <w:lvl w:ilvl="3" w:tplc="E9B0C146">
      <w:start w:val="1"/>
      <w:numFmt w:val="bullet"/>
      <w:lvlText w:val=""/>
      <w:lvlJc w:val="left"/>
      <w:pPr>
        <w:ind w:left="1280" w:hanging="360"/>
      </w:pPr>
      <w:rPr>
        <w:rFonts w:ascii="Symbol" w:hAnsi="Symbol"/>
      </w:rPr>
    </w:lvl>
    <w:lvl w:ilvl="4" w:tplc="0C86B70C">
      <w:start w:val="1"/>
      <w:numFmt w:val="bullet"/>
      <w:lvlText w:val=""/>
      <w:lvlJc w:val="left"/>
      <w:pPr>
        <w:ind w:left="1280" w:hanging="360"/>
      </w:pPr>
      <w:rPr>
        <w:rFonts w:ascii="Symbol" w:hAnsi="Symbol"/>
      </w:rPr>
    </w:lvl>
    <w:lvl w:ilvl="5" w:tplc="BD0CE7B0">
      <w:start w:val="1"/>
      <w:numFmt w:val="bullet"/>
      <w:lvlText w:val=""/>
      <w:lvlJc w:val="left"/>
      <w:pPr>
        <w:ind w:left="1280" w:hanging="360"/>
      </w:pPr>
      <w:rPr>
        <w:rFonts w:ascii="Symbol" w:hAnsi="Symbol"/>
      </w:rPr>
    </w:lvl>
    <w:lvl w:ilvl="6" w:tplc="FE3C114E">
      <w:start w:val="1"/>
      <w:numFmt w:val="bullet"/>
      <w:lvlText w:val=""/>
      <w:lvlJc w:val="left"/>
      <w:pPr>
        <w:ind w:left="1280" w:hanging="360"/>
      </w:pPr>
      <w:rPr>
        <w:rFonts w:ascii="Symbol" w:hAnsi="Symbol"/>
      </w:rPr>
    </w:lvl>
    <w:lvl w:ilvl="7" w:tplc="1D9440EE">
      <w:start w:val="1"/>
      <w:numFmt w:val="bullet"/>
      <w:lvlText w:val=""/>
      <w:lvlJc w:val="left"/>
      <w:pPr>
        <w:ind w:left="1280" w:hanging="360"/>
      </w:pPr>
      <w:rPr>
        <w:rFonts w:ascii="Symbol" w:hAnsi="Symbol"/>
      </w:rPr>
    </w:lvl>
    <w:lvl w:ilvl="8" w:tplc="3DB49B70">
      <w:start w:val="1"/>
      <w:numFmt w:val="bullet"/>
      <w:lvlText w:val=""/>
      <w:lvlJc w:val="left"/>
      <w:pPr>
        <w:ind w:left="1280" w:hanging="360"/>
      </w:pPr>
      <w:rPr>
        <w:rFonts w:ascii="Symbol" w:hAnsi="Symbol"/>
      </w:rPr>
    </w:lvl>
  </w:abstractNum>
  <w:num w:numId="1" w16cid:durableId="1019818971">
    <w:abstractNumId w:val="4"/>
  </w:num>
  <w:num w:numId="2" w16cid:durableId="108017896">
    <w:abstractNumId w:val="19"/>
  </w:num>
  <w:num w:numId="3" w16cid:durableId="298536230">
    <w:abstractNumId w:val="1"/>
  </w:num>
  <w:num w:numId="4" w16cid:durableId="1864705441">
    <w:abstractNumId w:val="0"/>
  </w:num>
  <w:num w:numId="5" w16cid:durableId="574707076">
    <w:abstractNumId w:val="5"/>
  </w:num>
  <w:num w:numId="6" w16cid:durableId="772088235">
    <w:abstractNumId w:val="21"/>
  </w:num>
  <w:num w:numId="7" w16cid:durableId="1631282553">
    <w:abstractNumId w:val="3"/>
  </w:num>
  <w:num w:numId="8" w16cid:durableId="1132359406">
    <w:abstractNumId w:val="22"/>
  </w:num>
  <w:num w:numId="9" w16cid:durableId="493879507">
    <w:abstractNumId w:val="2"/>
  </w:num>
  <w:num w:numId="10" w16cid:durableId="2067951680">
    <w:abstractNumId w:val="20"/>
  </w:num>
  <w:num w:numId="11" w16cid:durableId="1312711653">
    <w:abstractNumId w:val="15"/>
  </w:num>
  <w:num w:numId="12" w16cid:durableId="202600484">
    <w:abstractNumId w:val="18"/>
  </w:num>
  <w:num w:numId="13" w16cid:durableId="735319080">
    <w:abstractNumId w:val="7"/>
  </w:num>
  <w:num w:numId="14" w16cid:durableId="359664488">
    <w:abstractNumId w:val="8"/>
  </w:num>
  <w:num w:numId="15" w16cid:durableId="1334914723">
    <w:abstractNumId w:val="17"/>
  </w:num>
  <w:num w:numId="16" w16cid:durableId="1163886295">
    <w:abstractNumId w:val="13"/>
  </w:num>
  <w:num w:numId="17" w16cid:durableId="769005162">
    <w:abstractNumId w:val="14"/>
  </w:num>
  <w:num w:numId="18" w16cid:durableId="340164344">
    <w:abstractNumId w:val="10"/>
  </w:num>
  <w:num w:numId="19" w16cid:durableId="1357391308">
    <w:abstractNumId w:val="16"/>
  </w:num>
  <w:num w:numId="20" w16cid:durableId="2057385796">
    <w:abstractNumId w:val="21"/>
  </w:num>
  <w:num w:numId="21" w16cid:durableId="633175891">
    <w:abstractNumId w:val="21"/>
  </w:num>
  <w:num w:numId="22" w16cid:durableId="2047094884">
    <w:abstractNumId w:val="12"/>
  </w:num>
  <w:num w:numId="23" w16cid:durableId="441845533">
    <w:abstractNumId w:val="9"/>
  </w:num>
  <w:num w:numId="24" w16cid:durableId="835388054">
    <w:abstractNumId w:val="21"/>
  </w:num>
  <w:num w:numId="25" w16cid:durableId="1737049958">
    <w:abstractNumId w:val="21"/>
  </w:num>
  <w:num w:numId="26" w16cid:durableId="1445732315">
    <w:abstractNumId w:val="21"/>
  </w:num>
  <w:num w:numId="27" w16cid:durableId="2124760702">
    <w:abstractNumId w:val="21"/>
  </w:num>
  <w:num w:numId="28" w16cid:durableId="1845120872">
    <w:abstractNumId w:val="21"/>
  </w:num>
  <w:num w:numId="29" w16cid:durableId="353847074">
    <w:abstractNumId w:val="21"/>
  </w:num>
  <w:num w:numId="30" w16cid:durableId="808521960">
    <w:abstractNumId w:val="21"/>
  </w:num>
  <w:num w:numId="31" w16cid:durableId="1500119164">
    <w:abstractNumId w:val="21"/>
  </w:num>
  <w:num w:numId="32" w16cid:durableId="1062287850">
    <w:abstractNumId w:val="21"/>
  </w:num>
  <w:num w:numId="33" w16cid:durableId="640034450">
    <w:abstractNumId w:val="21"/>
  </w:num>
  <w:num w:numId="34" w16cid:durableId="1527064743">
    <w:abstractNumId w:val="21"/>
  </w:num>
  <w:num w:numId="35" w16cid:durableId="786775878">
    <w:abstractNumId w:val="21"/>
  </w:num>
  <w:num w:numId="36" w16cid:durableId="1228034959">
    <w:abstractNumId w:val="23"/>
  </w:num>
  <w:num w:numId="37" w16cid:durableId="1465001743">
    <w:abstractNumId w:val="11"/>
  </w:num>
  <w:num w:numId="38" w16cid:durableId="20008437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BC"/>
    <w:rsid w:val="00011327"/>
    <w:rsid w:val="00012CAD"/>
    <w:rsid w:val="0001356D"/>
    <w:rsid w:val="00016745"/>
    <w:rsid w:val="0002356D"/>
    <w:rsid w:val="00024C73"/>
    <w:rsid w:val="00040D81"/>
    <w:rsid w:val="00044DBC"/>
    <w:rsid w:val="000470E4"/>
    <w:rsid w:val="00061C13"/>
    <w:rsid w:val="000621FC"/>
    <w:rsid w:val="0006269B"/>
    <w:rsid w:val="00063E65"/>
    <w:rsid w:val="00063EC5"/>
    <w:rsid w:val="00065291"/>
    <w:rsid w:val="00067CCE"/>
    <w:rsid w:val="00073B95"/>
    <w:rsid w:val="000761CD"/>
    <w:rsid w:val="00087A4E"/>
    <w:rsid w:val="00090921"/>
    <w:rsid w:val="000919D4"/>
    <w:rsid w:val="000A21FE"/>
    <w:rsid w:val="000B0174"/>
    <w:rsid w:val="000B62D3"/>
    <w:rsid w:val="000C1F9D"/>
    <w:rsid w:val="000C7D29"/>
    <w:rsid w:val="000D43AC"/>
    <w:rsid w:val="000D58C1"/>
    <w:rsid w:val="000D6425"/>
    <w:rsid w:val="000E1175"/>
    <w:rsid w:val="000F0FF0"/>
    <w:rsid w:val="000F16FF"/>
    <w:rsid w:val="000F59E3"/>
    <w:rsid w:val="000F5B1D"/>
    <w:rsid w:val="00101A73"/>
    <w:rsid w:val="0011408B"/>
    <w:rsid w:val="00115243"/>
    <w:rsid w:val="00135AFF"/>
    <w:rsid w:val="0013751F"/>
    <w:rsid w:val="00140CB2"/>
    <w:rsid w:val="00154AB7"/>
    <w:rsid w:val="00171882"/>
    <w:rsid w:val="00172ADF"/>
    <w:rsid w:val="00172F20"/>
    <w:rsid w:val="0018390F"/>
    <w:rsid w:val="00185879"/>
    <w:rsid w:val="00190D28"/>
    <w:rsid w:val="001A3B94"/>
    <w:rsid w:val="001A6B07"/>
    <w:rsid w:val="001B380E"/>
    <w:rsid w:val="001B429B"/>
    <w:rsid w:val="001C20E6"/>
    <w:rsid w:val="001C5341"/>
    <w:rsid w:val="001E7A51"/>
    <w:rsid w:val="001F1FFA"/>
    <w:rsid w:val="00204A19"/>
    <w:rsid w:val="00211CC0"/>
    <w:rsid w:val="00216141"/>
    <w:rsid w:val="002211FE"/>
    <w:rsid w:val="00230B0D"/>
    <w:rsid w:val="00242092"/>
    <w:rsid w:val="00251B85"/>
    <w:rsid w:val="0026672B"/>
    <w:rsid w:val="00267FDF"/>
    <w:rsid w:val="00277341"/>
    <w:rsid w:val="00286E1E"/>
    <w:rsid w:val="002909B5"/>
    <w:rsid w:val="00293985"/>
    <w:rsid w:val="002A4019"/>
    <w:rsid w:val="002A578B"/>
    <w:rsid w:val="002A7912"/>
    <w:rsid w:val="002B1600"/>
    <w:rsid w:val="002C4307"/>
    <w:rsid w:val="002D01C0"/>
    <w:rsid w:val="002D2D4E"/>
    <w:rsid w:val="002D719A"/>
    <w:rsid w:val="002D7D2F"/>
    <w:rsid w:val="002E0527"/>
    <w:rsid w:val="002E62F6"/>
    <w:rsid w:val="002F2FF2"/>
    <w:rsid w:val="002F67CA"/>
    <w:rsid w:val="003126D3"/>
    <w:rsid w:val="0032091B"/>
    <w:rsid w:val="00321BB9"/>
    <w:rsid w:val="00330284"/>
    <w:rsid w:val="0034090D"/>
    <w:rsid w:val="00342AA7"/>
    <w:rsid w:val="00351383"/>
    <w:rsid w:val="003533A6"/>
    <w:rsid w:val="00353524"/>
    <w:rsid w:val="00357032"/>
    <w:rsid w:val="00361D3E"/>
    <w:rsid w:val="00364A61"/>
    <w:rsid w:val="00366AE8"/>
    <w:rsid w:val="00381E5D"/>
    <w:rsid w:val="003829BA"/>
    <w:rsid w:val="00383E04"/>
    <w:rsid w:val="0039219A"/>
    <w:rsid w:val="00394461"/>
    <w:rsid w:val="003A1E00"/>
    <w:rsid w:val="003A1F25"/>
    <w:rsid w:val="003A739E"/>
    <w:rsid w:val="003B4322"/>
    <w:rsid w:val="003C3A31"/>
    <w:rsid w:val="003C6F56"/>
    <w:rsid w:val="003C73AE"/>
    <w:rsid w:val="003D0193"/>
    <w:rsid w:val="003D3DDE"/>
    <w:rsid w:val="003D4BC2"/>
    <w:rsid w:val="003D5114"/>
    <w:rsid w:val="003D7DD7"/>
    <w:rsid w:val="003E0083"/>
    <w:rsid w:val="003F021E"/>
    <w:rsid w:val="0042018F"/>
    <w:rsid w:val="00421410"/>
    <w:rsid w:val="00431460"/>
    <w:rsid w:val="00435625"/>
    <w:rsid w:val="00440CD1"/>
    <w:rsid w:val="00444D2D"/>
    <w:rsid w:val="00445CCF"/>
    <w:rsid w:val="00446067"/>
    <w:rsid w:val="00452FDB"/>
    <w:rsid w:val="00456B48"/>
    <w:rsid w:val="0045722C"/>
    <w:rsid w:val="004603B1"/>
    <w:rsid w:val="0046449E"/>
    <w:rsid w:val="004734C1"/>
    <w:rsid w:val="00482035"/>
    <w:rsid w:val="00492B82"/>
    <w:rsid w:val="00492FF4"/>
    <w:rsid w:val="00494F2F"/>
    <w:rsid w:val="004B0609"/>
    <w:rsid w:val="004B1E9F"/>
    <w:rsid w:val="004B4EE0"/>
    <w:rsid w:val="004B5A23"/>
    <w:rsid w:val="004C6FAE"/>
    <w:rsid w:val="004D04A7"/>
    <w:rsid w:val="004D421C"/>
    <w:rsid w:val="004D56A9"/>
    <w:rsid w:val="004D78E5"/>
    <w:rsid w:val="004E2B78"/>
    <w:rsid w:val="004E62C7"/>
    <w:rsid w:val="004E6E4F"/>
    <w:rsid w:val="004F0FD3"/>
    <w:rsid w:val="004F108A"/>
    <w:rsid w:val="004F4CD6"/>
    <w:rsid w:val="00503AD7"/>
    <w:rsid w:val="005075D9"/>
    <w:rsid w:val="00510EA2"/>
    <w:rsid w:val="00511F74"/>
    <w:rsid w:val="00516FE9"/>
    <w:rsid w:val="00520BE4"/>
    <w:rsid w:val="00524D14"/>
    <w:rsid w:val="00525322"/>
    <w:rsid w:val="00525758"/>
    <w:rsid w:val="00532D39"/>
    <w:rsid w:val="005356D0"/>
    <w:rsid w:val="005401E1"/>
    <w:rsid w:val="0054430D"/>
    <w:rsid w:val="00545452"/>
    <w:rsid w:val="00546311"/>
    <w:rsid w:val="00552B56"/>
    <w:rsid w:val="00552ED7"/>
    <w:rsid w:val="005579B9"/>
    <w:rsid w:val="00560347"/>
    <w:rsid w:val="00567279"/>
    <w:rsid w:val="00572492"/>
    <w:rsid w:val="0057777A"/>
    <w:rsid w:val="00582034"/>
    <w:rsid w:val="00595AA3"/>
    <w:rsid w:val="00596985"/>
    <w:rsid w:val="005A42C8"/>
    <w:rsid w:val="005B366A"/>
    <w:rsid w:val="005B5D84"/>
    <w:rsid w:val="005B66C7"/>
    <w:rsid w:val="005C435D"/>
    <w:rsid w:val="005C599D"/>
    <w:rsid w:val="005D04B4"/>
    <w:rsid w:val="005D5872"/>
    <w:rsid w:val="005E267A"/>
    <w:rsid w:val="005E267B"/>
    <w:rsid w:val="005F07A0"/>
    <w:rsid w:val="005F2948"/>
    <w:rsid w:val="00600166"/>
    <w:rsid w:val="00600A2B"/>
    <w:rsid w:val="006053B0"/>
    <w:rsid w:val="00605823"/>
    <w:rsid w:val="00636EFC"/>
    <w:rsid w:val="006378D6"/>
    <w:rsid w:val="00650A5D"/>
    <w:rsid w:val="0066362B"/>
    <w:rsid w:val="00663FD9"/>
    <w:rsid w:val="00671613"/>
    <w:rsid w:val="0067263C"/>
    <w:rsid w:val="0067596A"/>
    <w:rsid w:val="006801C4"/>
    <w:rsid w:val="0068163A"/>
    <w:rsid w:val="0068573B"/>
    <w:rsid w:val="006902D2"/>
    <w:rsid w:val="00692EE8"/>
    <w:rsid w:val="006956B1"/>
    <w:rsid w:val="00695ACE"/>
    <w:rsid w:val="006A257D"/>
    <w:rsid w:val="006A6067"/>
    <w:rsid w:val="006A7D32"/>
    <w:rsid w:val="006C2A44"/>
    <w:rsid w:val="006E05A9"/>
    <w:rsid w:val="006E6560"/>
    <w:rsid w:val="006F44A2"/>
    <w:rsid w:val="006F7B3D"/>
    <w:rsid w:val="00701982"/>
    <w:rsid w:val="007034D9"/>
    <w:rsid w:val="00715DBD"/>
    <w:rsid w:val="00723604"/>
    <w:rsid w:val="0073324B"/>
    <w:rsid w:val="00733E8C"/>
    <w:rsid w:val="00737BE9"/>
    <w:rsid w:val="00741A55"/>
    <w:rsid w:val="007508EA"/>
    <w:rsid w:val="00753994"/>
    <w:rsid w:val="007578D9"/>
    <w:rsid w:val="007777F6"/>
    <w:rsid w:val="007779E3"/>
    <w:rsid w:val="00794CEF"/>
    <w:rsid w:val="007A4483"/>
    <w:rsid w:val="007A4DC0"/>
    <w:rsid w:val="007B3413"/>
    <w:rsid w:val="007B43FF"/>
    <w:rsid w:val="007B53D2"/>
    <w:rsid w:val="007B55B4"/>
    <w:rsid w:val="007B5787"/>
    <w:rsid w:val="007C1FDD"/>
    <w:rsid w:val="007C7151"/>
    <w:rsid w:val="007D44F7"/>
    <w:rsid w:val="007D5740"/>
    <w:rsid w:val="007D6A6B"/>
    <w:rsid w:val="007E0CD4"/>
    <w:rsid w:val="007E44DA"/>
    <w:rsid w:val="007E45D3"/>
    <w:rsid w:val="007E6613"/>
    <w:rsid w:val="007E7264"/>
    <w:rsid w:val="00805CF7"/>
    <w:rsid w:val="00813188"/>
    <w:rsid w:val="00816C61"/>
    <w:rsid w:val="00817400"/>
    <w:rsid w:val="00820EDC"/>
    <w:rsid w:val="008306DB"/>
    <w:rsid w:val="00831DDA"/>
    <w:rsid w:val="00832E05"/>
    <w:rsid w:val="00834886"/>
    <w:rsid w:val="0084404D"/>
    <w:rsid w:val="00850F61"/>
    <w:rsid w:val="00854894"/>
    <w:rsid w:val="00856C73"/>
    <w:rsid w:val="00862D1B"/>
    <w:rsid w:val="00873D82"/>
    <w:rsid w:val="00881550"/>
    <w:rsid w:val="00884B04"/>
    <w:rsid w:val="0088793C"/>
    <w:rsid w:val="00893110"/>
    <w:rsid w:val="008938DB"/>
    <w:rsid w:val="008A05EE"/>
    <w:rsid w:val="008A126B"/>
    <w:rsid w:val="008B5FAA"/>
    <w:rsid w:val="008B6813"/>
    <w:rsid w:val="008C0F00"/>
    <w:rsid w:val="008D1C35"/>
    <w:rsid w:val="008D375B"/>
    <w:rsid w:val="008D45CD"/>
    <w:rsid w:val="008D4A98"/>
    <w:rsid w:val="008E08B2"/>
    <w:rsid w:val="008E7F4C"/>
    <w:rsid w:val="008F3FCF"/>
    <w:rsid w:val="008F431F"/>
    <w:rsid w:val="00900DEE"/>
    <w:rsid w:val="0091038D"/>
    <w:rsid w:val="009111DB"/>
    <w:rsid w:val="00920231"/>
    <w:rsid w:val="00923EA4"/>
    <w:rsid w:val="00924579"/>
    <w:rsid w:val="0092492F"/>
    <w:rsid w:val="00924D52"/>
    <w:rsid w:val="00933CCA"/>
    <w:rsid w:val="00933CF9"/>
    <w:rsid w:val="0094184C"/>
    <w:rsid w:val="00954EB3"/>
    <w:rsid w:val="00955CFE"/>
    <w:rsid w:val="00966CEB"/>
    <w:rsid w:val="00970869"/>
    <w:rsid w:val="0098002C"/>
    <w:rsid w:val="00980BCB"/>
    <w:rsid w:val="00984F2A"/>
    <w:rsid w:val="009868A8"/>
    <w:rsid w:val="00986C18"/>
    <w:rsid w:val="00986EEC"/>
    <w:rsid w:val="00995D1A"/>
    <w:rsid w:val="009A127C"/>
    <w:rsid w:val="009A4AED"/>
    <w:rsid w:val="009B024D"/>
    <w:rsid w:val="009B05D0"/>
    <w:rsid w:val="009B67C9"/>
    <w:rsid w:val="009C14AD"/>
    <w:rsid w:val="009C476A"/>
    <w:rsid w:val="009C656B"/>
    <w:rsid w:val="009D06CC"/>
    <w:rsid w:val="009E568C"/>
    <w:rsid w:val="009E613C"/>
    <w:rsid w:val="009F6261"/>
    <w:rsid w:val="00A0079F"/>
    <w:rsid w:val="00A13321"/>
    <w:rsid w:val="00A134A6"/>
    <w:rsid w:val="00A22F43"/>
    <w:rsid w:val="00A250D6"/>
    <w:rsid w:val="00A37CA2"/>
    <w:rsid w:val="00A4181F"/>
    <w:rsid w:val="00A4291B"/>
    <w:rsid w:val="00A56CC2"/>
    <w:rsid w:val="00A63DCB"/>
    <w:rsid w:val="00A67B95"/>
    <w:rsid w:val="00A9280E"/>
    <w:rsid w:val="00A94846"/>
    <w:rsid w:val="00AB523D"/>
    <w:rsid w:val="00AC7EB5"/>
    <w:rsid w:val="00AD37CB"/>
    <w:rsid w:val="00AE2692"/>
    <w:rsid w:val="00AE6151"/>
    <w:rsid w:val="00AF0BF5"/>
    <w:rsid w:val="00AF4F2C"/>
    <w:rsid w:val="00B01571"/>
    <w:rsid w:val="00B02107"/>
    <w:rsid w:val="00B02523"/>
    <w:rsid w:val="00B1179E"/>
    <w:rsid w:val="00B17B9A"/>
    <w:rsid w:val="00B20519"/>
    <w:rsid w:val="00B20E45"/>
    <w:rsid w:val="00B21048"/>
    <w:rsid w:val="00B21ACC"/>
    <w:rsid w:val="00B2579E"/>
    <w:rsid w:val="00B27F8F"/>
    <w:rsid w:val="00B32FEA"/>
    <w:rsid w:val="00B3642F"/>
    <w:rsid w:val="00B4033C"/>
    <w:rsid w:val="00B41306"/>
    <w:rsid w:val="00B413D1"/>
    <w:rsid w:val="00B44A61"/>
    <w:rsid w:val="00B50887"/>
    <w:rsid w:val="00B50E40"/>
    <w:rsid w:val="00B54845"/>
    <w:rsid w:val="00B56ABB"/>
    <w:rsid w:val="00B62CC4"/>
    <w:rsid w:val="00B65437"/>
    <w:rsid w:val="00B65762"/>
    <w:rsid w:val="00B70360"/>
    <w:rsid w:val="00B7680B"/>
    <w:rsid w:val="00B76B75"/>
    <w:rsid w:val="00B77336"/>
    <w:rsid w:val="00B84974"/>
    <w:rsid w:val="00B96751"/>
    <w:rsid w:val="00BA3484"/>
    <w:rsid w:val="00BB258E"/>
    <w:rsid w:val="00BB29BA"/>
    <w:rsid w:val="00BB35E9"/>
    <w:rsid w:val="00BB7B7B"/>
    <w:rsid w:val="00BC3C44"/>
    <w:rsid w:val="00BD5E67"/>
    <w:rsid w:val="00BD66F4"/>
    <w:rsid w:val="00BE0A4E"/>
    <w:rsid w:val="00BE100A"/>
    <w:rsid w:val="00BE3067"/>
    <w:rsid w:val="00BE48C3"/>
    <w:rsid w:val="00BF6849"/>
    <w:rsid w:val="00C0180B"/>
    <w:rsid w:val="00C055F6"/>
    <w:rsid w:val="00C27AE0"/>
    <w:rsid w:val="00C33514"/>
    <w:rsid w:val="00C34644"/>
    <w:rsid w:val="00C358A6"/>
    <w:rsid w:val="00C50E37"/>
    <w:rsid w:val="00C753C7"/>
    <w:rsid w:val="00C87B63"/>
    <w:rsid w:val="00C9073A"/>
    <w:rsid w:val="00C909AD"/>
    <w:rsid w:val="00CA1463"/>
    <w:rsid w:val="00CA1CA6"/>
    <w:rsid w:val="00CB07F4"/>
    <w:rsid w:val="00CB6481"/>
    <w:rsid w:val="00CB6D29"/>
    <w:rsid w:val="00CB6F7C"/>
    <w:rsid w:val="00CC4C67"/>
    <w:rsid w:val="00CC58D5"/>
    <w:rsid w:val="00CC6808"/>
    <w:rsid w:val="00CD4A41"/>
    <w:rsid w:val="00CE0CFA"/>
    <w:rsid w:val="00CE179F"/>
    <w:rsid w:val="00CF33C3"/>
    <w:rsid w:val="00CF76A7"/>
    <w:rsid w:val="00D049AC"/>
    <w:rsid w:val="00D105A0"/>
    <w:rsid w:val="00D10708"/>
    <w:rsid w:val="00D1103A"/>
    <w:rsid w:val="00D151F4"/>
    <w:rsid w:val="00D15F86"/>
    <w:rsid w:val="00D20719"/>
    <w:rsid w:val="00D242AE"/>
    <w:rsid w:val="00D36CE5"/>
    <w:rsid w:val="00D40616"/>
    <w:rsid w:val="00D50A79"/>
    <w:rsid w:val="00D54550"/>
    <w:rsid w:val="00D62542"/>
    <w:rsid w:val="00D7027D"/>
    <w:rsid w:val="00D72C59"/>
    <w:rsid w:val="00D75CB7"/>
    <w:rsid w:val="00D77F76"/>
    <w:rsid w:val="00D8103A"/>
    <w:rsid w:val="00D83983"/>
    <w:rsid w:val="00D840FD"/>
    <w:rsid w:val="00D91BBE"/>
    <w:rsid w:val="00D91F41"/>
    <w:rsid w:val="00D965F8"/>
    <w:rsid w:val="00D96F3D"/>
    <w:rsid w:val="00DA4235"/>
    <w:rsid w:val="00DA69BD"/>
    <w:rsid w:val="00DC0880"/>
    <w:rsid w:val="00DD526D"/>
    <w:rsid w:val="00DE0712"/>
    <w:rsid w:val="00DE7294"/>
    <w:rsid w:val="00DF07AB"/>
    <w:rsid w:val="00DF1036"/>
    <w:rsid w:val="00DF6D52"/>
    <w:rsid w:val="00E0778F"/>
    <w:rsid w:val="00E10CB4"/>
    <w:rsid w:val="00E12EE0"/>
    <w:rsid w:val="00E21FF5"/>
    <w:rsid w:val="00E22F1B"/>
    <w:rsid w:val="00E26B49"/>
    <w:rsid w:val="00E35B7D"/>
    <w:rsid w:val="00E4305A"/>
    <w:rsid w:val="00E43405"/>
    <w:rsid w:val="00E463C6"/>
    <w:rsid w:val="00E501B8"/>
    <w:rsid w:val="00E56F7A"/>
    <w:rsid w:val="00E712EE"/>
    <w:rsid w:val="00E756AA"/>
    <w:rsid w:val="00E959B7"/>
    <w:rsid w:val="00E96D81"/>
    <w:rsid w:val="00EA66C1"/>
    <w:rsid w:val="00EB21D5"/>
    <w:rsid w:val="00EB3C3D"/>
    <w:rsid w:val="00EB3EA9"/>
    <w:rsid w:val="00EB417C"/>
    <w:rsid w:val="00EB599A"/>
    <w:rsid w:val="00EC1E33"/>
    <w:rsid w:val="00EC7051"/>
    <w:rsid w:val="00ED1275"/>
    <w:rsid w:val="00EE1CE6"/>
    <w:rsid w:val="00EF2DD3"/>
    <w:rsid w:val="00F12B31"/>
    <w:rsid w:val="00F24B29"/>
    <w:rsid w:val="00F3649F"/>
    <w:rsid w:val="00F55A44"/>
    <w:rsid w:val="00F67164"/>
    <w:rsid w:val="00F7554D"/>
    <w:rsid w:val="00F77952"/>
    <w:rsid w:val="00F82992"/>
    <w:rsid w:val="00F84209"/>
    <w:rsid w:val="00F877D2"/>
    <w:rsid w:val="00F926C5"/>
    <w:rsid w:val="00FA220E"/>
    <w:rsid w:val="00FA2529"/>
    <w:rsid w:val="00FA7591"/>
    <w:rsid w:val="00FB5D7C"/>
    <w:rsid w:val="00FC41EE"/>
    <w:rsid w:val="00FC76B9"/>
    <w:rsid w:val="00FD0817"/>
    <w:rsid w:val="00FD65A7"/>
    <w:rsid w:val="00FE1E45"/>
    <w:rsid w:val="00FE7BE8"/>
    <w:rsid w:val="00FF3A7D"/>
    <w:rsid w:val="00FF67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E0E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6DB"/>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1036"/>
    <w:pPr>
      <w:spacing w:after="120"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1036"/>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semiHidden/>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552ED7"/>
    <w:pPr>
      <w:tabs>
        <w:tab w:val="left" w:pos="1134"/>
      </w:tabs>
      <w:spacing w:before="120" w:after="240" w:line="260" w:lineRule="atLeast"/>
      <w:jc w:val="center"/>
    </w:pPr>
    <w:rPr>
      <w:rFonts w:asciiTheme="minorHAnsi" w:hAnsiTheme="minorHAnsi"/>
    </w:rPr>
  </w:style>
  <w:style w:type="character" w:styleId="PlaceholderText">
    <w:name w:val="Placeholder Text"/>
    <w:basedOn w:val="DefaultParagraphFont"/>
    <w:uiPriority w:val="99"/>
    <w:semiHidden/>
    <w:rsid w:val="0042018F"/>
    <w:rPr>
      <w:color w:val="808080"/>
    </w:rPr>
  </w:style>
  <w:style w:type="table" w:styleId="GridTable1Light">
    <w:name w:val="Grid Table 1 Light"/>
    <w:basedOn w:val="TableNormal"/>
    <w:uiPriority w:val="46"/>
    <w:rsid w:val="00986EEC"/>
    <w:pPr>
      <w:spacing w:after="0" w:line="240" w:lineRule="auto"/>
    </w:pPr>
    <w:tblPr>
      <w:tblStyleRowBandSize w:val="1"/>
      <w:tblStyleColBandSize w:val="1"/>
      <w:tblBorders>
        <w:top w:val="single" w:sz="4" w:space="0" w:color="7FA1BB" w:themeColor="text1" w:themeTint="66"/>
        <w:left w:val="single" w:sz="4" w:space="0" w:color="7FA1BB" w:themeColor="text1" w:themeTint="66"/>
        <w:bottom w:val="single" w:sz="4" w:space="0" w:color="7FA1BB" w:themeColor="text1" w:themeTint="66"/>
        <w:right w:val="single" w:sz="4" w:space="0" w:color="7FA1BB" w:themeColor="text1" w:themeTint="66"/>
        <w:insideH w:val="single" w:sz="4" w:space="0" w:color="7FA1BB" w:themeColor="text1" w:themeTint="66"/>
        <w:insideV w:val="single" w:sz="4" w:space="0" w:color="7FA1BB" w:themeColor="text1" w:themeTint="66"/>
      </w:tblBorders>
    </w:tblPr>
    <w:tblStylePr w:type="firstRow">
      <w:rPr>
        <w:b/>
        <w:bCs/>
      </w:rPr>
      <w:tblPr/>
      <w:tcPr>
        <w:tcBorders>
          <w:bottom w:val="single" w:sz="12" w:space="0" w:color="4B718D" w:themeColor="text1" w:themeTint="99"/>
        </w:tcBorders>
      </w:tcPr>
    </w:tblStylePr>
    <w:tblStylePr w:type="lastRow">
      <w:rPr>
        <w:b/>
        <w:bCs/>
      </w:rPr>
      <w:tblPr/>
      <w:tcPr>
        <w:tcBorders>
          <w:top w:val="double" w:sz="2" w:space="0" w:color="4B718D"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F1036"/>
    <w:rPr>
      <w:sz w:val="16"/>
      <w:szCs w:val="16"/>
    </w:rPr>
  </w:style>
  <w:style w:type="paragraph" w:styleId="CommentText">
    <w:name w:val="annotation text"/>
    <w:basedOn w:val="Normal"/>
    <w:link w:val="CommentTextChar"/>
    <w:uiPriority w:val="99"/>
    <w:unhideWhenUsed/>
    <w:rsid w:val="00DF1036"/>
    <w:pPr>
      <w:spacing w:line="240" w:lineRule="auto"/>
    </w:pPr>
    <w:rPr>
      <w:sz w:val="20"/>
      <w:szCs w:val="20"/>
    </w:rPr>
  </w:style>
  <w:style w:type="character" w:customStyle="1" w:styleId="CommentTextChar">
    <w:name w:val="Comment Text Char"/>
    <w:basedOn w:val="DefaultParagraphFont"/>
    <w:link w:val="CommentText"/>
    <w:uiPriority w:val="99"/>
    <w:rsid w:val="00DF1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1036"/>
    <w:rPr>
      <w:b/>
      <w:bCs/>
    </w:rPr>
  </w:style>
  <w:style w:type="character" w:customStyle="1" w:styleId="CommentSubjectChar">
    <w:name w:val="Comment Subject Char"/>
    <w:basedOn w:val="CommentTextChar"/>
    <w:link w:val="CommentSubject"/>
    <w:uiPriority w:val="99"/>
    <w:semiHidden/>
    <w:rsid w:val="00DF1036"/>
    <w:rPr>
      <w:rFonts w:ascii="Arial" w:hAnsi="Arial"/>
      <w:b/>
      <w:bCs/>
      <w:sz w:val="20"/>
      <w:szCs w:val="20"/>
    </w:rPr>
  </w:style>
  <w:style w:type="paragraph" w:styleId="Revision">
    <w:name w:val="Revision"/>
    <w:hidden/>
    <w:uiPriority w:val="99"/>
    <w:semiHidden/>
    <w:rsid w:val="00DF1036"/>
    <w:pPr>
      <w:spacing w:after="0" w:line="240" w:lineRule="auto"/>
    </w:pPr>
    <w:rPr>
      <w:rFonts w:ascii="Arial" w:hAnsi="Arial"/>
      <w:sz w:val="24"/>
    </w:rPr>
  </w:style>
  <w:style w:type="paragraph" w:customStyle="1" w:styleId="TableCaption">
    <w:name w:val="Table Caption"/>
    <w:basedOn w:val="Caption"/>
    <w:qFormat/>
    <w:rsid w:val="008E7F4C"/>
    <w:pPr>
      <w:keepNext/>
      <w:tabs>
        <w:tab w:val="left" w:pos="1134"/>
      </w:tabs>
      <w:spacing w:before="240" w:after="120" w:line="260" w:lineRule="atLeast"/>
      <w:ind w:left="1134" w:hanging="1134"/>
    </w:pPr>
    <w:rPr>
      <w:rFonts w:asciiTheme="minorHAnsi" w:hAnsiTheme="minorHAnsi"/>
      <w:bCs w:val="0"/>
      <w:smallCaps w:val="0"/>
      <w:color w:val="auto"/>
      <w:sz w:val="20"/>
    </w:rPr>
  </w:style>
  <w:style w:type="paragraph" w:customStyle="1" w:styleId="TableHeading">
    <w:name w:val="Table Heading"/>
    <w:basedOn w:val="Normal"/>
    <w:next w:val="BodyText"/>
    <w:uiPriority w:val="3"/>
    <w:qFormat/>
    <w:rsid w:val="008E7F4C"/>
    <w:pPr>
      <w:spacing w:before="60" w:after="60" w:line="240" w:lineRule="auto"/>
    </w:pPr>
    <w:rPr>
      <w:rFonts w:asciiTheme="minorHAnsi" w:hAnsiTheme="minorHAnsi"/>
      <w:b/>
      <w:sz w:val="18"/>
    </w:rPr>
  </w:style>
  <w:style w:type="paragraph" w:customStyle="1" w:styleId="TableText">
    <w:name w:val="Table Text"/>
    <w:basedOn w:val="Normal"/>
    <w:uiPriority w:val="3"/>
    <w:qFormat/>
    <w:rsid w:val="008E7F4C"/>
    <w:pPr>
      <w:spacing w:before="60" w:after="60" w:line="240" w:lineRule="auto"/>
    </w:pPr>
    <w:rPr>
      <w:rFonts w:asciiTheme="minorHAnsi" w:hAnsiTheme="minorHAnsi"/>
      <w:sz w:val="18"/>
    </w:rPr>
  </w:style>
  <w:style w:type="table" w:customStyle="1" w:styleId="NavyTable">
    <w:name w:val="Navy Table"/>
    <w:basedOn w:val="TableNormal"/>
    <w:uiPriority w:val="99"/>
    <w:rsid w:val="008E7F4C"/>
    <w:pPr>
      <w:spacing w:after="0" w:line="240" w:lineRule="auto"/>
    </w:pPr>
    <w:tblPr>
      <w:tblStyleRowBandSize w:val="1"/>
      <w:tblStyleColBandSize w:val="1"/>
      <w:tblInd w:w="108" w:type="dxa"/>
      <w:tblBorders>
        <w:bottom w:val="single" w:sz="4" w:space="0" w:color="003E69" w:themeColor="accent1"/>
        <w:insideH w:val="single" w:sz="4" w:space="0" w:color="003E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E69" w:themeFill="accent1"/>
      </w:tcPr>
    </w:tblStylePr>
    <w:tblStylePr w:type="lastRow">
      <w:rPr>
        <w:b w:val="0"/>
      </w:rPr>
      <w:tblPr/>
      <w:tcPr>
        <w:shd w:val="clear" w:color="auto" w:fill="99B1C3"/>
      </w:tcPr>
    </w:tblStylePr>
    <w:tblStylePr w:type="firstCol">
      <w:tblPr/>
      <w:tcPr>
        <w:tcBorders>
          <w:insideH w:val="nil"/>
        </w:tcBorders>
        <w:shd w:val="clear" w:color="auto" w:fill="003E69" w:themeFill="accent1"/>
      </w:tcPr>
    </w:tblStylePr>
    <w:tblStylePr w:type="band2Vert">
      <w:tblPr/>
      <w:tcPr>
        <w:shd w:val="clear" w:color="auto" w:fill="CCD8E1"/>
      </w:tcPr>
    </w:tblStylePr>
    <w:tblStylePr w:type="band2Horz">
      <w:tblPr/>
      <w:tcPr>
        <w:shd w:val="clear" w:color="auto" w:fill="CCD8E1"/>
      </w:tcPr>
    </w:tblStylePr>
  </w:style>
  <w:style w:type="paragraph" w:customStyle="1" w:styleId="BodyTable">
    <w:name w:val="Body – Table"/>
    <w:basedOn w:val="Normal"/>
    <w:uiPriority w:val="99"/>
    <w:rsid w:val="00E21FF5"/>
    <w:pPr>
      <w:suppressAutoHyphens/>
      <w:autoSpaceDE w:val="0"/>
      <w:autoSpaceDN w:val="0"/>
      <w:adjustRightInd w:val="0"/>
      <w:spacing w:before="260" w:line="240" w:lineRule="atLeast"/>
      <w:textAlignment w:val="center"/>
    </w:pPr>
    <w:rPr>
      <w:rFonts w:ascii="MetaPro-Norm" w:hAnsi="MetaPro-Norm" w:cs="MetaPro-Norm"/>
      <w:color w:val="000000"/>
      <w:sz w:val="18"/>
      <w:szCs w:val="18"/>
      <w:lang w:val="en-US"/>
    </w:rPr>
  </w:style>
  <w:style w:type="paragraph" w:styleId="TOC1">
    <w:name w:val="toc 1"/>
    <w:basedOn w:val="Normal"/>
    <w:next w:val="Normal"/>
    <w:autoRedefine/>
    <w:uiPriority w:val="39"/>
    <w:unhideWhenUsed/>
    <w:rsid w:val="00986C18"/>
    <w:pPr>
      <w:spacing w:after="100"/>
    </w:pPr>
  </w:style>
  <w:style w:type="paragraph" w:styleId="TOC2">
    <w:name w:val="toc 2"/>
    <w:basedOn w:val="Normal"/>
    <w:next w:val="Normal"/>
    <w:autoRedefine/>
    <w:uiPriority w:val="39"/>
    <w:unhideWhenUsed/>
    <w:rsid w:val="00986C18"/>
    <w:pPr>
      <w:spacing w:after="100"/>
      <w:ind w:left="240"/>
    </w:pPr>
  </w:style>
  <w:style w:type="paragraph" w:styleId="TOC3">
    <w:name w:val="toc 3"/>
    <w:basedOn w:val="Normal"/>
    <w:next w:val="Normal"/>
    <w:autoRedefine/>
    <w:uiPriority w:val="39"/>
    <w:unhideWhenUsed/>
    <w:rsid w:val="00986C18"/>
    <w:pPr>
      <w:spacing w:after="100"/>
      <w:ind w:left="480"/>
    </w:pPr>
  </w:style>
  <w:style w:type="character" w:styleId="Hyperlink">
    <w:name w:val="Hyperlink"/>
    <w:basedOn w:val="DefaultParagraphFont"/>
    <w:uiPriority w:val="99"/>
    <w:unhideWhenUsed/>
    <w:rsid w:val="00986C18"/>
    <w:rPr>
      <w:color w:val="0563C1" w:themeColor="hyperlink"/>
      <w:u w:val="single"/>
    </w:rPr>
  </w:style>
  <w:style w:type="paragraph" w:customStyle="1" w:styleId="paragraph">
    <w:name w:val="paragraph"/>
    <w:basedOn w:val="Normal"/>
    <w:rsid w:val="00172AD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172ADF"/>
  </w:style>
  <w:style w:type="character" w:customStyle="1" w:styleId="eop">
    <w:name w:val="eop"/>
    <w:basedOn w:val="DefaultParagraphFont"/>
    <w:rsid w:val="00172ADF"/>
  </w:style>
  <w:style w:type="character" w:styleId="UnresolvedMention">
    <w:name w:val="Unresolved Mention"/>
    <w:basedOn w:val="DefaultParagraphFont"/>
    <w:uiPriority w:val="99"/>
    <w:semiHidden/>
    <w:unhideWhenUsed/>
    <w:rsid w:val="00EB417C"/>
    <w:rPr>
      <w:color w:val="605E5C"/>
      <w:shd w:val="clear" w:color="auto" w:fill="E1DFDD"/>
    </w:rPr>
  </w:style>
  <w:style w:type="paragraph" w:customStyle="1" w:styleId="BasicParagraph">
    <w:name w:val="[Basic Paragraph]"/>
    <w:basedOn w:val="Normal"/>
    <w:uiPriority w:val="99"/>
    <w:rsid w:val="00671613"/>
    <w:pPr>
      <w:autoSpaceDE w:val="0"/>
      <w:autoSpaceDN w:val="0"/>
      <w:adjustRightInd w:val="0"/>
      <w:spacing w:line="288" w:lineRule="auto"/>
      <w:textAlignment w:val="center"/>
    </w:pPr>
    <w:rPr>
      <w:rFonts w:ascii="MinionPro-Regular" w:hAnsi="MinionPro-Regular" w:cs="MinionPro-Regular"/>
      <w:color w:val="000000"/>
      <w:szCs w:val="24"/>
      <w:lang w:val="en-US"/>
    </w:rPr>
  </w:style>
  <w:style w:type="paragraph" w:customStyle="1" w:styleId="BulletedlistStyleTMRParagraphStyles">
    <w:name w:val="Bulleted list (Style: TMR Paragraph Styles)"/>
    <w:basedOn w:val="Normal"/>
    <w:uiPriority w:val="99"/>
    <w:rsid w:val="00342AA7"/>
    <w:pPr>
      <w:suppressAutoHyphens/>
      <w:autoSpaceDE w:val="0"/>
      <w:autoSpaceDN w:val="0"/>
      <w:adjustRightInd w:val="0"/>
      <w:spacing w:before="170" w:line="288" w:lineRule="auto"/>
      <w:ind w:left="360" w:hanging="360"/>
      <w:textAlignment w:val="center"/>
    </w:pPr>
    <w:rPr>
      <w:rFonts w:ascii="MetaPro-Norm" w:hAnsi="MetaPro-Norm" w:cs="MetaPro-Norm"/>
      <w:color w:val="FFFFF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4876">
      <w:bodyDiv w:val="1"/>
      <w:marLeft w:val="0"/>
      <w:marRight w:val="0"/>
      <w:marTop w:val="0"/>
      <w:marBottom w:val="0"/>
      <w:divBdr>
        <w:top w:val="none" w:sz="0" w:space="0" w:color="auto"/>
        <w:left w:val="none" w:sz="0" w:space="0" w:color="auto"/>
        <w:bottom w:val="none" w:sz="0" w:space="0" w:color="auto"/>
        <w:right w:val="none" w:sz="0" w:space="0" w:color="auto"/>
      </w:divBdr>
    </w:div>
    <w:div w:id="109057405">
      <w:bodyDiv w:val="1"/>
      <w:marLeft w:val="0"/>
      <w:marRight w:val="0"/>
      <w:marTop w:val="0"/>
      <w:marBottom w:val="0"/>
      <w:divBdr>
        <w:top w:val="none" w:sz="0" w:space="0" w:color="auto"/>
        <w:left w:val="none" w:sz="0" w:space="0" w:color="auto"/>
        <w:bottom w:val="none" w:sz="0" w:space="0" w:color="auto"/>
        <w:right w:val="none" w:sz="0" w:space="0" w:color="auto"/>
      </w:divBdr>
    </w:div>
    <w:div w:id="399064270">
      <w:bodyDiv w:val="1"/>
      <w:marLeft w:val="0"/>
      <w:marRight w:val="0"/>
      <w:marTop w:val="0"/>
      <w:marBottom w:val="0"/>
      <w:divBdr>
        <w:top w:val="none" w:sz="0" w:space="0" w:color="auto"/>
        <w:left w:val="none" w:sz="0" w:space="0" w:color="auto"/>
        <w:bottom w:val="none" w:sz="0" w:space="0" w:color="auto"/>
        <w:right w:val="none" w:sz="0" w:space="0" w:color="auto"/>
      </w:divBdr>
    </w:div>
    <w:div w:id="433013550">
      <w:bodyDiv w:val="1"/>
      <w:marLeft w:val="0"/>
      <w:marRight w:val="0"/>
      <w:marTop w:val="0"/>
      <w:marBottom w:val="0"/>
      <w:divBdr>
        <w:top w:val="none" w:sz="0" w:space="0" w:color="auto"/>
        <w:left w:val="none" w:sz="0" w:space="0" w:color="auto"/>
        <w:bottom w:val="none" w:sz="0" w:space="0" w:color="auto"/>
        <w:right w:val="none" w:sz="0" w:space="0" w:color="auto"/>
      </w:divBdr>
    </w:div>
    <w:div w:id="1103384669">
      <w:bodyDiv w:val="1"/>
      <w:marLeft w:val="0"/>
      <w:marRight w:val="0"/>
      <w:marTop w:val="0"/>
      <w:marBottom w:val="0"/>
      <w:divBdr>
        <w:top w:val="none" w:sz="0" w:space="0" w:color="auto"/>
        <w:left w:val="none" w:sz="0" w:space="0" w:color="auto"/>
        <w:bottom w:val="none" w:sz="0" w:space="0" w:color="auto"/>
        <w:right w:val="none" w:sz="0" w:space="0" w:color="auto"/>
      </w:divBdr>
    </w:div>
    <w:div w:id="1104809476">
      <w:bodyDiv w:val="1"/>
      <w:marLeft w:val="0"/>
      <w:marRight w:val="0"/>
      <w:marTop w:val="0"/>
      <w:marBottom w:val="0"/>
      <w:divBdr>
        <w:top w:val="none" w:sz="0" w:space="0" w:color="auto"/>
        <w:left w:val="none" w:sz="0" w:space="0" w:color="auto"/>
        <w:bottom w:val="none" w:sz="0" w:space="0" w:color="auto"/>
        <w:right w:val="none" w:sz="0" w:space="0" w:color="auto"/>
      </w:divBdr>
    </w:div>
    <w:div w:id="1302810778">
      <w:bodyDiv w:val="1"/>
      <w:marLeft w:val="0"/>
      <w:marRight w:val="0"/>
      <w:marTop w:val="0"/>
      <w:marBottom w:val="0"/>
      <w:divBdr>
        <w:top w:val="none" w:sz="0" w:space="0" w:color="auto"/>
        <w:left w:val="none" w:sz="0" w:space="0" w:color="auto"/>
        <w:bottom w:val="none" w:sz="0" w:space="0" w:color="auto"/>
        <w:right w:val="none" w:sz="0" w:space="0" w:color="auto"/>
      </w:divBdr>
      <w:divsChild>
        <w:div w:id="1234707121">
          <w:marLeft w:val="0"/>
          <w:marRight w:val="0"/>
          <w:marTop w:val="0"/>
          <w:marBottom w:val="0"/>
          <w:divBdr>
            <w:top w:val="none" w:sz="0" w:space="0" w:color="auto"/>
            <w:left w:val="none" w:sz="0" w:space="0" w:color="auto"/>
            <w:bottom w:val="none" w:sz="0" w:space="0" w:color="auto"/>
            <w:right w:val="none" w:sz="0" w:space="0" w:color="auto"/>
          </w:divBdr>
        </w:div>
        <w:div w:id="2114089462">
          <w:marLeft w:val="0"/>
          <w:marRight w:val="0"/>
          <w:marTop w:val="0"/>
          <w:marBottom w:val="0"/>
          <w:divBdr>
            <w:top w:val="none" w:sz="0" w:space="0" w:color="auto"/>
            <w:left w:val="none" w:sz="0" w:space="0" w:color="auto"/>
            <w:bottom w:val="none" w:sz="0" w:space="0" w:color="auto"/>
            <w:right w:val="none" w:sz="0" w:space="0" w:color="auto"/>
          </w:divBdr>
        </w:div>
        <w:div w:id="167067333">
          <w:marLeft w:val="0"/>
          <w:marRight w:val="0"/>
          <w:marTop w:val="0"/>
          <w:marBottom w:val="0"/>
          <w:divBdr>
            <w:top w:val="none" w:sz="0" w:space="0" w:color="auto"/>
            <w:left w:val="none" w:sz="0" w:space="0" w:color="auto"/>
            <w:bottom w:val="none" w:sz="0" w:space="0" w:color="auto"/>
            <w:right w:val="none" w:sz="0" w:space="0" w:color="auto"/>
          </w:divBdr>
        </w:div>
        <w:div w:id="789319448">
          <w:marLeft w:val="0"/>
          <w:marRight w:val="0"/>
          <w:marTop w:val="0"/>
          <w:marBottom w:val="0"/>
          <w:divBdr>
            <w:top w:val="none" w:sz="0" w:space="0" w:color="auto"/>
            <w:left w:val="none" w:sz="0" w:space="0" w:color="auto"/>
            <w:bottom w:val="none" w:sz="0" w:space="0" w:color="auto"/>
            <w:right w:val="none" w:sz="0" w:space="0" w:color="auto"/>
          </w:divBdr>
        </w:div>
        <w:div w:id="720860433">
          <w:marLeft w:val="0"/>
          <w:marRight w:val="0"/>
          <w:marTop w:val="0"/>
          <w:marBottom w:val="0"/>
          <w:divBdr>
            <w:top w:val="none" w:sz="0" w:space="0" w:color="auto"/>
            <w:left w:val="none" w:sz="0" w:space="0" w:color="auto"/>
            <w:bottom w:val="none" w:sz="0" w:space="0" w:color="auto"/>
            <w:right w:val="none" w:sz="0" w:space="0" w:color="auto"/>
          </w:divBdr>
        </w:div>
        <w:div w:id="1225872431">
          <w:marLeft w:val="0"/>
          <w:marRight w:val="0"/>
          <w:marTop w:val="0"/>
          <w:marBottom w:val="0"/>
          <w:divBdr>
            <w:top w:val="none" w:sz="0" w:space="0" w:color="auto"/>
            <w:left w:val="none" w:sz="0" w:space="0" w:color="auto"/>
            <w:bottom w:val="none" w:sz="0" w:space="0" w:color="auto"/>
            <w:right w:val="none" w:sz="0" w:space="0" w:color="auto"/>
          </w:divBdr>
        </w:div>
        <w:div w:id="705524399">
          <w:marLeft w:val="0"/>
          <w:marRight w:val="0"/>
          <w:marTop w:val="0"/>
          <w:marBottom w:val="0"/>
          <w:divBdr>
            <w:top w:val="none" w:sz="0" w:space="0" w:color="auto"/>
            <w:left w:val="none" w:sz="0" w:space="0" w:color="auto"/>
            <w:bottom w:val="none" w:sz="0" w:space="0" w:color="auto"/>
            <w:right w:val="none" w:sz="0" w:space="0" w:color="auto"/>
          </w:divBdr>
        </w:div>
        <w:div w:id="1025669025">
          <w:marLeft w:val="0"/>
          <w:marRight w:val="0"/>
          <w:marTop w:val="0"/>
          <w:marBottom w:val="0"/>
          <w:divBdr>
            <w:top w:val="none" w:sz="0" w:space="0" w:color="auto"/>
            <w:left w:val="none" w:sz="0" w:space="0" w:color="auto"/>
            <w:bottom w:val="none" w:sz="0" w:space="0" w:color="auto"/>
            <w:right w:val="none" w:sz="0" w:space="0" w:color="auto"/>
          </w:divBdr>
        </w:div>
        <w:div w:id="222984794">
          <w:marLeft w:val="0"/>
          <w:marRight w:val="0"/>
          <w:marTop w:val="0"/>
          <w:marBottom w:val="0"/>
          <w:divBdr>
            <w:top w:val="none" w:sz="0" w:space="0" w:color="auto"/>
            <w:left w:val="none" w:sz="0" w:space="0" w:color="auto"/>
            <w:bottom w:val="none" w:sz="0" w:space="0" w:color="auto"/>
            <w:right w:val="none" w:sz="0" w:space="0" w:color="auto"/>
          </w:divBdr>
        </w:div>
        <w:div w:id="1998067064">
          <w:marLeft w:val="0"/>
          <w:marRight w:val="0"/>
          <w:marTop w:val="0"/>
          <w:marBottom w:val="0"/>
          <w:divBdr>
            <w:top w:val="none" w:sz="0" w:space="0" w:color="auto"/>
            <w:left w:val="none" w:sz="0" w:space="0" w:color="auto"/>
            <w:bottom w:val="none" w:sz="0" w:space="0" w:color="auto"/>
            <w:right w:val="none" w:sz="0" w:space="0" w:color="auto"/>
          </w:divBdr>
        </w:div>
        <w:div w:id="464660327">
          <w:marLeft w:val="0"/>
          <w:marRight w:val="0"/>
          <w:marTop w:val="0"/>
          <w:marBottom w:val="0"/>
          <w:divBdr>
            <w:top w:val="none" w:sz="0" w:space="0" w:color="auto"/>
            <w:left w:val="none" w:sz="0" w:space="0" w:color="auto"/>
            <w:bottom w:val="none" w:sz="0" w:space="0" w:color="auto"/>
            <w:right w:val="none" w:sz="0" w:space="0" w:color="auto"/>
          </w:divBdr>
        </w:div>
        <w:div w:id="806045024">
          <w:marLeft w:val="0"/>
          <w:marRight w:val="0"/>
          <w:marTop w:val="0"/>
          <w:marBottom w:val="0"/>
          <w:divBdr>
            <w:top w:val="none" w:sz="0" w:space="0" w:color="auto"/>
            <w:left w:val="none" w:sz="0" w:space="0" w:color="auto"/>
            <w:bottom w:val="none" w:sz="0" w:space="0" w:color="auto"/>
            <w:right w:val="none" w:sz="0" w:space="0" w:color="auto"/>
          </w:divBdr>
        </w:div>
        <w:div w:id="479348367">
          <w:marLeft w:val="0"/>
          <w:marRight w:val="0"/>
          <w:marTop w:val="0"/>
          <w:marBottom w:val="0"/>
          <w:divBdr>
            <w:top w:val="none" w:sz="0" w:space="0" w:color="auto"/>
            <w:left w:val="none" w:sz="0" w:space="0" w:color="auto"/>
            <w:bottom w:val="none" w:sz="0" w:space="0" w:color="auto"/>
            <w:right w:val="none" w:sz="0" w:space="0" w:color="auto"/>
          </w:divBdr>
        </w:div>
        <w:div w:id="68045353">
          <w:marLeft w:val="0"/>
          <w:marRight w:val="0"/>
          <w:marTop w:val="0"/>
          <w:marBottom w:val="0"/>
          <w:divBdr>
            <w:top w:val="none" w:sz="0" w:space="0" w:color="auto"/>
            <w:left w:val="none" w:sz="0" w:space="0" w:color="auto"/>
            <w:bottom w:val="none" w:sz="0" w:space="0" w:color="auto"/>
            <w:right w:val="none" w:sz="0" w:space="0" w:color="auto"/>
          </w:divBdr>
        </w:div>
        <w:div w:id="927152070">
          <w:marLeft w:val="0"/>
          <w:marRight w:val="0"/>
          <w:marTop w:val="0"/>
          <w:marBottom w:val="0"/>
          <w:divBdr>
            <w:top w:val="none" w:sz="0" w:space="0" w:color="auto"/>
            <w:left w:val="none" w:sz="0" w:space="0" w:color="auto"/>
            <w:bottom w:val="none" w:sz="0" w:space="0" w:color="auto"/>
            <w:right w:val="none" w:sz="0" w:space="0" w:color="auto"/>
          </w:divBdr>
        </w:div>
      </w:divsChild>
    </w:div>
    <w:div w:id="1422288574">
      <w:bodyDiv w:val="1"/>
      <w:marLeft w:val="0"/>
      <w:marRight w:val="0"/>
      <w:marTop w:val="0"/>
      <w:marBottom w:val="0"/>
      <w:divBdr>
        <w:top w:val="none" w:sz="0" w:space="0" w:color="auto"/>
        <w:left w:val="none" w:sz="0" w:space="0" w:color="auto"/>
        <w:bottom w:val="none" w:sz="0" w:space="0" w:color="auto"/>
        <w:right w:val="none" w:sz="0" w:space="0" w:color="auto"/>
      </w:divBdr>
    </w:div>
    <w:div w:id="156298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cesshub.gov.au/about-the-nrs/nrs-call-numbers-and-link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dustryskillsaustralia.org.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tet.qld.gov.au/training/skills-strateg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dtet.qld.gov.au/employment/support-employers/workforce-strategy/abou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f4fbda-5ce6-4ddc-874a-75ecc9b6bfdc">
      <Terms xmlns="http://schemas.microsoft.com/office/infopath/2007/PartnerControls"/>
    </lcf76f155ced4ddcb4097134ff3c332f>
    <TaxCatchAll xmlns="d27882d3-798a-4f9d-aacc-36c6e0a50e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F0D60F4104EA49B4396E9A75CE0415" ma:contentTypeVersion="16" ma:contentTypeDescription="Create a new document." ma:contentTypeScope="" ma:versionID="f1a336398d0339b03f7152176f487226">
  <xsd:schema xmlns:xsd="http://www.w3.org/2001/XMLSchema" xmlns:xs="http://www.w3.org/2001/XMLSchema" xmlns:p="http://schemas.microsoft.com/office/2006/metadata/properties" xmlns:ns2="72f4fbda-5ce6-4ddc-874a-75ecc9b6bfdc" xmlns:ns3="9f8a32ae-e6a7-4643-9a3f-ea785774e589" xmlns:ns4="d27882d3-798a-4f9d-aacc-36c6e0a50e92" targetNamespace="http://schemas.microsoft.com/office/2006/metadata/properties" ma:root="true" ma:fieldsID="badb549022b91936e06d1734fa468d45" ns2:_="" ns3:_="" ns4:_="">
    <xsd:import namespace="72f4fbda-5ce6-4ddc-874a-75ecc9b6bfdc"/>
    <xsd:import namespace="9f8a32ae-e6a7-4643-9a3f-ea785774e589"/>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4fbda-5ce6-4ddc-874a-75ecc9b6b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8a32ae-e6a7-4643-9a3f-ea785774e5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88a385a-bf8d-40dd-a4fd-bf4c6a0e335e}" ma:internalName="TaxCatchAll" ma:showField="CatchAllData" ma:web="9f8a32ae-e6a7-4643-9a3f-ea785774e5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17EFA6-0064-450E-A079-45E5F8EA422F}">
  <ds:schemaRefs>
    <ds:schemaRef ds:uri="http://schemas.microsoft.com/office/2006/metadata/properties"/>
    <ds:schemaRef ds:uri="http://schemas.microsoft.com/office/infopath/2007/PartnerControls"/>
    <ds:schemaRef ds:uri="72f4fbda-5ce6-4ddc-874a-75ecc9b6bfdc"/>
    <ds:schemaRef ds:uri="d27882d3-798a-4f9d-aacc-36c6e0a50e92"/>
  </ds:schemaRefs>
</ds:datastoreItem>
</file>

<file path=customXml/itemProps2.xml><?xml version="1.0" encoding="utf-8"?>
<ds:datastoreItem xmlns:ds="http://schemas.openxmlformats.org/officeDocument/2006/customXml" ds:itemID="{2214380B-12DE-4A31-9E39-8317ABE7774D}">
  <ds:schemaRefs>
    <ds:schemaRef ds:uri="http://schemas.microsoft.com/sharepoint/v3/contenttype/forms"/>
  </ds:schemaRefs>
</ds:datastoreItem>
</file>

<file path=customXml/itemProps3.xml><?xml version="1.0" encoding="utf-8"?>
<ds:datastoreItem xmlns:ds="http://schemas.openxmlformats.org/officeDocument/2006/customXml" ds:itemID="{E081A288-0C71-4FB1-B4CD-5601D6C124B9}">
  <ds:schemaRefs>
    <ds:schemaRef ds:uri="http://schemas.openxmlformats.org/officeDocument/2006/bibliography"/>
  </ds:schemaRefs>
</ds:datastoreItem>
</file>

<file path=customXml/itemProps4.xml><?xml version="1.0" encoding="utf-8"?>
<ds:datastoreItem xmlns:ds="http://schemas.openxmlformats.org/officeDocument/2006/customXml" ds:itemID="{07C7EBDC-6A9E-4318-B534-01F2D4317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4fbda-5ce6-4ddc-874a-75ecc9b6bfdc"/>
    <ds:schemaRef ds:uri="9f8a32ae-e6a7-4643-9a3f-ea785774e589"/>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2800</Words>
  <Characters>15962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2025-05-15T02:16:00Z</dcterms:created>
  <dcterms:modified xsi:type="dcterms:W3CDTF">2025-08-11T03:06:00Z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0x01010056F0D60F4104EA49B4396E9A75CE0415</vt:lpwstr>
  </property>
  <property fmtid="{D5CDD505-2E9C-101B-9397-08002B2CF9AE}" pid="3" name="MediaServiceImageTags">
    <vt:lpwstr/>
  </property>
</Properties>
</file>