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81E8" w14:textId="77777777" w:rsidR="002B4239" w:rsidRPr="003C5916" w:rsidRDefault="002B4239" w:rsidP="003C5916">
      <w:pPr>
        <w:rPr>
          <w:sz w:val="20"/>
          <w:szCs w:val="20"/>
        </w:rPr>
      </w:pPr>
    </w:p>
    <w:p w14:paraId="2F327D38" w14:textId="3E72D01B" w:rsidR="00971CFE" w:rsidRPr="003C5916" w:rsidRDefault="002B4239" w:rsidP="003C5916">
      <w:pPr>
        <w:rPr>
          <w:sz w:val="20"/>
          <w:szCs w:val="20"/>
        </w:rPr>
      </w:pPr>
      <w:r w:rsidRPr="003C5916">
        <w:rPr>
          <w:noProof/>
          <w:sz w:val="20"/>
          <w:szCs w:val="20"/>
        </w:rPr>
        <w:drawing>
          <wp:anchor distT="0" distB="0" distL="114300" distR="114300" simplePos="0" relativeHeight="251658240" behindDoc="1" locked="1" layoutInCell="1" allowOverlap="1" wp14:anchorId="303C94E6" wp14:editId="6CE5DEA0">
            <wp:simplePos x="0" y="0"/>
            <wp:positionH relativeFrom="page">
              <wp:posOffset>16510</wp:posOffset>
            </wp:positionH>
            <wp:positionV relativeFrom="page">
              <wp:posOffset>12700</wp:posOffset>
            </wp:positionV>
            <wp:extent cx="7559675" cy="1069149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67B1E" w14:textId="6ECE0989" w:rsidR="00365E3D" w:rsidRPr="003C5916" w:rsidRDefault="00365E3D" w:rsidP="003C5916">
      <w:pPr>
        <w:rPr>
          <w:sz w:val="20"/>
          <w:szCs w:val="20"/>
        </w:rPr>
      </w:pPr>
    </w:p>
    <w:p w14:paraId="7150AC3A" w14:textId="77777777" w:rsidR="00365E3D" w:rsidRPr="003C5916" w:rsidRDefault="00365E3D" w:rsidP="003C5916">
      <w:pPr>
        <w:rPr>
          <w:sz w:val="20"/>
          <w:szCs w:val="20"/>
        </w:rPr>
      </w:pPr>
    </w:p>
    <w:p w14:paraId="3EFA89BD" w14:textId="77777777" w:rsidR="00971CFE" w:rsidRPr="003C5916" w:rsidRDefault="00971CFE" w:rsidP="003C5916">
      <w:pPr>
        <w:rPr>
          <w:color w:val="FF0000"/>
          <w:sz w:val="20"/>
          <w:szCs w:val="20"/>
        </w:rPr>
      </w:pPr>
    </w:p>
    <w:p w14:paraId="3307F4BF" w14:textId="4ADD939B" w:rsidR="00971CFE" w:rsidRPr="00C20E8D" w:rsidRDefault="00971CFE" w:rsidP="00C20E8D">
      <w:pPr>
        <w:jc w:val="center"/>
        <w:rPr>
          <w:b/>
          <w:sz w:val="72"/>
          <w:szCs w:val="72"/>
        </w:rPr>
      </w:pPr>
      <w:r w:rsidRPr="00C20E8D">
        <w:rPr>
          <w:b/>
          <w:sz w:val="72"/>
          <w:szCs w:val="72"/>
        </w:rPr>
        <w:t>Queensland Sugar Mass Management Scheme</w:t>
      </w:r>
    </w:p>
    <w:p w14:paraId="1CB0150E" w14:textId="6B515FAC" w:rsidR="00971CFE" w:rsidRPr="00C20E8D" w:rsidRDefault="00971CFE" w:rsidP="00C20E8D">
      <w:pPr>
        <w:jc w:val="center"/>
        <w:rPr>
          <w:b/>
          <w:sz w:val="72"/>
          <w:szCs w:val="72"/>
        </w:rPr>
      </w:pPr>
    </w:p>
    <w:p w14:paraId="62DF42C7" w14:textId="2D95D8C6" w:rsidR="00C20E8D" w:rsidRPr="00C20E8D" w:rsidRDefault="00365E3D" w:rsidP="00C20E8D">
      <w:pPr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68A9F9F2" wp14:editId="14514E12">
            <wp:extent cx="5756745" cy="3824852"/>
            <wp:effectExtent l="0" t="0" r="0" b="4445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104" cy="38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99B1" w14:textId="77777777" w:rsidR="00C20E8D" w:rsidRPr="00C20E8D" w:rsidRDefault="00C20E8D" w:rsidP="00C20E8D">
      <w:pPr>
        <w:jc w:val="center"/>
        <w:rPr>
          <w:b/>
          <w:sz w:val="72"/>
          <w:szCs w:val="72"/>
        </w:rPr>
      </w:pPr>
    </w:p>
    <w:p w14:paraId="2A248949" w14:textId="4A1376ED" w:rsidR="00971CFE" w:rsidRDefault="00971CFE" w:rsidP="00C20E8D">
      <w:pPr>
        <w:jc w:val="center"/>
        <w:rPr>
          <w:b/>
          <w:sz w:val="72"/>
          <w:szCs w:val="72"/>
        </w:rPr>
      </w:pPr>
      <w:r w:rsidRPr="00C20E8D">
        <w:rPr>
          <w:b/>
          <w:sz w:val="72"/>
          <w:szCs w:val="72"/>
        </w:rPr>
        <w:t>Participation Guide</w:t>
      </w:r>
    </w:p>
    <w:p w14:paraId="6A26EE61" w14:textId="77777777" w:rsidR="00855044" w:rsidRDefault="00855044" w:rsidP="00855044">
      <w:pPr>
        <w:jc w:val="right"/>
        <w:rPr>
          <w:b/>
          <w:bCs/>
          <w:color w:val="FF0000"/>
          <w:sz w:val="28"/>
          <w:szCs w:val="28"/>
        </w:rPr>
      </w:pPr>
    </w:p>
    <w:p w14:paraId="7ECF9F09" w14:textId="77777777" w:rsidR="00855044" w:rsidRDefault="00855044" w:rsidP="00855044">
      <w:pPr>
        <w:jc w:val="right"/>
        <w:rPr>
          <w:b/>
          <w:bCs/>
          <w:color w:val="FF0000"/>
          <w:sz w:val="28"/>
          <w:szCs w:val="28"/>
        </w:rPr>
      </w:pPr>
    </w:p>
    <w:p w14:paraId="1BFE0B21" w14:textId="77777777" w:rsidR="00855044" w:rsidRDefault="00855044" w:rsidP="00855044">
      <w:pPr>
        <w:jc w:val="right"/>
        <w:rPr>
          <w:b/>
          <w:bCs/>
          <w:color w:val="FF0000"/>
          <w:sz w:val="28"/>
          <w:szCs w:val="28"/>
        </w:rPr>
      </w:pPr>
    </w:p>
    <w:p w14:paraId="52F2DB56" w14:textId="77777777" w:rsidR="00855044" w:rsidRDefault="00855044" w:rsidP="00855044">
      <w:pPr>
        <w:jc w:val="right"/>
        <w:rPr>
          <w:b/>
          <w:bCs/>
          <w:color w:val="FF0000"/>
          <w:sz w:val="28"/>
          <w:szCs w:val="28"/>
        </w:rPr>
      </w:pPr>
    </w:p>
    <w:p w14:paraId="4D246DFF" w14:textId="77777777" w:rsidR="00855044" w:rsidRDefault="00855044" w:rsidP="00855044">
      <w:pPr>
        <w:jc w:val="right"/>
        <w:rPr>
          <w:b/>
          <w:bCs/>
          <w:color w:val="FF0000"/>
          <w:sz w:val="28"/>
          <w:szCs w:val="28"/>
        </w:rPr>
      </w:pPr>
    </w:p>
    <w:p w14:paraId="3C3BBE50" w14:textId="4073330C" w:rsidR="00855044" w:rsidRDefault="00855044" w:rsidP="000C6F5B">
      <w:pPr>
        <w:jc w:val="right"/>
        <w:rPr>
          <w:b/>
          <w:bCs/>
          <w:color w:val="FF0000"/>
          <w:sz w:val="28"/>
          <w:szCs w:val="28"/>
        </w:rPr>
      </w:pPr>
    </w:p>
    <w:p w14:paraId="48290FB4" w14:textId="77777777" w:rsidR="00855044" w:rsidRDefault="00855044" w:rsidP="00855044">
      <w:pPr>
        <w:jc w:val="right"/>
        <w:rPr>
          <w:b/>
          <w:bCs/>
          <w:color w:val="FF0000"/>
          <w:sz w:val="28"/>
          <w:szCs w:val="28"/>
        </w:rPr>
      </w:pPr>
    </w:p>
    <w:p w14:paraId="1939A9B7" w14:textId="77777777" w:rsidR="00855044" w:rsidRDefault="00855044" w:rsidP="00855044">
      <w:pPr>
        <w:jc w:val="right"/>
        <w:rPr>
          <w:b/>
          <w:bCs/>
          <w:color w:val="FF0000"/>
          <w:sz w:val="28"/>
          <w:szCs w:val="28"/>
        </w:rPr>
      </w:pPr>
    </w:p>
    <w:p w14:paraId="1FED83D0" w14:textId="7264F2F2" w:rsidR="00855044" w:rsidRPr="00BF68F8" w:rsidRDefault="00DD1EBD" w:rsidP="0085504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Version </w:t>
      </w:r>
      <w:r w:rsidR="000D40BA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|</w:t>
      </w:r>
      <w:r w:rsidR="00855044" w:rsidRPr="00BF68F8">
        <w:rPr>
          <w:b/>
          <w:bCs/>
          <w:sz w:val="28"/>
          <w:szCs w:val="28"/>
        </w:rPr>
        <w:t xml:space="preserve"> June </w:t>
      </w:r>
      <w:r w:rsidR="00FE12D6" w:rsidRPr="00BF68F8">
        <w:rPr>
          <w:b/>
          <w:bCs/>
          <w:sz w:val="28"/>
          <w:szCs w:val="28"/>
        </w:rPr>
        <w:t>2024</w:t>
      </w:r>
    </w:p>
    <w:p w14:paraId="5828141D" w14:textId="77777777" w:rsidR="00971CFE" w:rsidRDefault="00971CFE" w:rsidP="00971CFE">
      <w:pPr>
        <w:rPr>
          <w:color w:val="FF0000"/>
        </w:rPr>
      </w:pPr>
    </w:p>
    <w:p w14:paraId="69AB67A1" w14:textId="5E3E7046" w:rsidR="00971CFE" w:rsidRDefault="00971CFE" w:rsidP="00971CFE">
      <w:pPr>
        <w:rPr>
          <w:color w:val="FF0000"/>
        </w:rPr>
      </w:pPr>
    </w:p>
    <w:sdt>
      <w:sdtPr>
        <w:rPr>
          <w:rFonts w:eastAsiaTheme="minorHAnsi" w:cstheme="minorBidi"/>
          <w:b w:val="0"/>
          <w:color w:val="auto"/>
          <w:sz w:val="24"/>
          <w:szCs w:val="22"/>
        </w:rPr>
        <w:id w:val="-73508289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EDF650B" w14:textId="04166474" w:rsidR="00A765EB" w:rsidRDefault="00A765EB">
          <w:pPr>
            <w:pStyle w:val="TOCHeading"/>
          </w:pPr>
          <w:r>
            <w:t>Contents</w:t>
          </w:r>
        </w:p>
        <w:p w14:paraId="3FD56B7D" w14:textId="79122044" w:rsidR="00903F8E" w:rsidRDefault="00CE444F">
          <w:pPr>
            <w:pStyle w:val="TOC1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69608977" w:history="1">
            <w:r w:rsidR="00903F8E" w:rsidRPr="00240EBC">
              <w:rPr>
                <w:rStyle w:val="Hyperlink"/>
                <w:noProof/>
              </w:rPr>
              <w:t>Part 1 Introduction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_Toc169608977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3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79897B4A" w14:textId="381471EA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78" w:history="1">
            <w:r w:rsidR="00903F8E" w:rsidRPr="00240EBC">
              <w:rPr>
                <w:rStyle w:val="Hyperlink"/>
                <w:noProof/>
              </w:rPr>
              <w:t>1.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Purpose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_Toc169608978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3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2A4BC0C4" w14:textId="3500CD4F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79" w:history="1">
            <w:r w:rsidR="00903F8E" w:rsidRPr="00240EBC">
              <w:rPr>
                <w:rStyle w:val="Hyperlink"/>
                <w:noProof/>
              </w:rPr>
              <w:t>2.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Policy statement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_Toc169608979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3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372EF4D9" w14:textId="57F37BF9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0" w:history="1">
            <w:r w:rsidR="00903F8E" w:rsidRPr="00240EBC">
              <w:rPr>
                <w:rStyle w:val="Hyperlink"/>
                <w:noProof/>
              </w:rPr>
              <w:t>3.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Date of commencement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_Toc169608980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3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1F73F3EA" w14:textId="21E9FE7A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1" w:history="1">
            <w:r w:rsidR="00903F8E" w:rsidRPr="00240EBC">
              <w:rPr>
                <w:rStyle w:val="Hyperlink"/>
                <w:noProof/>
              </w:rPr>
              <w:t>4.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Background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_Toc169608981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3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3E610BA2" w14:textId="598899B8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2" w:history="1">
            <w:r w:rsidR="00903F8E" w:rsidRPr="00240EBC">
              <w:rPr>
                <w:rStyle w:val="Hyperlink"/>
                <w:noProof/>
              </w:rPr>
              <w:t>5.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SMMS participant overview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_Toc169608982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3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2C082576" w14:textId="2FCD4BF3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3" w:history="1">
            <w:r w:rsidR="00903F8E" w:rsidRPr="00240EBC">
              <w:rPr>
                <w:rStyle w:val="Hyperlink"/>
                <w:noProof/>
              </w:rPr>
              <w:t>6.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Administration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_Toc169608983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4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4F91F104" w14:textId="751081C9" w:rsidR="00903F8E" w:rsidRDefault="00000000">
          <w:pPr>
            <w:pStyle w:val="TOC1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4" w:history="1">
            <w:r w:rsidR="00903F8E" w:rsidRPr="00240EBC">
              <w:rPr>
                <w:rStyle w:val="Hyperlink"/>
                <w:noProof/>
              </w:rPr>
              <w:t>Part 2 SMMS conditions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_Toc169608984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5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2CD7F56E" w14:textId="762504C0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5" w:history="1">
            <w:r w:rsidR="00903F8E" w:rsidRPr="00240EBC">
              <w:rPr>
                <w:rStyle w:val="Hyperlink"/>
                <w:noProof/>
              </w:rPr>
              <w:t>7.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Operating year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_Toc169608985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5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73EF41AB" w14:textId="438D8264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6" w:history="1">
            <w:r w:rsidR="00903F8E" w:rsidRPr="00240EBC">
              <w:rPr>
                <w:rStyle w:val="Hyperlink"/>
                <w:noProof/>
              </w:rPr>
              <w:t>8.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Eligible vehicles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_Toc169608986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5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3CB72C9D" w14:textId="202CE80C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7" w:history="1">
            <w:r w:rsidR="00903F8E" w:rsidRPr="00240EBC">
              <w:rPr>
                <w:rStyle w:val="Hyperlink"/>
                <w:noProof/>
              </w:rPr>
              <w:t>9.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Certificate of Participation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_Toc169608987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5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5A3767AA" w14:textId="05AD506C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8" w:history="1">
            <w:r w:rsidR="00903F8E" w:rsidRPr="00240EBC">
              <w:rPr>
                <w:rStyle w:val="Hyperlink"/>
                <w:noProof/>
              </w:rPr>
              <w:t>10.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In-field loading tolerance mass limits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_Toc169608988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5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1A90BC6D" w14:textId="2FB65B33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89" w:history="1">
            <w:r w:rsidR="00903F8E" w:rsidRPr="00240EBC">
              <w:rPr>
                <w:rStyle w:val="Hyperlink"/>
                <w:noProof/>
              </w:rPr>
              <w:t>11.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Weighing of vehicles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_Toc169608989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6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3D996901" w14:textId="4E9BE608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0" w:history="1">
            <w:r w:rsidR="00903F8E" w:rsidRPr="00240EBC">
              <w:rPr>
                <w:rStyle w:val="Hyperlink"/>
                <w:noProof/>
              </w:rPr>
              <w:t>12.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Managing overloaded vehicles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_Toc169608990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6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415E292C" w14:textId="5F89A0E1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1" w:history="1">
            <w:r w:rsidR="00903F8E" w:rsidRPr="00240EBC">
              <w:rPr>
                <w:rStyle w:val="Hyperlink"/>
                <w:noProof/>
              </w:rPr>
              <w:t>13.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Monitoring and auditing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_Toc169608991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7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545E66B5" w14:textId="4AFC6769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2" w:history="1">
            <w:r w:rsidR="00903F8E" w:rsidRPr="00240EBC">
              <w:rPr>
                <w:rStyle w:val="Hyperlink"/>
                <w:noProof/>
              </w:rPr>
              <w:t>14.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Show cause notice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_Toc169608992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7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449712E8" w14:textId="77D881E0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3" w:history="1">
            <w:r w:rsidR="00903F8E" w:rsidRPr="00240EBC">
              <w:rPr>
                <w:rStyle w:val="Hyperlink"/>
                <w:noProof/>
              </w:rPr>
              <w:t>15.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Approved routes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_Toc169608993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7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72BD305C" w14:textId="426659D5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4" w:history="1">
            <w:r w:rsidR="00903F8E" w:rsidRPr="00240EBC">
              <w:rPr>
                <w:rStyle w:val="Hyperlink"/>
                <w:noProof/>
              </w:rPr>
              <w:t>16.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Local road manager approval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_Toc169608994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8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5EF530B5" w14:textId="42BAF3F3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5" w:history="1">
            <w:r w:rsidR="00903F8E" w:rsidRPr="00240EBC">
              <w:rPr>
                <w:rStyle w:val="Hyperlink"/>
                <w:noProof/>
              </w:rPr>
              <w:t>17.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Temporary road restrictions and closures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_Toc169608995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8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7F5A702F" w14:textId="45243E8A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6" w:history="1">
            <w:r w:rsidR="00903F8E" w:rsidRPr="00240EBC">
              <w:rPr>
                <w:rStyle w:val="Hyperlink"/>
                <w:noProof/>
              </w:rPr>
              <w:t>18.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Chain of Responsibility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_Toc169608996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8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4B8EB282" w14:textId="592E6D4F" w:rsidR="00903F8E" w:rsidRDefault="00000000">
          <w:pPr>
            <w:pStyle w:val="TOC1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7" w:history="1">
            <w:r w:rsidR="00903F8E" w:rsidRPr="00240EBC">
              <w:rPr>
                <w:rStyle w:val="Hyperlink"/>
                <w:noProof/>
              </w:rPr>
              <w:t>Part 3 Sugar mill and transport operator conditions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_Toc169608997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9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3C6313BF" w14:textId="73F0619A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8" w:history="1">
            <w:r w:rsidR="00903F8E" w:rsidRPr="00240EBC">
              <w:rPr>
                <w:rStyle w:val="Hyperlink"/>
                <w:noProof/>
              </w:rPr>
              <w:t>19.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Sugar mill conditions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_Toc169608998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9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3FF95D27" w14:textId="5CEE745C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8999" w:history="1">
            <w:r w:rsidR="00903F8E" w:rsidRPr="00240EBC">
              <w:rPr>
                <w:rStyle w:val="Hyperlink"/>
                <w:noProof/>
              </w:rPr>
              <w:t>20.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Transport operator conditions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_Toc169608999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9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5C77880B" w14:textId="6052CA9B" w:rsidR="00903F8E" w:rsidRDefault="00000000">
          <w:pPr>
            <w:pStyle w:val="TOC1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0" w:history="1">
            <w:r w:rsidR="00903F8E" w:rsidRPr="00240EBC">
              <w:rPr>
                <w:rStyle w:val="Hyperlink"/>
                <w:noProof/>
              </w:rPr>
              <w:t>Part 4 Reporting conditions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_Toc169609000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10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70AAF6E5" w14:textId="333D5EA3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1" w:history="1">
            <w:r w:rsidR="00903F8E" w:rsidRPr="00240EBC">
              <w:rPr>
                <w:rStyle w:val="Hyperlink"/>
                <w:noProof/>
              </w:rPr>
              <w:t>21.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Sugar mill weekly report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_Toc169609001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10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69CE946B" w14:textId="751E057E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2" w:history="1">
            <w:r w:rsidR="00903F8E" w:rsidRPr="00240EBC">
              <w:rPr>
                <w:rStyle w:val="Hyperlink"/>
                <w:noProof/>
              </w:rPr>
              <w:t>22.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Severe overloaded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_Toc169609002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10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3520B5FF" w14:textId="4D33E4DF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3" w:history="1">
            <w:r w:rsidR="00903F8E" w:rsidRPr="00240EBC">
              <w:rPr>
                <w:rStyle w:val="Hyperlink"/>
                <w:noProof/>
              </w:rPr>
              <w:t>23.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Eligible vehicle register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_Toc169609003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11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42F2CB68" w14:textId="39E5914E" w:rsidR="00903F8E" w:rsidRDefault="00000000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4" w:history="1">
            <w:r w:rsidR="00903F8E" w:rsidRPr="00240EBC">
              <w:rPr>
                <w:rStyle w:val="Hyperlink"/>
                <w:noProof/>
              </w:rPr>
              <w:t>24.</w:t>
            </w:r>
            <w:r w:rsidR="00903F8E">
              <w:rPr>
                <w:rFonts w:asciiTheme="minorHAnsi" w:eastAsiaTheme="minorEastAsia" w:hAnsiTheme="minorHAnsi"/>
                <w:noProof/>
                <w:kern w:val="2"/>
                <w:sz w:val="22"/>
                <w:lang w:eastAsia="en-AU"/>
                <w14:ligatures w14:val="standardContextual"/>
              </w:rPr>
              <w:tab/>
            </w:r>
            <w:r w:rsidR="00903F8E" w:rsidRPr="00240EBC">
              <w:rPr>
                <w:rStyle w:val="Hyperlink"/>
                <w:noProof/>
              </w:rPr>
              <w:t>Harvester register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_Toc169609004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11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77723177" w14:textId="51A244D5" w:rsidR="00903F8E" w:rsidRDefault="00000000">
          <w:pPr>
            <w:pStyle w:val="TOC1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5" w:history="1">
            <w:r w:rsidR="00903F8E" w:rsidRPr="00240EBC">
              <w:rPr>
                <w:rStyle w:val="Hyperlink"/>
                <w:noProof/>
              </w:rPr>
              <w:t>Part 5 General enquiries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_Toc169609005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12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72E09684" w14:textId="6ED81A87" w:rsidR="00903F8E" w:rsidRDefault="00000000">
          <w:pPr>
            <w:pStyle w:val="TOC1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6" w:history="1">
            <w:r w:rsidR="00903F8E" w:rsidRPr="00240EBC">
              <w:rPr>
                <w:rStyle w:val="Hyperlink"/>
                <w:noProof/>
              </w:rPr>
              <w:t>Definitions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_Toc169609006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12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2CFB428F" w14:textId="11C3B772" w:rsidR="00903F8E" w:rsidRDefault="00000000">
          <w:pPr>
            <w:pStyle w:val="TOC1"/>
            <w:rPr>
              <w:rFonts w:asciiTheme="minorHAnsi" w:eastAsiaTheme="minorEastAsia" w:hAnsiTheme="minorHAnsi"/>
              <w:noProof/>
              <w:kern w:val="2"/>
              <w:sz w:val="22"/>
              <w:lang w:eastAsia="en-AU"/>
              <w14:ligatures w14:val="standardContextual"/>
            </w:rPr>
          </w:pPr>
          <w:hyperlink w:anchor="_Toc169609007" w:history="1">
            <w:r w:rsidR="00903F8E" w:rsidRPr="00240EBC">
              <w:rPr>
                <w:rStyle w:val="Hyperlink"/>
                <w:noProof/>
              </w:rPr>
              <w:t>Amendments</w:t>
            </w:r>
            <w:r w:rsidR="00903F8E">
              <w:rPr>
                <w:noProof/>
                <w:webHidden/>
              </w:rPr>
              <w:tab/>
            </w:r>
            <w:r w:rsidR="00903F8E">
              <w:rPr>
                <w:noProof/>
                <w:webHidden/>
              </w:rPr>
              <w:fldChar w:fldCharType="begin"/>
            </w:r>
            <w:r w:rsidR="00903F8E">
              <w:rPr>
                <w:noProof/>
                <w:webHidden/>
              </w:rPr>
              <w:instrText xml:space="preserve"> PAGEREF _Toc169609007 \h </w:instrText>
            </w:r>
            <w:r w:rsidR="00903F8E">
              <w:rPr>
                <w:noProof/>
                <w:webHidden/>
              </w:rPr>
            </w:r>
            <w:r w:rsidR="00903F8E">
              <w:rPr>
                <w:noProof/>
                <w:webHidden/>
              </w:rPr>
              <w:fldChar w:fldCharType="separate"/>
            </w:r>
            <w:r w:rsidR="00BE7D3D">
              <w:rPr>
                <w:noProof/>
                <w:webHidden/>
              </w:rPr>
              <w:t>12</w:t>
            </w:r>
            <w:r w:rsidR="00903F8E">
              <w:rPr>
                <w:noProof/>
                <w:webHidden/>
              </w:rPr>
              <w:fldChar w:fldCharType="end"/>
            </w:r>
          </w:hyperlink>
        </w:p>
        <w:p w14:paraId="4B3431E2" w14:textId="7D646328" w:rsidR="00A765EB" w:rsidRDefault="00CE444F">
          <w:r>
            <w:fldChar w:fldCharType="end"/>
          </w:r>
        </w:p>
      </w:sdtContent>
    </w:sdt>
    <w:p w14:paraId="34957434" w14:textId="7AE71F10" w:rsidR="00014FC8" w:rsidRDefault="000C6F5B" w:rsidP="00A765EB">
      <w:pPr>
        <w:pStyle w:val="TOC1"/>
        <w:rPr>
          <w:rFonts w:asciiTheme="minorHAnsi" w:eastAsiaTheme="minorEastAsia" w:hAnsiTheme="minorHAnsi"/>
          <w:noProof/>
          <w:kern w:val="2"/>
          <w:sz w:val="22"/>
          <w:lang w:eastAsia="en-AU"/>
          <w14:ligatures w14:val="standardContextual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TOC \o "1-2" \h \z \u </w:instrText>
      </w:r>
      <w:r>
        <w:rPr>
          <w:color w:val="FF0000"/>
        </w:rPr>
        <w:fldChar w:fldCharType="separate"/>
      </w:r>
    </w:p>
    <w:p w14:paraId="6FB37CC7" w14:textId="071163BA" w:rsidR="00971CFE" w:rsidRPr="00971CFE" w:rsidRDefault="000C6F5B" w:rsidP="00556181">
      <w:pPr>
        <w:pStyle w:val="Heading1"/>
        <w:spacing w:before="120"/>
      </w:pPr>
      <w:r>
        <w:rPr>
          <w:color w:val="FF0000"/>
        </w:rPr>
        <w:lastRenderedPageBreak/>
        <w:fldChar w:fldCharType="end"/>
      </w:r>
      <w:bookmarkStart w:id="0" w:name="_Toc169010675"/>
      <w:bookmarkStart w:id="1" w:name="_Toc169608977"/>
      <w:r w:rsidR="00D879CB">
        <w:t xml:space="preserve">Part 1 </w:t>
      </w:r>
      <w:r w:rsidR="00971CFE" w:rsidRPr="00971CFE">
        <w:t>Introduction</w:t>
      </w:r>
      <w:bookmarkEnd w:id="0"/>
      <w:bookmarkEnd w:id="1"/>
    </w:p>
    <w:p w14:paraId="53C6D0B5" w14:textId="77777777" w:rsidR="00971CFE" w:rsidRPr="00CE3BC0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2" w:name="_Toc169010676"/>
      <w:bookmarkStart w:id="3" w:name="_Toc169608978"/>
      <w:r w:rsidRPr="00CE3BC0">
        <w:t>Purpose</w:t>
      </w:r>
      <w:bookmarkEnd w:id="2"/>
      <w:bookmarkEnd w:id="3"/>
    </w:p>
    <w:p w14:paraId="0D4197AF" w14:textId="19D25B58" w:rsidR="00971CFE" w:rsidRPr="00002C9B" w:rsidRDefault="00971CFE" w:rsidP="00971CFE">
      <w:r w:rsidRPr="00002C9B">
        <w:t xml:space="preserve">The purpose of the Queensland Sugar Mass Management Scheme (SMMS) Participation Guide (the Guide) is to provide </w:t>
      </w:r>
      <w:r w:rsidR="00AA4360">
        <w:t>operational</w:t>
      </w:r>
      <w:r w:rsidR="00AA4360" w:rsidRPr="00002C9B">
        <w:t xml:space="preserve"> </w:t>
      </w:r>
      <w:r w:rsidRPr="00002C9B">
        <w:t xml:space="preserve">conditions for </w:t>
      </w:r>
      <w:r w:rsidR="006C5EBF">
        <w:t xml:space="preserve">SMMS participants involved in </w:t>
      </w:r>
      <w:r w:rsidRPr="00002C9B">
        <w:t xml:space="preserve">the </w:t>
      </w:r>
      <w:r w:rsidR="00641039">
        <w:t>transportation</w:t>
      </w:r>
      <w:r w:rsidR="00D072C7" w:rsidRPr="00002C9B">
        <w:t xml:space="preserve"> </w:t>
      </w:r>
      <w:r w:rsidRPr="00002C9B">
        <w:t xml:space="preserve">of bulk sugar cane from the farm to a sugar mill </w:t>
      </w:r>
      <w:r w:rsidR="00A7325A">
        <w:t xml:space="preserve">listed in schedule 1 of </w:t>
      </w:r>
      <w:r w:rsidR="00A7325A" w:rsidRPr="00795A5D">
        <w:t xml:space="preserve">the Queensland Class 3 </w:t>
      </w:r>
      <w:r w:rsidR="0019297F" w:rsidRPr="00795A5D">
        <w:t>Heavy Vehicle</w:t>
      </w:r>
      <w:r w:rsidR="00347706" w:rsidRPr="00795A5D">
        <w:t xml:space="preserve"> </w:t>
      </w:r>
      <w:r w:rsidR="00A7325A" w:rsidRPr="00795A5D">
        <w:t xml:space="preserve">Sugar </w:t>
      </w:r>
      <w:r w:rsidR="00347706" w:rsidRPr="00795A5D">
        <w:t xml:space="preserve">Mill </w:t>
      </w:r>
      <w:r w:rsidR="00A7325A" w:rsidRPr="00795A5D">
        <w:t xml:space="preserve">Mass Management </w:t>
      </w:r>
      <w:r w:rsidR="00347706" w:rsidRPr="00795A5D">
        <w:t xml:space="preserve">Scheme Exemption </w:t>
      </w:r>
      <w:r w:rsidR="00A7325A" w:rsidRPr="00795A5D">
        <w:t>Notice (the Notice)</w:t>
      </w:r>
      <w:r w:rsidRPr="00795A5D">
        <w:t>.</w:t>
      </w:r>
    </w:p>
    <w:p w14:paraId="2864C594" w14:textId="107AF281" w:rsidR="00971CFE" w:rsidRPr="00CE3BC0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4" w:name="_Toc169010677"/>
      <w:bookmarkStart w:id="5" w:name="_Toc169608979"/>
      <w:r w:rsidRPr="00CE3BC0">
        <w:t>Policy statement</w:t>
      </w:r>
      <w:bookmarkEnd w:id="4"/>
      <w:bookmarkEnd w:id="5"/>
    </w:p>
    <w:p w14:paraId="6E4FF529" w14:textId="1330A560" w:rsidR="00971CFE" w:rsidRPr="00002C9B" w:rsidRDefault="00971CFE" w:rsidP="005C21FA">
      <w:r w:rsidRPr="00002C9B">
        <w:t xml:space="preserve">This </w:t>
      </w:r>
      <w:r w:rsidR="00AA1451">
        <w:t>G</w:t>
      </w:r>
      <w:r w:rsidR="00AA1451" w:rsidRPr="00002C9B">
        <w:t xml:space="preserve">uide </w:t>
      </w:r>
      <w:r w:rsidRPr="00002C9B">
        <w:t xml:space="preserve">is an approved </w:t>
      </w:r>
      <w:r w:rsidR="00AA1451">
        <w:t>G</w:t>
      </w:r>
      <w:r w:rsidR="00AA1451" w:rsidRPr="00002C9B">
        <w:t xml:space="preserve">uide </w:t>
      </w:r>
      <w:r w:rsidRPr="00002C9B">
        <w:t>for the purposes of section 117 of the Heavy Vehicle National Law (HVNL) and failure to comply with these conditions are enforceable under the HVNL.</w:t>
      </w:r>
      <w:r w:rsidR="005C21FA">
        <w:t xml:space="preserve"> This </w:t>
      </w:r>
      <w:r w:rsidRPr="00002C9B">
        <w:t xml:space="preserve">Guide operates in conjunction with </w:t>
      </w:r>
      <w:bookmarkStart w:id="6" w:name="_Hlk168294495"/>
      <w:r w:rsidRPr="001375E9">
        <w:t>the Notice</w:t>
      </w:r>
      <w:bookmarkEnd w:id="6"/>
      <w:r w:rsidR="00002C9B" w:rsidRPr="001375E9">
        <w:t>.</w:t>
      </w:r>
    </w:p>
    <w:p w14:paraId="0C7D1923" w14:textId="77777777" w:rsidR="00971CFE" w:rsidRPr="00CE3BC0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7" w:name="_Toc169010678"/>
      <w:bookmarkStart w:id="8" w:name="_Toc169608980"/>
      <w:r w:rsidRPr="00CE3BC0">
        <w:t>Date of commencement</w:t>
      </w:r>
      <w:bookmarkEnd w:id="7"/>
      <w:bookmarkEnd w:id="8"/>
    </w:p>
    <w:p w14:paraId="363A1547" w14:textId="01074DBD" w:rsidR="00971CFE" w:rsidRPr="00FD6A1A" w:rsidRDefault="00A72F62" w:rsidP="00971CFE">
      <w:r w:rsidRPr="00FD6A1A">
        <w:t>T</w:t>
      </w:r>
      <w:r w:rsidR="00971CFE" w:rsidRPr="00FD6A1A">
        <w:t xml:space="preserve">his </w:t>
      </w:r>
      <w:r w:rsidR="00AA1451" w:rsidRPr="00FD6A1A">
        <w:t xml:space="preserve">Guide </w:t>
      </w:r>
      <w:r w:rsidR="00971CFE" w:rsidRPr="00FD6A1A">
        <w:t xml:space="preserve">commences on </w:t>
      </w:r>
      <w:r w:rsidR="00C033B5" w:rsidRPr="00FD6A1A">
        <w:t>1</w:t>
      </w:r>
      <w:r w:rsidR="00613533">
        <w:t xml:space="preserve"> </w:t>
      </w:r>
      <w:r w:rsidR="00FE697A">
        <w:t>July</w:t>
      </w:r>
      <w:r w:rsidR="00FE697A" w:rsidRPr="00FD6A1A">
        <w:t xml:space="preserve"> </w:t>
      </w:r>
      <w:r w:rsidR="00971CFE" w:rsidRPr="00FD6A1A">
        <w:t>2024</w:t>
      </w:r>
      <w:r w:rsidR="00FE697A">
        <w:t xml:space="preserve"> and expires on 30 June </w:t>
      </w:r>
      <w:r w:rsidR="00350C5E">
        <w:t>2029</w:t>
      </w:r>
      <w:r w:rsidR="00CD6460">
        <w:t>.</w:t>
      </w:r>
    </w:p>
    <w:p w14:paraId="6D4F1C28" w14:textId="77777777" w:rsidR="00971CFE" w:rsidRPr="00CE3BC0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9" w:name="_Toc169010679"/>
      <w:bookmarkStart w:id="10" w:name="_Toc169608981"/>
      <w:r w:rsidRPr="00CE3BC0">
        <w:t>Background</w:t>
      </w:r>
      <w:bookmarkEnd w:id="9"/>
      <w:bookmarkEnd w:id="10"/>
    </w:p>
    <w:p w14:paraId="0EF822CB" w14:textId="76F4D13D" w:rsidR="00971CFE" w:rsidRPr="00002C9B" w:rsidRDefault="00971CFE" w:rsidP="00971CFE">
      <w:r w:rsidRPr="00002C9B">
        <w:t>The Queensland Government introduced the SMMS</w:t>
      </w:r>
      <w:r w:rsidR="003C5916">
        <w:t xml:space="preserve"> </w:t>
      </w:r>
      <w:r w:rsidR="0040653F">
        <w:t>to a</w:t>
      </w:r>
      <w:r w:rsidR="00BC3083">
        <w:t>ddress</w:t>
      </w:r>
      <w:r w:rsidRPr="00002C9B">
        <w:t xml:space="preserve"> the difficulty of accurately assessing the mass of bulk sugar cane </w:t>
      </w:r>
      <w:r w:rsidR="003C5916">
        <w:t>loaded on-farm</w:t>
      </w:r>
      <w:r w:rsidRPr="00002C9B">
        <w:t xml:space="preserve"> before transport</w:t>
      </w:r>
      <w:r w:rsidR="003C5916">
        <w:t>ation</w:t>
      </w:r>
      <w:r w:rsidRPr="00002C9B">
        <w:t xml:space="preserve"> to a sugar mill.</w:t>
      </w:r>
    </w:p>
    <w:p w14:paraId="3AD32878" w14:textId="693F5638" w:rsidR="00CA0F52" w:rsidRDefault="00971CFE" w:rsidP="00F13AA4">
      <w:pPr>
        <w:spacing w:before="120"/>
      </w:pPr>
      <w:r w:rsidRPr="00002C9B">
        <w:t xml:space="preserve">The SMMS </w:t>
      </w:r>
      <w:r w:rsidR="009F4975">
        <w:t>protects</w:t>
      </w:r>
      <w:r w:rsidRPr="00002C9B">
        <w:t xml:space="preserve"> the road infrastructure network and promote </w:t>
      </w:r>
      <w:r w:rsidR="00BC3083">
        <w:t>r</w:t>
      </w:r>
      <w:r w:rsidR="00BC3083" w:rsidRPr="00002C9B">
        <w:t xml:space="preserve">oad </w:t>
      </w:r>
      <w:r w:rsidR="00BC3083">
        <w:t>s</w:t>
      </w:r>
      <w:r w:rsidR="00BC3083" w:rsidRPr="00002C9B">
        <w:t xml:space="preserve">afety </w:t>
      </w:r>
      <w:r w:rsidRPr="00002C9B">
        <w:t>through administrative procedures and compliance activities</w:t>
      </w:r>
      <w:r w:rsidR="00EB6770">
        <w:t>.</w:t>
      </w:r>
    </w:p>
    <w:p w14:paraId="605B8DC0" w14:textId="2C51264A" w:rsidR="00971CFE" w:rsidRPr="00002C9B" w:rsidRDefault="00EB6770" w:rsidP="00F13AA4">
      <w:pPr>
        <w:spacing w:before="120"/>
      </w:pPr>
      <w:r>
        <w:t>The SMMS provides</w:t>
      </w:r>
      <w:r w:rsidR="003C5916" w:rsidRPr="003C5916">
        <w:t xml:space="preserve"> participants with an in-field loading tolerance above regulation mass limits </w:t>
      </w:r>
      <w:r w:rsidR="003C5916">
        <w:t xml:space="preserve">to allow for </w:t>
      </w:r>
      <w:r w:rsidR="003C5916" w:rsidRPr="003C5916">
        <w:t>varying moisture content and densities</w:t>
      </w:r>
      <w:r w:rsidR="00971CFE" w:rsidRPr="00002C9B">
        <w:t>.</w:t>
      </w:r>
    </w:p>
    <w:p w14:paraId="3359EDF2" w14:textId="37BD4785" w:rsidR="00971CFE" w:rsidRPr="00CE3BC0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11" w:name="_Toc169010680"/>
      <w:bookmarkStart w:id="12" w:name="_Toc169608982"/>
      <w:r w:rsidRPr="00CE3BC0">
        <w:t xml:space="preserve">SMMS </w:t>
      </w:r>
      <w:r w:rsidR="00FF0A45" w:rsidRPr="00CE3BC0">
        <w:t>participant overview</w:t>
      </w:r>
      <w:bookmarkEnd w:id="11"/>
      <w:bookmarkEnd w:id="12"/>
    </w:p>
    <w:p w14:paraId="1C0A25AC" w14:textId="1BF8FF74" w:rsidR="00971CFE" w:rsidRPr="00002C9B" w:rsidRDefault="00971CFE" w:rsidP="00971CFE">
      <w:r w:rsidRPr="00002C9B">
        <w:t>The Guide provides the SMMS operational conditions for participants</w:t>
      </w:r>
      <w:r w:rsidR="00310E33" w:rsidRPr="00310E33">
        <w:t xml:space="preserve"> involved in the transportation of bulk </w:t>
      </w:r>
      <w:r w:rsidR="00E44E4E">
        <w:t>sugar cane</w:t>
      </w:r>
      <w:r w:rsidR="00310E33" w:rsidRPr="00310E33">
        <w:t xml:space="preserve"> from a farm directly to a</w:t>
      </w:r>
      <w:r w:rsidR="00E44E4E">
        <w:t xml:space="preserve"> sugar mill</w:t>
      </w:r>
      <w:r w:rsidRPr="00002C9B">
        <w:t>.</w:t>
      </w:r>
    </w:p>
    <w:p w14:paraId="4C53F945" w14:textId="50A0411E" w:rsidR="00971CFE" w:rsidRPr="00002C9B" w:rsidRDefault="002B0820" w:rsidP="00122D28">
      <w:pPr>
        <w:spacing w:before="120"/>
      </w:pPr>
      <w:r>
        <w:t>P</w:t>
      </w:r>
      <w:r w:rsidR="00971CFE" w:rsidRPr="00002C9B">
        <w:t>articipants in the SMMS include:</w:t>
      </w:r>
      <w:r w:rsidR="00971CFE" w:rsidRPr="00002C9B">
        <w:tab/>
      </w:r>
    </w:p>
    <w:p w14:paraId="4CC6DF00" w14:textId="78004007" w:rsidR="003C5916" w:rsidRDefault="005F51C8" w:rsidP="00E86F7F">
      <w:pPr>
        <w:pStyle w:val="ListParagraph"/>
        <w:numPr>
          <w:ilvl w:val="0"/>
          <w:numId w:val="5"/>
        </w:numPr>
      </w:pPr>
      <w:r w:rsidRPr="005F51C8">
        <w:t>Department of Transport and Main Roads (TMR)</w:t>
      </w:r>
      <w:r w:rsidR="000F252C">
        <w:t>.</w:t>
      </w:r>
    </w:p>
    <w:p w14:paraId="469CE029" w14:textId="4AF192CC" w:rsidR="003C5916" w:rsidRDefault="003C5916" w:rsidP="00AA4A6C">
      <w:pPr>
        <w:pStyle w:val="ListParagraph"/>
        <w:numPr>
          <w:ilvl w:val="0"/>
          <w:numId w:val="5"/>
        </w:numPr>
      </w:pPr>
      <w:r>
        <w:t>National Heavy Vehicle Regulator (NHVR)</w:t>
      </w:r>
      <w:r w:rsidR="000F252C">
        <w:t>.</w:t>
      </w:r>
    </w:p>
    <w:p w14:paraId="4C8EB856" w14:textId="5EFC1565" w:rsidR="00971CFE" w:rsidRPr="00002C9B" w:rsidRDefault="00971CFE" w:rsidP="00AA4A6C">
      <w:pPr>
        <w:pStyle w:val="ListParagraph"/>
        <w:numPr>
          <w:ilvl w:val="0"/>
          <w:numId w:val="5"/>
        </w:numPr>
      </w:pPr>
      <w:r w:rsidRPr="00002C9B">
        <w:t xml:space="preserve">Sugar </w:t>
      </w:r>
      <w:r w:rsidR="007671ED">
        <w:t>m</w:t>
      </w:r>
      <w:r w:rsidR="007671ED" w:rsidRPr="00002C9B">
        <w:t>ill</w:t>
      </w:r>
      <w:r w:rsidR="003C5916">
        <w:t>.</w:t>
      </w:r>
    </w:p>
    <w:p w14:paraId="1A42A724" w14:textId="65834523" w:rsidR="00971CFE" w:rsidRDefault="00D93ED2" w:rsidP="00AA4A6C">
      <w:pPr>
        <w:pStyle w:val="ListParagraph"/>
        <w:numPr>
          <w:ilvl w:val="0"/>
          <w:numId w:val="5"/>
        </w:numPr>
      </w:pPr>
      <w:r>
        <w:t xml:space="preserve">Transport </w:t>
      </w:r>
      <w:r w:rsidR="00A6299F">
        <w:t>o</w:t>
      </w:r>
      <w:r w:rsidR="00971CFE" w:rsidRPr="00002C9B">
        <w:t xml:space="preserve">perators </w:t>
      </w:r>
      <w:r w:rsidR="00A224F5">
        <w:t xml:space="preserve">and </w:t>
      </w:r>
      <w:bookmarkStart w:id="13" w:name="_Hlk162443254"/>
      <w:r w:rsidR="00A224F5">
        <w:t>harvest</w:t>
      </w:r>
      <w:r w:rsidR="005067C8">
        <w:t>ing contractors</w:t>
      </w:r>
      <w:bookmarkEnd w:id="13"/>
      <w:r w:rsidR="003C5916">
        <w:t>.</w:t>
      </w:r>
    </w:p>
    <w:p w14:paraId="4EC951BF" w14:textId="5C6D697B" w:rsidR="004E42E1" w:rsidRDefault="004E42E1" w:rsidP="000068B9">
      <w:pPr>
        <w:spacing w:before="120"/>
      </w:pPr>
      <w:r w:rsidRPr="004E42E1">
        <w:t xml:space="preserve">All participants are responsible for complying with the </w:t>
      </w:r>
      <w:r>
        <w:t>SM</w:t>
      </w:r>
      <w:r w:rsidRPr="004E42E1">
        <w:t>MS conditions.</w:t>
      </w:r>
    </w:p>
    <w:p w14:paraId="65E516D3" w14:textId="77777777" w:rsidR="00556181" w:rsidRDefault="00556181">
      <w:pPr>
        <w:spacing w:after="160" w:line="259" w:lineRule="auto"/>
        <w:rPr>
          <w:rFonts w:eastAsiaTheme="majorEastAsia" w:cstheme="majorBidi"/>
          <w:b/>
          <w:color w:val="003E69"/>
          <w:sz w:val="44"/>
          <w:szCs w:val="32"/>
        </w:rPr>
      </w:pPr>
      <w:bookmarkStart w:id="14" w:name="_Toc169010682"/>
      <w:r>
        <w:br w:type="page"/>
      </w:r>
    </w:p>
    <w:p w14:paraId="44442A01" w14:textId="69B87ECB" w:rsidR="00971CFE" w:rsidRPr="00CE3BC0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15" w:name="_Toc169608983"/>
      <w:r w:rsidRPr="00CE3BC0">
        <w:lastRenderedPageBreak/>
        <w:t>Administration</w:t>
      </w:r>
      <w:bookmarkEnd w:id="14"/>
      <w:bookmarkEnd w:id="15"/>
    </w:p>
    <w:p w14:paraId="060C4BB9" w14:textId="457ED473" w:rsidR="00971CFE" w:rsidRDefault="00EC0F37" w:rsidP="00971CFE">
      <w:r>
        <w:t>This section provides an overview of SMMS participant</w:t>
      </w:r>
      <w:r w:rsidR="006F72B6">
        <w:t xml:space="preserve"> administration and duties</w:t>
      </w:r>
      <w:r w:rsidR="00971CFE" w:rsidRPr="00874B37">
        <w:t>.</w:t>
      </w:r>
    </w:p>
    <w:p w14:paraId="20C1A624" w14:textId="46CD3827" w:rsidR="00971CFE" w:rsidRPr="00971CFE" w:rsidRDefault="00971CFE" w:rsidP="00E33CC6">
      <w:pPr>
        <w:pStyle w:val="Heading3"/>
        <w:numPr>
          <w:ilvl w:val="1"/>
          <w:numId w:val="25"/>
        </w:numPr>
        <w:spacing w:before="120"/>
        <w:ind w:left="284" w:hanging="284"/>
      </w:pPr>
      <w:r w:rsidRPr="00971CFE">
        <w:t>TMR</w:t>
      </w:r>
    </w:p>
    <w:p w14:paraId="400F73D1" w14:textId="0970F119" w:rsidR="00971CFE" w:rsidRPr="00874B37" w:rsidRDefault="00971CFE" w:rsidP="00971CFE">
      <w:r w:rsidRPr="00874B37">
        <w:t xml:space="preserve">TMR </w:t>
      </w:r>
      <w:r w:rsidR="00005E31" w:rsidRPr="00005E31">
        <w:t xml:space="preserve">administer and coordinate the following under the </w:t>
      </w:r>
      <w:r w:rsidR="0063573D">
        <w:t>SM</w:t>
      </w:r>
      <w:r w:rsidR="00005E31" w:rsidRPr="00005E31">
        <w:t>MS</w:t>
      </w:r>
      <w:r w:rsidRPr="00874B37">
        <w:t>:</w:t>
      </w:r>
    </w:p>
    <w:p w14:paraId="2B0E6DE1" w14:textId="77777777" w:rsidR="003962D3" w:rsidRDefault="00971CFE" w:rsidP="00AA4A6C">
      <w:pPr>
        <w:pStyle w:val="ListParagraph"/>
        <w:numPr>
          <w:ilvl w:val="0"/>
          <w:numId w:val="6"/>
        </w:numPr>
      </w:pPr>
      <w:r w:rsidRPr="00874B37">
        <w:t xml:space="preserve">Coordinate </w:t>
      </w:r>
      <w:r w:rsidR="00B2632F">
        <w:t>and conduct</w:t>
      </w:r>
      <w:r w:rsidRPr="00874B37">
        <w:t xml:space="preserve"> performance monitoring</w:t>
      </w:r>
      <w:r w:rsidR="006E7CF0">
        <w:t>,</w:t>
      </w:r>
      <w:r w:rsidRPr="00874B37">
        <w:t xml:space="preserve"> and </w:t>
      </w:r>
    </w:p>
    <w:p w14:paraId="2BDAF05E" w14:textId="13D17999" w:rsidR="00971CFE" w:rsidRPr="00874B37" w:rsidRDefault="003962D3" w:rsidP="00AA4A6C">
      <w:pPr>
        <w:pStyle w:val="ListParagraph"/>
        <w:numPr>
          <w:ilvl w:val="0"/>
          <w:numId w:val="6"/>
        </w:numPr>
      </w:pPr>
      <w:r>
        <w:t>R</w:t>
      </w:r>
      <w:r w:rsidR="00971CFE" w:rsidRPr="00874B37">
        <w:t xml:space="preserve">eview of the </w:t>
      </w:r>
      <w:r w:rsidR="00F33F68">
        <w:t>SMMS</w:t>
      </w:r>
      <w:r w:rsidR="00270FA5" w:rsidRPr="00270FA5">
        <w:t xml:space="preserve"> and issues associated with the </w:t>
      </w:r>
      <w:r w:rsidR="008136A8">
        <w:t>SM</w:t>
      </w:r>
      <w:r w:rsidR="00270FA5" w:rsidRPr="00270FA5">
        <w:t>MS, and</w:t>
      </w:r>
    </w:p>
    <w:p w14:paraId="09441F04" w14:textId="0F69181F" w:rsidR="00971CFE" w:rsidRDefault="00971CFE" w:rsidP="00AA4A6C">
      <w:pPr>
        <w:pStyle w:val="ListParagraph"/>
        <w:numPr>
          <w:ilvl w:val="0"/>
          <w:numId w:val="6"/>
        </w:numPr>
      </w:pPr>
      <w:r w:rsidRPr="00874B37">
        <w:t>Manage</w:t>
      </w:r>
      <w:r w:rsidR="008136A8">
        <w:t>ment of</w:t>
      </w:r>
      <w:r w:rsidRPr="00874B37">
        <w:t xml:space="preserve"> the </w:t>
      </w:r>
      <w:r w:rsidR="005E4E39" w:rsidRPr="005E4E39">
        <w:t>Memorandum of Understanding (MoU)</w:t>
      </w:r>
      <w:r w:rsidRPr="00874B37">
        <w:t xml:space="preserve"> with sugar mills</w:t>
      </w:r>
      <w:r w:rsidR="008C7BA8">
        <w:t>, and</w:t>
      </w:r>
    </w:p>
    <w:p w14:paraId="3B7E391B" w14:textId="17CE5891" w:rsidR="00B2632F" w:rsidRPr="002A771C" w:rsidRDefault="00B2632F" w:rsidP="00AA4A6C">
      <w:pPr>
        <w:pStyle w:val="ListParagraph"/>
        <w:numPr>
          <w:ilvl w:val="0"/>
          <w:numId w:val="6"/>
        </w:numPr>
      </w:pPr>
      <w:r w:rsidRPr="002A771C">
        <w:t xml:space="preserve">Conduct audits </w:t>
      </w:r>
      <w:r w:rsidR="0066192C" w:rsidRPr="0066192C">
        <w:t xml:space="preserve">to ensure </w:t>
      </w:r>
      <w:r w:rsidR="00EF2BA3">
        <w:t>SM</w:t>
      </w:r>
      <w:r w:rsidR="0066192C" w:rsidRPr="0066192C">
        <w:t xml:space="preserve">MS participants are complying with the </w:t>
      </w:r>
      <w:r w:rsidR="0066192C">
        <w:t>SM</w:t>
      </w:r>
      <w:r w:rsidR="0066192C" w:rsidRPr="0066192C">
        <w:t>MS condition</w:t>
      </w:r>
      <w:r w:rsidR="0066192C">
        <w:t>s</w:t>
      </w:r>
      <w:r w:rsidRPr="002A771C">
        <w:t>.</w:t>
      </w:r>
    </w:p>
    <w:p w14:paraId="1566A044" w14:textId="202D22BD" w:rsidR="00971CFE" w:rsidRPr="00971CFE" w:rsidRDefault="00971CFE" w:rsidP="00E33CC6">
      <w:pPr>
        <w:pStyle w:val="Heading3"/>
        <w:numPr>
          <w:ilvl w:val="1"/>
          <w:numId w:val="25"/>
        </w:numPr>
        <w:spacing w:before="120"/>
        <w:ind w:left="284" w:hanging="284"/>
      </w:pPr>
      <w:r w:rsidRPr="00971CFE">
        <w:t>NHVR</w:t>
      </w:r>
    </w:p>
    <w:p w14:paraId="1D1F12F1" w14:textId="20AA4095" w:rsidR="00971CFE" w:rsidRPr="00874B37" w:rsidRDefault="00C9026A" w:rsidP="00FB29BE">
      <w:r>
        <w:t xml:space="preserve">The </w:t>
      </w:r>
      <w:r w:rsidR="00971CFE" w:rsidRPr="00874B37">
        <w:t xml:space="preserve">NHVR </w:t>
      </w:r>
      <w:r w:rsidRPr="00C9026A">
        <w:t>administer and coordinate the following under the GHMS</w:t>
      </w:r>
      <w:r w:rsidR="00971CFE" w:rsidRPr="00874B37">
        <w:t xml:space="preserve">: </w:t>
      </w:r>
    </w:p>
    <w:p w14:paraId="16BA28FA" w14:textId="77777777" w:rsidR="00C9026A" w:rsidRDefault="003D5D70" w:rsidP="00AA4A6C">
      <w:pPr>
        <w:pStyle w:val="ListParagraph"/>
        <w:numPr>
          <w:ilvl w:val="0"/>
          <w:numId w:val="7"/>
        </w:numPr>
      </w:pPr>
      <w:r w:rsidRPr="00874B37">
        <w:t>Conduc</w:t>
      </w:r>
      <w:r>
        <w:t>t</w:t>
      </w:r>
      <w:r w:rsidRPr="00874B37">
        <w:t xml:space="preserve"> </w:t>
      </w:r>
      <w:r w:rsidR="00971CFE" w:rsidRPr="00874B37">
        <w:t xml:space="preserve">roadside </w:t>
      </w:r>
      <w:r w:rsidR="002045C0" w:rsidRPr="002045C0">
        <w:t>compliance and enforcement activities</w:t>
      </w:r>
      <w:r w:rsidR="00C9026A">
        <w:t>,</w:t>
      </w:r>
      <w:r w:rsidR="00971CFE" w:rsidRPr="00874B37">
        <w:t xml:space="preserve"> and </w:t>
      </w:r>
    </w:p>
    <w:p w14:paraId="79C64773" w14:textId="3A935846" w:rsidR="00971CFE" w:rsidRPr="00874B37" w:rsidRDefault="00F77E5C" w:rsidP="00AA4A6C">
      <w:pPr>
        <w:pStyle w:val="ListParagraph"/>
        <w:numPr>
          <w:ilvl w:val="0"/>
          <w:numId w:val="7"/>
        </w:numPr>
      </w:pPr>
      <w:r>
        <w:t>I</w:t>
      </w:r>
      <w:r w:rsidRPr="00874B37">
        <w:t>nvestigat</w:t>
      </w:r>
      <w:r>
        <w:t xml:space="preserve">e potential </w:t>
      </w:r>
      <w:r w:rsidR="00004B15">
        <w:t>legislation</w:t>
      </w:r>
      <w:r w:rsidR="00971CFE" w:rsidRPr="00874B37">
        <w:t xml:space="preserve"> breaches. </w:t>
      </w:r>
    </w:p>
    <w:p w14:paraId="67DAF604" w14:textId="4E8D6859" w:rsidR="00971CFE" w:rsidRPr="00971CFE" w:rsidRDefault="00AF550E" w:rsidP="00E33CC6">
      <w:pPr>
        <w:pStyle w:val="Heading3"/>
        <w:numPr>
          <w:ilvl w:val="1"/>
          <w:numId w:val="25"/>
        </w:numPr>
        <w:spacing w:before="120"/>
        <w:ind w:left="284" w:hanging="284"/>
      </w:pPr>
      <w:bookmarkStart w:id="16" w:name="_Hlk161671624"/>
      <w:r>
        <w:t>S</w:t>
      </w:r>
      <w:r w:rsidRPr="00971CFE">
        <w:t xml:space="preserve">ugar </w:t>
      </w:r>
      <w:r w:rsidR="00FF0A45">
        <w:t>m</w:t>
      </w:r>
      <w:r w:rsidR="00FF0A45" w:rsidRPr="00971CFE">
        <w:t>ills</w:t>
      </w:r>
    </w:p>
    <w:bookmarkEnd w:id="16"/>
    <w:p w14:paraId="561CF807" w14:textId="38F98673" w:rsidR="00971CFE" w:rsidRPr="00874B37" w:rsidRDefault="00971CFE" w:rsidP="00FB29BE">
      <w:r w:rsidRPr="00874B37">
        <w:t xml:space="preserve">The sugar mills administer and coordinate the following </w:t>
      </w:r>
      <w:r w:rsidR="008273F5">
        <w:t>under</w:t>
      </w:r>
      <w:r w:rsidRPr="00874B37">
        <w:t xml:space="preserve"> the </w:t>
      </w:r>
      <w:r w:rsidR="00F05D4E">
        <w:t>SMMS</w:t>
      </w:r>
      <w:r w:rsidRPr="00874B37">
        <w:t>:</w:t>
      </w:r>
    </w:p>
    <w:p w14:paraId="7D7A50DB" w14:textId="1BA8FA47" w:rsidR="00987401" w:rsidRDefault="00C00371" w:rsidP="00AA4A6C">
      <w:pPr>
        <w:pStyle w:val="ListParagraph"/>
        <w:numPr>
          <w:ilvl w:val="0"/>
          <w:numId w:val="8"/>
        </w:numPr>
      </w:pPr>
      <w:r w:rsidRPr="00C00371">
        <w:t>Enrolment of transport operators</w:t>
      </w:r>
      <w:r>
        <w:t>, and</w:t>
      </w:r>
    </w:p>
    <w:p w14:paraId="3064190F" w14:textId="21038962" w:rsidR="00971CFE" w:rsidRPr="00874B37" w:rsidRDefault="00971CFE" w:rsidP="00AA4A6C">
      <w:pPr>
        <w:pStyle w:val="ListParagraph"/>
        <w:numPr>
          <w:ilvl w:val="0"/>
          <w:numId w:val="8"/>
        </w:numPr>
      </w:pPr>
      <w:r w:rsidRPr="00874B37">
        <w:t>Issuing an annual Certificate of Participation for eligible vehicles</w:t>
      </w:r>
      <w:r w:rsidR="00AE5A87">
        <w:t>, and</w:t>
      </w:r>
    </w:p>
    <w:p w14:paraId="0B22193D" w14:textId="4E531A34" w:rsidR="00971CFE" w:rsidRDefault="00971CFE" w:rsidP="00AA4A6C">
      <w:pPr>
        <w:pStyle w:val="ListParagraph"/>
        <w:numPr>
          <w:ilvl w:val="0"/>
          <w:numId w:val="8"/>
        </w:numPr>
      </w:pPr>
      <w:r w:rsidRPr="00874B37">
        <w:t>Tak</w:t>
      </w:r>
      <w:r w:rsidR="000E72D2">
        <w:t>ing</w:t>
      </w:r>
      <w:r w:rsidRPr="00874B37">
        <w:t xml:space="preserve"> the necessary action to control and correct non-compliant vehicles</w:t>
      </w:r>
      <w:r w:rsidR="00196E1F">
        <w:t>, and</w:t>
      </w:r>
    </w:p>
    <w:p w14:paraId="1F243E85" w14:textId="36FFC276" w:rsidR="00196E1F" w:rsidRPr="00874B37" w:rsidRDefault="00196E1F" w:rsidP="00AA4A6C">
      <w:pPr>
        <w:pStyle w:val="ListParagraph"/>
        <w:numPr>
          <w:ilvl w:val="0"/>
          <w:numId w:val="8"/>
        </w:numPr>
      </w:pPr>
      <w:r>
        <w:t xml:space="preserve">Removal of </w:t>
      </w:r>
      <w:r w:rsidR="00164717">
        <w:t>non</w:t>
      </w:r>
      <w:r w:rsidR="00AE5A87">
        <w:t>-complying transport operators, and</w:t>
      </w:r>
    </w:p>
    <w:p w14:paraId="0F8F786D" w14:textId="728B6CCA" w:rsidR="00971CFE" w:rsidRPr="00874B37" w:rsidRDefault="00971CFE" w:rsidP="00AA4A6C">
      <w:pPr>
        <w:pStyle w:val="ListParagraph"/>
        <w:numPr>
          <w:ilvl w:val="0"/>
          <w:numId w:val="8"/>
        </w:numPr>
      </w:pPr>
      <w:r w:rsidRPr="00874B37">
        <w:t xml:space="preserve">Recording and </w:t>
      </w:r>
      <w:r w:rsidR="00E037BB">
        <w:t>r</w:t>
      </w:r>
      <w:r w:rsidRPr="00874B37">
        <w:t>eporting</w:t>
      </w:r>
      <w:r w:rsidR="00282B3E">
        <w:t xml:space="preserve"> as listed in </w:t>
      </w:r>
      <w:hyperlink w:anchor="_Part_4_Reporting" w:history="1">
        <w:r w:rsidR="00282B3E" w:rsidRPr="00F80638">
          <w:rPr>
            <w:rStyle w:val="Hyperlink"/>
          </w:rPr>
          <w:t>Part 4 (Reporting Conditions)</w:t>
        </w:r>
      </w:hyperlink>
      <w:r w:rsidR="00A7019D">
        <w:t>, and</w:t>
      </w:r>
    </w:p>
    <w:p w14:paraId="0E0BB6CE" w14:textId="5B9E799B" w:rsidR="00971CFE" w:rsidRPr="00874B37" w:rsidRDefault="00971CFE" w:rsidP="00AA4A6C">
      <w:pPr>
        <w:pStyle w:val="ListParagraph"/>
        <w:numPr>
          <w:ilvl w:val="0"/>
          <w:numId w:val="8"/>
        </w:numPr>
      </w:pPr>
      <w:r w:rsidRPr="00874B37">
        <w:t>Administrative duties associated with the above tasks.</w:t>
      </w:r>
    </w:p>
    <w:p w14:paraId="7270C211" w14:textId="71379E39" w:rsidR="00971CFE" w:rsidRPr="00971CFE" w:rsidRDefault="00971CFE" w:rsidP="00E33CC6">
      <w:pPr>
        <w:pStyle w:val="Heading3"/>
        <w:numPr>
          <w:ilvl w:val="1"/>
          <w:numId w:val="25"/>
        </w:numPr>
        <w:spacing w:before="120"/>
        <w:ind w:left="284" w:hanging="284"/>
      </w:pPr>
      <w:bookmarkStart w:id="17" w:name="_Hlk161671651"/>
      <w:r w:rsidRPr="00971CFE">
        <w:t xml:space="preserve">Transport </w:t>
      </w:r>
      <w:r w:rsidR="00FF0A45">
        <w:t>o</w:t>
      </w:r>
      <w:r w:rsidR="00FF0A45" w:rsidRPr="00971CFE">
        <w:t xml:space="preserve">perators </w:t>
      </w:r>
      <w:r w:rsidR="003124A1">
        <w:t xml:space="preserve">and </w:t>
      </w:r>
      <w:r w:rsidR="00FF0A45">
        <w:t>h</w:t>
      </w:r>
      <w:r w:rsidR="00FF0A45" w:rsidRPr="003124A1">
        <w:t xml:space="preserve">arvesting </w:t>
      </w:r>
      <w:r w:rsidR="00FF0A45">
        <w:t>c</w:t>
      </w:r>
      <w:r w:rsidR="00FF0A45" w:rsidRPr="003124A1">
        <w:t>ontractors</w:t>
      </w:r>
    </w:p>
    <w:bookmarkEnd w:id="17"/>
    <w:p w14:paraId="64E35442" w14:textId="2FF9CCB5" w:rsidR="00BA345D" w:rsidRDefault="00971CFE" w:rsidP="00FB29BE">
      <w:r w:rsidRPr="00874B37">
        <w:t xml:space="preserve">Transport operators </w:t>
      </w:r>
      <w:r w:rsidR="003124A1">
        <w:t xml:space="preserve">and </w:t>
      </w:r>
      <w:r w:rsidR="003124A1" w:rsidRPr="003124A1">
        <w:t xml:space="preserve">harvesting contractors </w:t>
      </w:r>
      <w:r w:rsidR="00AC1E44" w:rsidRPr="00874B37">
        <w:t>participat</w:t>
      </w:r>
      <w:r w:rsidR="00AC1E44">
        <w:t>ing</w:t>
      </w:r>
      <w:r w:rsidR="00AC1E44" w:rsidRPr="00874B37">
        <w:t xml:space="preserve"> </w:t>
      </w:r>
      <w:r w:rsidRPr="00874B37">
        <w:t xml:space="preserve">in the </w:t>
      </w:r>
      <w:r w:rsidR="00F05D4E">
        <w:t>SMMS</w:t>
      </w:r>
      <w:r w:rsidR="00F05D4E" w:rsidRPr="00874B37">
        <w:t xml:space="preserve"> </w:t>
      </w:r>
      <w:r w:rsidR="00BA345D">
        <w:t>must:</w:t>
      </w:r>
    </w:p>
    <w:p w14:paraId="4DDE6317" w14:textId="6597B5F0" w:rsidR="00E55F7F" w:rsidRDefault="00251694" w:rsidP="00C85E24">
      <w:pPr>
        <w:pStyle w:val="ListParagraph"/>
        <w:numPr>
          <w:ilvl w:val="0"/>
          <w:numId w:val="39"/>
        </w:numPr>
      </w:pPr>
      <w:r>
        <w:t>Enrol</w:t>
      </w:r>
      <w:r w:rsidR="00AD6F81">
        <w:t xml:space="preserve"> </w:t>
      </w:r>
      <w:r w:rsidR="00971CFE" w:rsidRPr="00874B37">
        <w:t>with a sugar mill.</w:t>
      </w:r>
    </w:p>
    <w:p w14:paraId="0CD0D8F9" w14:textId="77777777" w:rsidR="009219CC" w:rsidRDefault="009219CC">
      <w:pPr>
        <w:spacing w:after="160" w:line="259" w:lineRule="auto"/>
        <w:rPr>
          <w:rFonts w:eastAsiaTheme="majorEastAsia" w:cstheme="majorBidi"/>
          <w:b/>
          <w:color w:val="003E69"/>
          <w:sz w:val="60"/>
          <w:szCs w:val="36"/>
        </w:rPr>
      </w:pPr>
      <w:r>
        <w:br w:type="page"/>
      </w:r>
    </w:p>
    <w:p w14:paraId="155A13DA" w14:textId="39B26B72" w:rsidR="00971CFE" w:rsidRPr="00971CFE" w:rsidRDefault="00D879CB" w:rsidP="00C563B4">
      <w:pPr>
        <w:pStyle w:val="Heading1"/>
        <w:spacing w:before="120"/>
      </w:pPr>
      <w:bookmarkStart w:id="18" w:name="_Toc169010683"/>
      <w:bookmarkStart w:id="19" w:name="_Toc169608984"/>
      <w:r>
        <w:lastRenderedPageBreak/>
        <w:t xml:space="preserve">Part 2 </w:t>
      </w:r>
      <w:r w:rsidR="00F05D4E">
        <w:t>SMMS</w:t>
      </w:r>
      <w:r w:rsidR="00F05D4E" w:rsidRPr="00971CFE">
        <w:t xml:space="preserve"> </w:t>
      </w:r>
      <w:r w:rsidR="00FF0A45">
        <w:t>c</w:t>
      </w:r>
      <w:r w:rsidR="00FF0A45" w:rsidRPr="00971CFE">
        <w:t>onditions</w:t>
      </w:r>
      <w:bookmarkEnd w:id="18"/>
      <w:bookmarkEnd w:id="19"/>
    </w:p>
    <w:p w14:paraId="3BB84D2A" w14:textId="4E9F355F" w:rsidR="00971CFE" w:rsidRPr="00971CFE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20" w:name="_Toc169010684"/>
      <w:bookmarkStart w:id="21" w:name="_Toc169608985"/>
      <w:r w:rsidRPr="00971CFE">
        <w:t xml:space="preserve">Operating </w:t>
      </w:r>
      <w:r w:rsidR="00FF0A45">
        <w:t>y</w:t>
      </w:r>
      <w:r w:rsidR="00FF0A45" w:rsidRPr="00971CFE">
        <w:t>ear</w:t>
      </w:r>
      <w:bookmarkEnd w:id="20"/>
      <w:bookmarkEnd w:id="21"/>
    </w:p>
    <w:p w14:paraId="28751C3A" w14:textId="01413BF5" w:rsidR="00971CFE" w:rsidRPr="00874B37" w:rsidRDefault="00971CFE" w:rsidP="00FB29BE">
      <w:r w:rsidRPr="00874B37">
        <w:t>The SMMS operates from 1 July to 30 June</w:t>
      </w:r>
      <w:r w:rsidR="00841A45">
        <w:t xml:space="preserve"> each year</w:t>
      </w:r>
      <w:r w:rsidRPr="00874B37">
        <w:t>.</w:t>
      </w:r>
    </w:p>
    <w:p w14:paraId="3DC84C3D" w14:textId="05A1C903" w:rsidR="00971CFE" w:rsidRPr="00971CFE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22" w:name="_Toc169010685"/>
      <w:bookmarkStart w:id="23" w:name="_Toc169608986"/>
      <w:bookmarkStart w:id="24" w:name="_Hlk161641597"/>
      <w:r w:rsidRPr="00971CFE">
        <w:t xml:space="preserve">Eligible </w:t>
      </w:r>
      <w:r w:rsidR="00FF0A45">
        <w:t>v</w:t>
      </w:r>
      <w:r w:rsidR="00FF0A45" w:rsidRPr="00971CFE">
        <w:t>ehicles</w:t>
      </w:r>
      <w:bookmarkEnd w:id="22"/>
      <w:bookmarkEnd w:id="23"/>
    </w:p>
    <w:bookmarkEnd w:id="24"/>
    <w:p w14:paraId="2D45BBD3" w14:textId="77777777" w:rsidR="00030A76" w:rsidRDefault="00030A76" w:rsidP="00030A76">
      <w:r>
        <w:t xml:space="preserve">An eligible vehicle must be: </w:t>
      </w:r>
    </w:p>
    <w:p w14:paraId="6743659E" w14:textId="7A3A0A0B" w:rsidR="00030A76" w:rsidRDefault="00030A76" w:rsidP="005D0DC5">
      <w:pPr>
        <w:pStyle w:val="ListParagraph"/>
        <w:numPr>
          <w:ilvl w:val="0"/>
          <w:numId w:val="40"/>
        </w:numPr>
      </w:pPr>
      <w:r>
        <w:t xml:space="preserve">Registered with </w:t>
      </w:r>
      <w:r w:rsidR="007A1B73">
        <w:t xml:space="preserve">a sugar mill </w:t>
      </w:r>
      <w:r>
        <w:t xml:space="preserve">as a </w:t>
      </w:r>
      <w:r w:rsidR="007A1B73">
        <w:t>SM</w:t>
      </w:r>
      <w:r>
        <w:t xml:space="preserve">MS participant, </w:t>
      </w:r>
      <w:r w:rsidR="00C84144">
        <w:t>and</w:t>
      </w:r>
    </w:p>
    <w:p w14:paraId="1F9E41AE" w14:textId="79E2C00A" w:rsidR="00030A76" w:rsidRDefault="00030A76" w:rsidP="005D0DC5">
      <w:pPr>
        <w:pStyle w:val="ListParagraph"/>
        <w:numPr>
          <w:ilvl w:val="0"/>
          <w:numId w:val="40"/>
        </w:numPr>
      </w:pPr>
      <w:r>
        <w:t>Deliver</w:t>
      </w:r>
      <w:r w:rsidR="0037296F">
        <w:t>ing</w:t>
      </w:r>
      <w:r>
        <w:t xml:space="preserve"> bulk </w:t>
      </w:r>
      <w:r w:rsidR="00A0025A">
        <w:t>sugar cane</w:t>
      </w:r>
      <w:r>
        <w:t xml:space="preserve"> from a farm to </w:t>
      </w:r>
      <w:r w:rsidR="00A0025A">
        <w:t>a sugar mill</w:t>
      </w:r>
      <w:r>
        <w:t xml:space="preserve">, and </w:t>
      </w:r>
    </w:p>
    <w:p w14:paraId="04647A24" w14:textId="77777777" w:rsidR="00244DF6" w:rsidRDefault="00244DF6" w:rsidP="00244DF6">
      <w:pPr>
        <w:pStyle w:val="ListParagraph"/>
        <w:numPr>
          <w:ilvl w:val="0"/>
          <w:numId w:val="40"/>
        </w:numPr>
      </w:pPr>
      <w:r>
        <w:t>Fitted with four tyres per axle (except for steer axle/s), and</w:t>
      </w:r>
    </w:p>
    <w:p w14:paraId="3139D6C4" w14:textId="2DAD3256" w:rsidR="00C37851" w:rsidRDefault="00C37851" w:rsidP="00C37851">
      <w:pPr>
        <w:pStyle w:val="ListParagraph"/>
        <w:numPr>
          <w:ilvl w:val="0"/>
          <w:numId w:val="40"/>
        </w:numPr>
      </w:pPr>
      <w:r w:rsidRPr="00C37851">
        <w:t>Prime movers must have single steer and tandem drive axle groups, and</w:t>
      </w:r>
    </w:p>
    <w:p w14:paraId="551B7F58" w14:textId="1B04343A" w:rsidR="00321D4B" w:rsidRDefault="00EB12B6" w:rsidP="00C37851">
      <w:pPr>
        <w:pStyle w:val="ListParagraph"/>
        <w:numPr>
          <w:ilvl w:val="0"/>
          <w:numId w:val="40"/>
        </w:numPr>
      </w:pPr>
      <w:r w:rsidRPr="00EB12B6">
        <w:t>Trailers must have a tandem axle group or a tri axle group</w:t>
      </w:r>
      <w:r w:rsidR="003930BE">
        <w:t>, and</w:t>
      </w:r>
    </w:p>
    <w:p w14:paraId="0A034A39" w14:textId="77777777" w:rsidR="003930BE" w:rsidRDefault="003930BE" w:rsidP="003930BE">
      <w:pPr>
        <w:pStyle w:val="ListParagraph"/>
        <w:numPr>
          <w:ilvl w:val="0"/>
          <w:numId w:val="40"/>
        </w:numPr>
      </w:pPr>
      <w:r>
        <w:t>Consist of one of the following combinations:</w:t>
      </w:r>
    </w:p>
    <w:p w14:paraId="3B4314F2" w14:textId="77777777" w:rsidR="003930BE" w:rsidRDefault="003930BE" w:rsidP="003930BE">
      <w:pPr>
        <w:pStyle w:val="ListParagraph"/>
        <w:numPr>
          <w:ilvl w:val="1"/>
          <w:numId w:val="40"/>
        </w:numPr>
      </w:pPr>
      <w:r>
        <w:t>a prime mover towing a semitrailer, or</w:t>
      </w:r>
    </w:p>
    <w:p w14:paraId="6D725B68" w14:textId="17875026" w:rsidR="003930BE" w:rsidRDefault="003930BE" w:rsidP="00DF69CA">
      <w:pPr>
        <w:pStyle w:val="ListParagraph"/>
        <w:numPr>
          <w:ilvl w:val="1"/>
          <w:numId w:val="40"/>
        </w:numPr>
      </w:pPr>
      <w:r>
        <w:t>a B-double</w:t>
      </w:r>
    </w:p>
    <w:p w14:paraId="106BD457" w14:textId="5A3B4565" w:rsidR="00661FA0" w:rsidRPr="00971CFE" w:rsidRDefault="00661FA0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25" w:name="_Toc169010686"/>
      <w:bookmarkStart w:id="26" w:name="_Toc169608987"/>
      <w:r w:rsidRPr="00874B37">
        <w:t>Certificate of Participation</w:t>
      </w:r>
      <w:bookmarkEnd w:id="25"/>
      <w:bookmarkEnd w:id="26"/>
    </w:p>
    <w:p w14:paraId="4A43C143" w14:textId="0171DEE5" w:rsidR="00C93342" w:rsidRDefault="00661FA0" w:rsidP="00FB29BE">
      <w:r w:rsidRPr="00874B37">
        <w:t xml:space="preserve">The sugar mill </w:t>
      </w:r>
      <w:r>
        <w:t>must</w:t>
      </w:r>
      <w:r w:rsidRPr="00874B37">
        <w:t xml:space="preserve"> supply each eligible vehicle an annual Certificate of Participation that must</w:t>
      </w:r>
      <w:r w:rsidR="001F07B0">
        <w:t>:</w:t>
      </w:r>
      <w:r w:rsidR="004D02DB">
        <w:t xml:space="preserve"> </w:t>
      </w:r>
    </w:p>
    <w:p w14:paraId="3D5E665E" w14:textId="58B23466" w:rsidR="006C528E" w:rsidRDefault="001B56DB" w:rsidP="00185F66">
      <w:pPr>
        <w:pStyle w:val="ListParagraph"/>
        <w:numPr>
          <w:ilvl w:val="0"/>
          <w:numId w:val="37"/>
        </w:numPr>
        <w:spacing w:before="120"/>
        <w:contextualSpacing w:val="0"/>
      </w:pPr>
      <w:r>
        <w:t>I</w:t>
      </w:r>
      <w:r w:rsidR="006C528E">
        <w:t xml:space="preserve">dentify the </w:t>
      </w:r>
      <w:r w:rsidR="00F97F10">
        <w:t>sugar mill the combination is carting for, and</w:t>
      </w:r>
    </w:p>
    <w:p w14:paraId="1E5DA0A8" w14:textId="73440D60" w:rsidR="001F7D8F" w:rsidRDefault="001B56DB" w:rsidP="00185F66">
      <w:pPr>
        <w:pStyle w:val="ListParagraph"/>
        <w:numPr>
          <w:ilvl w:val="0"/>
          <w:numId w:val="37"/>
        </w:numPr>
        <w:spacing w:before="120"/>
        <w:contextualSpacing w:val="0"/>
      </w:pPr>
      <w:r>
        <w:t>I</w:t>
      </w:r>
      <w:r w:rsidR="00DF1C09">
        <w:t xml:space="preserve">dentify the vehicle by registration and </w:t>
      </w:r>
      <w:r w:rsidR="00C93342">
        <w:t>vehicle identification number</w:t>
      </w:r>
      <w:r w:rsidR="00AF6605">
        <w:t xml:space="preserve"> (VIN)</w:t>
      </w:r>
      <w:r w:rsidR="001F7D8F">
        <w:t xml:space="preserve">, and </w:t>
      </w:r>
    </w:p>
    <w:p w14:paraId="40EB7A89" w14:textId="76CA024C" w:rsidR="001F7D8F" w:rsidRDefault="001B56DB" w:rsidP="00185F66">
      <w:pPr>
        <w:pStyle w:val="ListParagraph"/>
        <w:numPr>
          <w:ilvl w:val="0"/>
          <w:numId w:val="37"/>
        </w:numPr>
        <w:spacing w:before="120"/>
        <w:contextualSpacing w:val="0"/>
      </w:pPr>
      <w:r>
        <w:t>P</w:t>
      </w:r>
      <w:r w:rsidR="001F7D8F">
        <w:t>rovide the combinations general mass limit, and</w:t>
      </w:r>
    </w:p>
    <w:p w14:paraId="503E5EE5" w14:textId="0852FC12" w:rsidR="00D1121C" w:rsidRDefault="001B56DB" w:rsidP="00185F66">
      <w:pPr>
        <w:pStyle w:val="ListParagraph"/>
        <w:numPr>
          <w:ilvl w:val="0"/>
          <w:numId w:val="37"/>
        </w:numPr>
        <w:spacing w:before="120"/>
        <w:contextualSpacing w:val="0"/>
      </w:pPr>
      <w:r>
        <w:t>P</w:t>
      </w:r>
      <w:r w:rsidR="00D1121C">
        <w:t>rovide the in-field loading tolerance mass limit.</w:t>
      </w:r>
    </w:p>
    <w:p w14:paraId="0A12ACF1" w14:textId="3D5D6DC6" w:rsidR="00971CFE" w:rsidRPr="00874B37" w:rsidDel="00B20EB4" w:rsidRDefault="001A1D58" w:rsidP="001A1D58">
      <w:pPr>
        <w:pStyle w:val="ListParagraph"/>
        <w:numPr>
          <w:ilvl w:val="0"/>
          <w:numId w:val="37"/>
        </w:numPr>
        <w:spacing w:before="120"/>
        <w:contextualSpacing w:val="0"/>
      </w:pPr>
      <w:r>
        <w:t xml:space="preserve">Be </w:t>
      </w:r>
      <w:r w:rsidR="002F5692">
        <w:t>in the eligible vehicle</w:t>
      </w:r>
      <w:r w:rsidR="00762CD8" w:rsidRPr="00762CD8">
        <w:t xml:space="preserve"> or produced electronically when requested</w:t>
      </w:r>
      <w:r w:rsidR="001F07B0">
        <w:t>.</w:t>
      </w:r>
    </w:p>
    <w:p w14:paraId="09814709" w14:textId="78A95CF6" w:rsidR="00971CFE" w:rsidRPr="00971CFE" w:rsidRDefault="003A345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27" w:name="_Toc169010688"/>
      <w:bookmarkStart w:id="28" w:name="_Toc169608988"/>
      <w:r>
        <w:t>In-field loading tolerance mass limits</w:t>
      </w:r>
      <w:bookmarkEnd w:id="27"/>
      <w:bookmarkEnd w:id="28"/>
    </w:p>
    <w:p w14:paraId="57BC8F14" w14:textId="77777777" w:rsidR="00D047FE" w:rsidRDefault="00B87A7D" w:rsidP="002A656B">
      <w:pPr>
        <w:pStyle w:val="pf0"/>
        <w:spacing w:before="120" w:beforeAutospacing="0" w:after="0" w:afterAutospacing="0"/>
        <w:rPr>
          <w:rFonts w:ascii="Arial" w:eastAsiaTheme="minorHAnsi" w:hAnsi="Arial" w:cstheme="minorBidi"/>
          <w:lang w:eastAsia="en-US"/>
        </w:rPr>
      </w:pPr>
      <w:r w:rsidRPr="002A656B">
        <w:rPr>
          <w:rFonts w:ascii="Arial" w:eastAsiaTheme="minorHAnsi" w:hAnsi="Arial" w:cstheme="minorBidi"/>
          <w:lang w:eastAsia="en-US"/>
        </w:rPr>
        <w:t>The SMMS provides eligible vehicles with an in-field loading tolerance.</w:t>
      </w:r>
      <w:r w:rsidR="00E3709D" w:rsidRPr="002A656B">
        <w:rPr>
          <w:rFonts w:ascii="Arial" w:eastAsiaTheme="minorHAnsi" w:hAnsi="Arial" w:cstheme="minorBidi"/>
          <w:lang w:eastAsia="en-US"/>
        </w:rPr>
        <w:t xml:space="preserve"> </w:t>
      </w:r>
      <w:r w:rsidRPr="002A656B">
        <w:rPr>
          <w:rFonts w:ascii="Arial" w:eastAsiaTheme="minorHAnsi" w:hAnsi="Arial" w:cstheme="minorBidi"/>
          <w:lang w:eastAsia="en-US"/>
        </w:rPr>
        <w:t>The in-field loading tolerance is not a mass productivity concession and transport operators should load to the General Mass Limits (GML) of the eligible vehicle.</w:t>
      </w:r>
      <w:r w:rsidR="00854550" w:rsidRPr="002A656B">
        <w:rPr>
          <w:rFonts w:ascii="Arial" w:eastAsiaTheme="minorHAnsi" w:hAnsi="Arial" w:cstheme="minorBidi"/>
          <w:lang w:eastAsia="en-US"/>
        </w:rPr>
        <w:t xml:space="preserve"> </w:t>
      </w:r>
    </w:p>
    <w:p w14:paraId="4F68497B" w14:textId="3A4A8427" w:rsidR="00B87A7D" w:rsidRPr="002A656B" w:rsidRDefault="00B87A7D" w:rsidP="002A656B">
      <w:pPr>
        <w:pStyle w:val="pf0"/>
        <w:spacing w:before="120" w:beforeAutospacing="0" w:after="0" w:afterAutospacing="0"/>
        <w:rPr>
          <w:rFonts w:ascii="Arial" w:eastAsiaTheme="minorHAnsi" w:hAnsi="Arial" w:cstheme="minorBidi"/>
          <w:szCs w:val="22"/>
          <w:lang w:eastAsia="en-US"/>
        </w:rPr>
      </w:pPr>
      <w:r w:rsidRPr="002A656B">
        <w:rPr>
          <w:rFonts w:ascii="Arial" w:eastAsiaTheme="minorHAnsi" w:hAnsi="Arial" w:cstheme="minorBidi"/>
          <w:lang w:eastAsia="en-US"/>
        </w:rPr>
        <w:t xml:space="preserve">The in-field loading tolerance provides an allowance for variation in moisture content and densities of the </w:t>
      </w:r>
      <w:r w:rsidR="00F5060B" w:rsidRPr="002A656B">
        <w:rPr>
          <w:rFonts w:ascii="Arial" w:eastAsiaTheme="minorHAnsi" w:hAnsi="Arial" w:cstheme="minorBidi"/>
          <w:szCs w:val="22"/>
          <w:lang w:eastAsia="en-US"/>
        </w:rPr>
        <w:t>sugar cane</w:t>
      </w:r>
      <w:r w:rsidRPr="002A656B">
        <w:rPr>
          <w:rFonts w:ascii="Arial" w:eastAsiaTheme="minorHAnsi" w:hAnsi="Arial" w:cstheme="minorBidi"/>
          <w:lang w:eastAsia="en-US"/>
        </w:rPr>
        <w:t>.</w:t>
      </w:r>
    </w:p>
    <w:p w14:paraId="3ABD6308" w14:textId="36D2AB39" w:rsidR="00194F62" w:rsidRPr="00194F62" w:rsidRDefault="00463C38" w:rsidP="004145D7">
      <w:pPr>
        <w:spacing w:before="120" w:line="276" w:lineRule="auto"/>
      </w:pPr>
      <w:r>
        <w:t>The SMMS provides the following i</w:t>
      </w:r>
      <w:r w:rsidRPr="00194F62">
        <w:t>n</w:t>
      </w:r>
      <w:r w:rsidR="00194F62" w:rsidRPr="00194F62">
        <w:t>-field loading tolerance</w:t>
      </w:r>
      <w:r w:rsidR="002A19A7">
        <w:t xml:space="preserve"> mass limits</w:t>
      </w:r>
      <w:r w:rsidR="00194F62" w:rsidRPr="00194F62">
        <w:t>:</w:t>
      </w:r>
    </w:p>
    <w:p w14:paraId="0E8D0C84" w14:textId="7A90DE83" w:rsidR="00194F62" w:rsidRPr="00194F62" w:rsidRDefault="00194F62" w:rsidP="004145D7">
      <w:pPr>
        <w:numPr>
          <w:ilvl w:val="0"/>
          <w:numId w:val="11"/>
        </w:numPr>
        <w:spacing w:before="120" w:line="276" w:lineRule="auto"/>
      </w:pPr>
      <w:r w:rsidRPr="00194F62">
        <w:t xml:space="preserve">A </w:t>
      </w:r>
      <w:r w:rsidR="002A19A7">
        <w:t xml:space="preserve">maximum </w:t>
      </w:r>
      <w:r w:rsidR="009A0E1B">
        <w:t xml:space="preserve">mass </w:t>
      </w:r>
      <w:r w:rsidRPr="00194F62">
        <w:t>increase of:</w:t>
      </w:r>
    </w:p>
    <w:p w14:paraId="5425D8ED" w14:textId="56A4A589" w:rsidR="00194F62" w:rsidRPr="00194F62" w:rsidRDefault="00194F62" w:rsidP="00A950AB">
      <w:pPr>
        <w:numPr>
          <w:ilvl w:val="0"/>
          <w:numId w:val="12"/>
        </w:numPr>
        <w:spacing w:line="276" w:lineRule="auto"/>
      </w:pPr>
      <w:r w:rsidRPr="00194F62">
        <w:t>7.5 per cent on total mass limits</w:t>
      </w:r>
      <w:r w:rsidR="00A36F09">
        <w:t xml:space="preserve"> (GCM)</w:t>
      </w:r>
      <w:r w:rsidRPr="00194F62">
        <w:t xml:space="preserve"> as shown in </w:t>
      </w:r>
      <w:hyperlink w:anchor="Table_1" w:history="1">
        <w:r w:rsidRPr="00405FC6">
          <w:rPr>
            <w:rStyle w:val="Hyperlink"/>
          </w:rPr>
          <w:t>Table 1</w:t>
        </w:r>
      </w:hyperlink>
      <w:r w:rsidRPr="00194F62">
        <w:t>, or</w:t>
      </w:r>
    </w:p>
    <w:p w14:paraId="4AFFE60C" w14:textId="1DF05AB4" w:rsidR="00194F62" w:rsidRPr="00194F62" w:rsidRDefault="00194F62" w:rsidP="00A950AB">
      <w:pPr>
        <w:numPr>
          <w:ilvl w:val="0"/>
          <w:numId w:val="12"/>
        </w:numPr>
        <w:spacing w:line="276" w:lineRule="auto"/>
      </w:pPr>
      <w:r w:rsidRPr="00194F62">
        <w:t xml:space="preserve">10 per cent on the general axle mass limits as shown in </w:t>
      </w:r>
      <w:hyperlink w:anchor="Table_2" w:history="1">
        <w:r w:rsidR="005D5C2A" w:rsidRPr="005D5C2A">
          <w:rPr>
            <w:rStyle w:val="Hyperlink"/>
          </w:rPr>
          <w:t>Table 2</w:t>
        </w:r>
      </w:hyperlink>
      <w:r w:rsidR="00546028">
        <w:t>,</w:t>
      </w:r>
      <w:r w:rsidRPr="00194F62">
        <w:t xml:space="preserve"> and</w:t>
      </w:r>
    </w:p>
    <w:p w14:paraId="56292E0E" w14:textId="77777777" w:rsidR="00194F62" w:rsidRDefault="00194F62" w:rsidP="00A950AB">
      <w:pPr>
        <w:numPr>
          <w:ilvl w:val="0"/>
          <w:numId w:val="12"/>
        </w:numPr>
        <w:spacing w:line="276" w:lineRule="auto"/>
      </w:pPr>
      <w:r w:rsidRPr="00194F62">
        <w:t>The lesser mass limit of I. or II. applies.</w:t>
      </w:r>
    </w:p>
    <w:p w14:paraId="04D8A4CF" w14:textId="4A70D7D8" w:rsidR="00194F62" w:rsidRPr="00194F62" w:rsidRDefault="00E10413" w:rsidP="00185F66">
      <w:pPr>
        <w:numPr>
          <w:ilvl w:val="0"/>
          <w:numId w:val="11"/>
        </w:numPr>
        <w:spacing w:before="120"/>
      </w:pPr>
      <w:r w:rsidRPr="00E10413">
        <w:t>The steer axle mass must not exceed</w:t>
      </w:r>
      <w:r w:rsidR="00194F62" w:rsidRPr="00194F62">
        <w:t>:</w:t>
      </w:r>
    </w:p>
    <w:p w14:paraId="12526B91" w14:textId="7037C0F4" w:rsidR="00E12C7C" w:rsidRDefault="00194F62" w:rsidP="00A950AB">
      <w:pPr>
        <w:numPr>
          <w:ilvl w:val="0"/>
          <w:numId w:val="13"/>
        </w:numPr>
      </w:pPr>
      <w:r w:rsidRPr="00194F62">
        <w:t>6.6 tonne</w:t>
      </w:r>
      <w:r w:rsidR="00D76C02">
        <w:t xml:space="preserve"> </w:t>
      </w:r>
      <w:r w:rsidR="00D76C02" w:rsidRPr="00D76C02">
        <w:t>(includes a complying steer axle)</w:t>
      </w:r>
      <w:r w:rsidR="00E12C7C">
        <w:t>, or</w:t>
      </w:r>
    </w:p>
    <w:p w14:paraId="590DE351" w14:textId="77777777" w:rsidR="00E12C7C" w:rsidRPr="00E12C7C" w:rsidRDefault="00E12C7C" w:rsidP="00E12C7C">
      <w:pPr>
        <w:pStyle w:val="ListParagraph"/>
        <w:numPr>
          <w:ilvl w:val="0"/>
          <w:numId w:val="13"/>
        </w:numPr>
      </w:pPr>
      <w:r w:rsidRPr="00E12C7C">
        <w:t>The manufacturer’s steer axle mass rating.</w:t>
      </w:r>
    </w:p>
    <w:p w14:paraId="64D63D4F" w14:textId="77777777" w:rsidR="00C75E2C" w:rsidRPr="00440CE8" w:rsidRDefault="00C75E2C" w:rsidP="009743C4">
      <w:pPr>
        <w:pStyle w:val="ListParagraph"/>
        <w:numPr>
          <w:ilvl w:val="0"/>
          <w:numId w:val="11"/>
        </w:numPr>
        <w:spacing w:before="120"/>
        <w:ind w:left="714" w:hanging="357"/>
        <w:contextualSpacing w:val="0"/>
      </w:pPr>
      <w:r>
        <w:t>The lesser mass of a) or b) applies.</w:t>
      </w:r>
    </w:p>
    <w:p w14:paraId="4B4D9BBF" w14:textId="234FFD8D" w:rsidR="00E7014C" w:rsidRDefault="00E7014C" w:rsidP="00185F66">
      <w:pPr>
        <w:spacing w:before="120"/>
      </w:pPr>
      <w:r w:rsidRPr="00E7014C">
        <w:t xml:space="preserve">The in-field loading tolerance </w:t>
      </w:r>
      <w:r>
        <w:t>provided</w:t>
      </w:r>
      <w:r w:rsidRPr="00E7014C">
        <w:t xml:space="preserve"> in a) is </w:t>
      </w:r>
      <w:r w:rsidR="002279F0">
        <w:t>based</w:t>
      </w:r>
      <w:r w:rsidRPr="00E7014C">
        <w:t xml:space="preserve"> on a 6-tonne steer axle mass limit</w:t>
      </w:r>
      <w:r w:rsidR="0056181F">
        <w:t>.</w:t>
      </w:r>
    </w:p>
    <w:p w14:paraId="6CFB2147" w14:textId="1B138C01" w:rsidR="00817A1F" w:rsidRDefault="00817A1F" w:rsidP="00185F66">
      <w:pPr>
        <w:spacing w:before="120"/>
      </w:pPr>
      <w:r>
        <w:t xml:space="preserve">The maximum steer axle mass </w:t>
      </w:r>
      <w:r w:rsidR="003D7388">
        <w:t xml:space="preserve">provided in b) </w:t>
      </w:r>
      <w:r w:rsidR="005C716D" w:rsidRPr="005C716D">
        <w:t xml:space="preserve">is the maximum steer axle mass permitted under the </w:t>
      </w:r>
      <w:r w:rsidR="005C716D">
        <w:t>SM</w:t>
      </w:r>
      <w:r w:rsidR="005C716D" w:rsidRPr="005C716D">
        <w:t>MS</w:t>
      </w:r>
      <w:r w:rsidR="00CB5A04">
        <w:t>.</w:t>
      </w:r>
    </w:p>
    <w:p w14:paraId="0A15F804" w14:textId="0AB90C9F" w:rsidR="002E12AA" w:rsidRDefault="002E12AA" w:rsidP="002E12AA">
      <w:pPr>
        <w:pStyle w:val="Caption"/>
        <w:keepNext/>
      </w:pPr>
      <w:bookmarkStart w:id="29" w:name="Table_1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E7D3D">
        <w:rPr>
          <w:noProof/>
        </w:rPr>
        <w:t>1</w:t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2B6823">
        <w:rPr>
          <w:noProof/>
        </w:rPr>
        <w:t>G</w:t>
      </w:r>
      <w:r w:rsidR="00553204">
        <w:rPr>
          <w:noProof/>
        </w:rPr>
        <w:t>eneral</w:t>
      </w:r>
      <w:r w:rsidR="0010180F">
        <w:rPr>
          <w:noProof/>
        </w:rPr>
        <w:t xml:space="preserve"> and SMMS mass limits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12"/>
        <w:gridCol w:w="3938"/>
        <w:gridCol w:w="2468"/>
        <w:gridCol w:w="2438"/>
      </w:tblGrid>
      <w:tr w:rsidR="00B73BB0" w14:paraId="706A2EEC" w14:textId="77777777" w:rsidTr="002E12AA">
        <w:trPr>
          <w:jc w:val="center"/>
        </w:trPr>
        <w:tc>
          <w:tcPr>
            <w:tcW w:w="771" w:type="pct"/>
            <w:shd w:val="clear" w:color="auto" w:fill="003E69" w:themeFill="accent1"/>
          </w:tcPr>
          <w:bookmarkEnd w:id="29"/>
          <w:p w14:paraId="2C4AD67A" w14:textId="0B020CB0" w:rsidR="004F6A0D" w:rsidRPr="00EF1338" w:rsidRDefault="00A4281A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 xml:space="preserve">Eligible </w:t>
            </w:r>
            <w:r w:rsidR="00AF500B" w:rsidRPr="00EF1338">
              <w:rPr>
                <w:sz w:val="20"/>
                <w:szCs w:val="20"/>
              </w:rPr>
              <w:t>c</w:t>
            </w:r>
            <w:r w:rsidR="004F6A0D" w:rsidRPr="00EF1338">
              <w:rPr>
                <w:sz w:val="20"/>
                <w:szCs w:val="20"/>
              </w:rPr>
              <w:t>ombination</w:t>
            </w:r>
          </w:p>
        </w:tc>
        <w:tc>
          <w:tcPr>
            <w:tcW w:w="1883" w:type="pct"/>
            <w:shd w:val="clear" w:color="auto" w:fill="003E69" w:themeFill="accent1"/>
          </w:tcPr>
          <w:p w14:paraId="4E12DE23" w14:textId="77777777" w:rsidR="004F6A0D" w:rsidRPr="00EF1338" w:rsidRDefault="004F6A0D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Image</w:t>
            </w:r>
          </w:p>
        </w:tc>
        <w:tc>
          <w:tcPr>
            <w:tcW w:w="1180" w:type="pct"/>
            <w:shd w:val="clear" w:color="auto" w:fill="003E69" w:themeFill="accent1"/>
          </w:tcPr>
          <w:p w14:paraId="44E0BA0F" w14:textId="47B3DFB5" w:rsidR="004F6A0D" w:rsidRPr="00EF1338" w:rsidRDefault="00A4281A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Eligible combination</w:t>
            </w:r>
            <w:r w:rsidR="001607B0" w:rsidRPr="00EF1338">
              <w:rPr>
                <w:rFonts w:eastAsiaTheme="minorEastAsia" w:cs="Times New Roman"/>
                <w:sz w:val="20"/>
                <w:szCs w:val="20"/>
                <w:lang w:val="en-US" w:eastAsia="ja-JP"/>
              </w:rPr>
              <w:t xml:space="preserve"> </w:t>
            </w:r>
            <w:r w:rsidR="001607B0" w:rsidRPr="00EF1338">
              <w:rPr>
                <w:sz w:val="20"/>
                <w:szCs w:val="20"/>
                <w:lang w:val="en-US"/>
              </w:rPr>
              <w:t>with a 6-tonne steer axle mass limit</w:t>
            </w:r>
          </w:p>
        </w:tc>
        <w:tc>
          <w:tcPr>
            <w:tcW w:w="1166" w:type="pct"/>
            <w:shd w:val="clear" w:color="auto" w:fill="003E69" w:themeFill="accent1"/>
          </w:tcPr>
          <w:p w14:paraId="7C4EA704" w14:textId="40C00E6C" w:rsidR="004F6A0D" w:rsidRPr="00EF1338" w:rsidRDefault="00A4281A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Eligible combination</w:t>
            </w:r>
            <w:r w:rsidR="00251D17" w:rsidRPr="00EF1338">
              <w:rPr>
                <w:sz w:val="20"/>
                <w:szCs w:val="20"/>
              </w:rPr>
              <w:t>,</w:t>
            </w:r>
            <w:r w:rsidRPr="00EF1338">
              <w:rPr>
                <w:sz w:val="20"/>
                <w:szCs w:val="20"/>
              </w:rPr>
              <w:t xml:space="preserve"> </w:t>
            </w:r>
            <w:r w:rsidR="00F50F6F" w:rsidRPr="00EF1338">
              <w:rPr>
                <w:sz w:val="20"/>
                <w:szCs w:val="20"/>
              </w:rPr>
              <w:t xml:space="preserve">in-field loading tolerance </w:t>
            </w:r>
            <w:r w:rsidR="002D33AC" w:rsidRPr="00EF1338">
              <w:rPr>
                <w:sz w:val="20"/>
                <w:szCs w:val="20"/>
              </w:rPr>
              <w:t>mass limit</w:t>
            </w:r>
          </w:p>
        </w:tc>
      </w:tr>
      <w:tr w:rsidR="007E74D7" w14:paraId="526E413D" w14:textId="77777777" w:rsidTr="002E12AA">
        <w:trPr>
          <w:cantSplit/>
          <w:trHeight w:val="964"/>
          <w:jc w:val="center"/>
        </w:trPr>
        <w:tc>
          <w:tcPr>
            <w:tcW w:w="771" w:type="pct"/>
            <w:vAlign w:val="center"/>
          </w:tcPr>
          <w:p w14:paraId="34971849" w14:textId="5D551705" w:rsidR="004F6A0D" w:rsidRPr="00EF1338" w:rsidRDefault="007C5E6F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Five</w:t>
            </w:r>
            <w:r w:rsidR="004F6A0D" w:rsidRPr="00EF1338">
              <w:rPr>
                <w:sz w:val="20"/>
                <w:szCs w:val="20"/>
              </w:rPr>
              <w:t xml:space="preserve"> </w:t>
            </w:r>
            <w:r w:rsidR="00194249" w:rsidRPr="00EF1338">
              <w:rPr>
                <w:sz w:val="20"/>
                <w:szCs w:val="20"/>
              </w:rPr>
              <w:t>axle-semitrailer</w:t>
            </w:r>
          </w:p>
        </w:tc>
        <w:tc>
          <w:tcPr>
            <w:tcW w:w="1883" w:type="pct"/>
            <w:vAlign w:val="center"/>
          </w:tcPr>
          <w:p w14:paraId="238B686F" w14:textId="77777777" w:rsidR="004F6A0D" w:rsidRPr="00EF1338" w:rsidRDefault="004F6A0D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noProof/>
                <w:sz w:val="20"/>
                <w:szCs w:val="20"/>
              </w:rPr>
              <w:drawing>
                <wp:inline distT="0" distB="0" distL="0" distR="0" wp14:anchorId="0E0A6221" wp14:editId="0E2CC78F">
                  <wp:extent cx="1727835" cy="430530"/>
                  <wp:effectExtent l="0" t="0" r="5715" b="7620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1D7" w14:textId="77777777" w:rsidR="004F6A0D" w:rsidRPr="00EF1338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39.00t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4F0" w14:textId="77777777" w:rsidR="004F6A0D" w:rsidRPr="00EF1338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41.90t</w:t>
            </w:r>
          </w:p>
        </w:tc>
      </w:tr>
      <w:tr w:rsidR="007E74D7" w14:paraId="0732CA3D" w14:textId="77777777" w:rsidTr="002E12AA">
        <w:trPr>
          <w:cantSplit/>
          <w:trHeight w:val="964"/>
          <w:jc w:val="center"/>
        </w:trPr>
        <w:tc>
          <w:tcPr>
            <w:tcW w:w="771" w:type="pct"/>
            <w:vAlign w:val="center"/>
          </w:tcPr>
          <w:p w14:paraId="6AC9AA22" w14:textId="2460FBED" w:rsidR="004F6A0D" w:rsidRPr="00EF1338" w:rsidRDefault="004F6A0D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 xml:space="preserve">Common </w:t>
            </w:r>
            <w:r w:rsidR="007C5E6F" w:rsidRPr="00EF1338">
              <w:rPr>
                <w:sz w:val="20"/>
                <w:szCs w:val="20"/>
              </w:rPr>
              <w:t>six</w:t>
            </w:r>
            <w:r w:rsidRPr="00EF1338">
              <w:rPr>
                <w:sz w:val="20"/>
                <w:szCs w:val="20"/>
              </w:rPr>
              <w:t xml:space="preserve"> </w:t>
            </w:r>
            <w:r w:rsidR="00194249" w:rsidRPr="00EF1338">
              <w:rPr>
                <w:sz w:val="20"/>
                <w:szCs w:val="20"/>
              </w:rPr>
              <w:t>axle-semitrailer</w:t>
            </w:r>
          </w:p>
        </w:tc>
        <w:tc>
          <w:tcPr>
            <w:tcW w:w="1883" w:type="pct"/>
            <w:vAlign w:val="center"/>
          </w:tcPr>
          <w:p w14:paraId="5590C68C" w14:textId="77777777" w:rsidR="004F6A0D" w:rsidRPr="00EF1338" w:rsidRDefault="004F6A0D" w:rsidP="00D13CCC">
            <w:pPr>
              <w:pStyle w:val="BodyText"/>
              <w:rPr>
                <w:sz w:val="20"/>
                <w:szCs w:val="20"/>
              </w:rPr>
            </w:pPr>
            <w:r w:rsidRPr="00EF1338">
              <w:rPr>
                <w:noProof/>
                <w:sz w:val="20"/>
                <w:szCs w:val="20"/>
              </w:rPr>
              <w:drawing>
                <wp:inline distT="0" distB="0" distL="0" distR="0" wp14:anchorId="609D0656" wp14:editId="66F06335">
                  <wp:extent cx="1875155" cy="430530"/>
                  <wp:effectExtent l="0" t="0" r="0" b="7620"/>
                  <wp:docPr id="17" name="Picture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DCA" w14:textId="77777777" w:rsidR="004F6A0D" w:rsidRPr="00EF1338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42.50t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8B8F" w14:textId="77777777" w:rsidR="004F6A0D" w:rsidRPr="00EF1338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EF1338">
              <w:rPr>
                <w:sz w:val="20"/>
                <w:szCs w:val="20"/>
              </w:rPr>
              <w:t>45.70t</w:t>
            </w:r>
          </w:p>
        </w:tc>
      </w:tr>
      <w:tr w:rsidR="007E74D7" w14:paraId="58DF63C0" w14:textId="77777777" w:rsidTr="002E12AA">
        <w:trPr>
          <w:cantSplit/>
          <w:trHeight w:val="964"/>
          <w:jc w:val="center"/>
        </w:trPr>
        <w:tc>
          <w:tcPr>
            <w:tcW w:w="771" w:type="pct"/>
            <w:vAlign w:val="center"/>
          </w:tcPr>
          <w:p w14:paraId="7DF91913" w14:textId="37AD7629" w:rsidR="004F6A0D" w:rsidRPr="004E7880" w:rsidRDefault="007C5E6F" w:rsidP="00D13CCC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Eight</w:t>
            </w:r>
            <w:r w:rsidR="004F6A0D" w:rsidRPr="004E7880">
              <w:rPr>
                <w:sz w:val="20"/>
                <w:szCs w:val="20"/>
              </w:rPr>
              <w:t xml:space="preserve"> </w:t>
            </w:r>
            <w:r w:rsidR="00194249" w:rsidRPr="004E7880">
              <w:rPr>
                <w:sz w:val="20"/>
                <w:szCs w:val="20"/>
              </w:rPr>
              <w:t xml:space="preserve">axle </w:t>
            </w:r>
            <w:r w:rsidR="004F6A0D" w:rsidRPr="004E7880">
              <w:rPr>
                <w:sz w:val="20"/>
                <w:szCs w:val="20"/>
              </w:rPr>
              <w:t>B-double</w:t>
            </w:r>
          </w:p>
        </w:tc>
        <w:tc>
          <w:tcPr>
            <w:tcW w:w="1883" w:type="pct"/>
            <w:vAlign w:val="center"/>
          </w:tcPr>
          <w:p w14:paraId="5843E470" w14:textId="77777777" w:rsidR="004F6A0D" w:rsidRPr="004E7880" w:rsidRDefault="004F6A0D" w:rsidP="00D13CCC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noProof/>
                <w:sz w:val="20"/>
                <w:szCs w:val="20"/>
              </w:rPr>
              <w:drawing>
                <wp:inline distT="0" distB="0" distL="0" distR="0" wp14:anchorId="0AC198B0" wp14:editId="2F1AD32E">
                  <wp:extent cx="2360930" cy="428625"/>
                  <wp:effectExtent l="0" t="0" r="1270" b="9525"/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450" w14:textId="77777777" w:rsidR="004F6A0D" w:rsidRPr="004E7880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59.00t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D2EB" w14:textId="77777777" w:rsidR="004F6A0D" w:rsidRPr="004E7880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63.40t</w:t>
            </w:r>
          </w:p>
        </w:tc>
      </w:tr>
      <w:tr w:rsidR="007E74D7" w14:paraId="1D5CD955" w14:textId="77777777" w:rsidTr="002E12AA">
        <w:trPr>
          <w:cantSplit/>
          <w:trHeight w:val="964"/>
          <w:jc w:val="center"/>
        </w:trPr>
        <w:tc>
          <w:tcPr>
            <w:tcW w:w="771" w:type="pct"/>
            <w:vAlign w:val="center"/>
          </w:tcPr>
          <w:p w14:paraId="0D02A98D" w14:textId="149ACC2D" w:rsidR="004F6A0D" w:rsidRPr="004E7880" w:rsidRDefault="007C5E6F" w:rsidP="00D13CCC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Nine</w:t>
            </w:r>
            <w:r w:rsidR="004F6A0D" w:rsidRPr="004E7880">
              <w:rPr>
                <w:sz w:val="20"/>
                <w:szCs w:val="20"/>
              </w:rPr>
              <w:t xml:space="preserve"> </w:t>
            </w:r>
            <w:r w:rsidR="00194249" w:rsidRPr="004E7880">
              <w:rPr>
                <w:sz w:val="20"/>
                <w:szCs w:val="20"/>
              </w:rPr>
              <w:t xml:space="preserve">axle </w:t>
            </w:r>
            <w:r w:rsidR="004F6A0D" w:rsidRPr="004E7880">
              <w:rPr>
                <w:sz w:val="20"/>
                <w:szCs w:val="20"/>
              </w:rPr>
              <w:t>B-double</w:t>
            </w:r>
          </w:p>
        </w:tc>
        <w:tc>
          <w:tcPr>
            <w:tcW w:w="1883" w:type="pct"/>
            <w:vAlign w:val="center"/>
          </w:tcPr>
          <w:p w14:paraId="3A2F2FCF" w14:textId="77777777" w:rsidR="004F6A0D" w:rsidRPr="004E7880" w:rsidRDefault="004F6A0D" w:rsidP="00D13CCC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noProof/>
                <w:sz w:val="20"/>
                <w:szCs w:val="20"/>
              </w:rPr>
              <w:drawing>
                <wp:inline distT="0" distB="0" distL="0" distR="0" wp14:anchorId="0E951071" wp14:editId="332446E8">
                  <wp:extent cx="2360930" cy="391160"/>
                  <wp:effectExtent l="0" t="0" r="1270" b="8890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391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EAC5" w14:textId="77777777" w:rsidR="004F6A0D" w:rsidRPr="004E7880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62.50t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67DA" w14:textId="3AF71AA7" w:rsidR="004F6A0D" w:rsidRPr="004E7880" w:rsidRDefault="004F6A0D" w:rsidP="00627A0A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67.20</w:t>
            </w:r>
            <w:r w:rsidR="000E43DF" w:rsidRPr="004E7880">
              <w:rPr>
                <w:sz w:val="20"/>
                <w:szCs w:val="20"/>
              </w:rPr>
              <w:t>t</w:t>
            </w:r>
          </w:p>
        </w:tc>
      </w:tr>
    </w:tbl>
    <w:p w14:paraId="53AC7867" w14:textId="2F4120A0" w:rsidR="002E12AA" w:rsidRDefault="002E12AA" w:rsidP="002E12AA">
      <w:pPr>
        <w:pStyle w:val="Caption"/>
        <w:keepNext/>
        <w:spacing w:before="120"/>
      </w:pPr>
      <w:bookmarkStart w:id="30" w:name="Table_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E7D3D">
        <w:rPr>
          <w:noProof/>
        </w:rPr>
        <w:t>2</w:t>
      </w:r>
      <w:r>
        <w:rPr>
          <w:noProof/>
        </w:rPr>
        <w:fldChar w:fldCharType="end"/>
      </w:r>
      <w:r>
        <w:t xml:space="preserve"> </w:t>
      </w:r>
      <w:r w:rsidRPr="00FC3DFA">
        <w:t>A</w:t>
      </w:r>
      <w:r w:rsidR="0010180F">
        <w:t>xle mass limits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3687"/>
        <w:gridCol w:w="5073"/>
      </w:tblGrid>
      <w:tr w:rsidR="004F6A0D" w:rsidRPr="003861B0" w14:paraId="7DC5B441" w14:textId="77777777" w:rsidTr="00AB534C">
        <w:trPr>
          <w:trHeight w:val="567"/>
        </w:trPr>
        <w:tc>
          <w:tcPr>
            <w:tcW w:w="811" w:type="pct"/>
            <w:shd w:val="clear" w:color="auto" w:fill="003C69"/>
            <w:vAlign w:val="center"/>
          </w:tcPr>
          <w:bookmarkEnd w:id="30"/>
          <w:p w14:paraId="0F099309" w14:textId="77777777" w:rsidR="004F6A0D" w:rsidRPr="004E7880" w:rsidRDefault="004F6A0D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Axle description</w:t>
            </w:r>
          </w:p>
        </w:tc>
        <w:tc>
          <w:tcPr>
            <w:tcW w:w="1763" w:type="pct"/>
            <w:shd w:val="clear" w:color="auto" w:fill="003C69"/>
            <w:vAlign w:val="center"/>
          </w:tcPr>
          <w:p w14:paraId="7D5A8A12" w14:textId="2DE455FB" w:rsidR="004F6A0D" w:rsidRPr="004E7880" w:rsidRDefault="004F6A0D" w:rsidP="00AB534C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 xml:space="preserve">General </w:t>
            </w:r>
            <w:r w:rsidR="002D792F" w:rsidRPr="004E7880">
              <w:rPr>
                <w:sz w:val="20"/>
                <w:szCs w:val="20"/>
              </w:rPr>
              <w:t>axle mass limits</w:t>
            </w:r>
          </w:p>
        </w:tc>
        <w:tc>
          <w:tcPr>
            <w:tcW w:w="2426" w:type="pct"/>
            <w:shd w:val="clear" w:color="auto" w:fill="003C69"/>
            <w:vAlign w:val="center"/>
          </w:tcPr>
          <w:p w14:paraId="156FD186" w14:textId="54076DA5" w:rsidR="004F6A0D" w:rsidRPr="004E7880" w:rsidRDefault="004F6A0D" w:rsidP="00AB534C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 xml:space="preserve">10% </w:t>
            </w:r>
            <w:r w:rsidR="002D792F" w:rsidRPr="004E7880">
              <w:rPr>
                <w:sz w:val="20"/>
                <w:szCs w:val="20"/>
              </w:rPr>
              <w:t xml:space="preserve">axle </w:t>
            </w:r>
            <w:r w:rsidR="007776D2" w:rsidRPr="004E7880">
              <w:rPr>
                <w:sz w:val="20"/>
                <w:szCs w:val="20"/>
              </w:rPr>
              <w:t xml:space="preserve">in-field </w:t>
            </w:r>
            <w:r w:rsidR="002D792F" w:rsidRPr="004E7880">
              <w:rPr>
                <w:sz w:val="20"/>
                <w:szCs w:val="20"/>
              </w:rPr>
              <w:t>loading tolerance</w:t>
            </w:r>
            <w:r w:rsidR="007776D2" w:rsidRPr="004E7880">
              <w:rPr>
                <w:sz w:val="20"/>
                <w:szCs w:val="20"/>
              </w:rPr>
              <w:t xml:space="preserve"> mass limit</w:t>
            </w:r>
          </w:p>
        </w:tc>
      </w:tr>
      <w:tr w:rsidR="004F6A0D" w:rsidRPr="003861B0" w14:paraId="5D62E609" w14:textId="77777777" w:rsidTr="00AB534C">
        <w:trPr>
          <w:trHeight w:val="454"/>
        </w:trPr>
        <w:tc>
          <w:tcPr>
            <w:tcW w:w="811" w:type="pct"/>
            <w:vAlign w:val="center"/>
          </w:tcPr>
          <w:p w14:paraId="24A112C2" w14:textId="77777777" w:rsidR="004F6A0D" w:rsidRPr="004E7880" w:rsidRDefault="004F6A0D" w:rsidP="00F33C5C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Steer axle</w:t>
            </w:r>
          </w:p>
        </w:tc>
        <w:tc>
          <w:tcPr>
            <w:tcW w:w="1763" w:type="pct"/>
            <w:vAlign w:val="center"/>
          </w:tcPr>
          <w:p w14:paraId="48FB02B0" w14:textId="74AA6F86" w:rsidR="004F6A0D" w:rsidRPr="004E7880" w:rsidRDefault="002158EE" w:rsidP="00DE4010">
            <w:pPr>
              <w:pStyle w:val="BodyText"/>
              <w:jc w:val="center"/>
              <w:rPr>
                <w:sz w:val="20"/>
                <w:szCs w:val="20"/>
              </w:rPr>
            </w:pPr>
            <w:r w:rsidRPr="00240398">
              <w:rPr>
                <w:sz w:val="20"/>
                <w:szCs w:val="20"/>
              </w:rPr>
              <w:t>6.0t, or 6.5t (complying steer axle)</w:t>
            </w:r>
          </w:p>
        </w:tc>
        <w:tc>
          <w:tcPr>
            <w:tcW w:w="2426" w:type="pct"/>
            <w:vAlign w:val="center"/>
          </w:tcPr>
          <w:p w14:paraId="696B8890" w14:textId="1F132EEC" w:rsidR="004F6A0D" w:rsidRPr="004E7880" w:rsidRDefault="004F6A0D" w:rsidP="00DE4010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6.6t</w:t>
            </w:r>
            <w:r w:rsidR="00DE4010">
              <w:rPr>
                <w:sz w:val="20"/>
                <w:szCs w:val="20"/>
              </w:rPr>
              <w:t xml:space="preserve"> </w:t>
            </w:r>
            <w:r w:rsidR="00815C9E" w:rsidRPr="00240398">
              <w:rPr>
                <w:sz w:val="20"/>
                <w:szCs w:val="20"/>
              </w:rPr>
              <w:t>(includes a complying steer axle)</w:t>
            </w:r>
          </w:p>
        </w:tc>
      </w:tr>
      <w:tr w:rsidR="004F6A0D" w:rsidRPr="003861B0" w14:paraId="1FC12FC4" w14:textId="77777777" w:rsidTr="00AB534C">
        <w:trPr>
          <w:trHeight w:val="454"/>
        </w:trPr>
        <w:tc>
          <w:tcPr>
            <w:tcW w:w="811" w:type="pct"/>
            <w:shd w:val="clear" w:color="auto" w:fill="auto"/>
            <w:vAlign w:val="center"/>
          </w:tcPr>
          <w:p w14:paraId="361FCC6C" w14:textId="77777777" w:rsidR="004F6A0D" w:rsidRPr="004E7880" w:rsidRDefault="004F6A0D" w:rsidP="00F33C5C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Tandem axle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7CF22D50" w14:textId="77777777" w:rsidR="004F6A0D" w:rsidRPr="004E7880" w:rsidRDefault="004F6A0D" w:rsidP="00BF71B9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16.5t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71C14D58" w14:textId="77777777" w:rsidR="004F6A0D" w:rsidRPr="004E7880" w:rsidRDefault="004F6A0D" w:rsidP="00BF71B9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18.15t</w:t>
            </w:r>
          </w:p>
        </w:tc>
      </w:tr>
      <w:tr w:rsidR="004F6A0D" w:rsidRPr="003861B0" w14:paraId="6AADF84B" w14:textId="77777777" w:rsidTr="00AB534C">
        <w:trPr>
          <w:trHeight w:val="454"/>
        </w:trPr>
        <w:tc>
          <w:tcPr>
            <w:tcW w:w="811" w:type="pct"/>
            <w:vAlign w:val="center"/>
          </w:tcPr>
          <w:p w14:paraId="5152435A" w14:textId="77777777" w:rsidR="004F6A0D" w:rsidRPr="004E7880" w:rsidRDefault="004F6A0D" w:rsidP="00F33C5C">
            <w:pPr>
              <w:pStyle w:val="BodyText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Tri axle</w:t>
            </w:r>
          </w:p>
        </w:tc>
        <w:tc>
          <w:tcPr>
            <w:tcW w:w="1763" w:type="pct"/>
            <w:vAlign w:val="center"/>
          </w:tcPr>
          <w:p w14:paraId="5BEEA2AB" w14:textId="77777777" w:rsidR="004F6A0D" w:rsidRPr="004E7880" w:rsidRDefault="004F6A0D" w:rsidP="00BF71B9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20.0t</w:t>
            </w:r>
          </w:p>
        </w:tc>
        <w:tc>
          <w:tcPr>
            <w:tcW w:w="2426" w:type="pct"/>
            <w:vAlign w:val="center"/>
          </w:tcPr>
          <w:p w14:paraId="6CE36531" w14:textId="77777777" w:rsidR="004F6A0D" w:rsidRPr="004E7880" w:rsidRDefault="004F6A0D" w:rsidP="00BF71B9">
            <w:pPr>
              <w:pStyle w:val="BodyText"/>
              <w:jc w:val="center"/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22.0t</w:t>
            </w:r>
          </w:p>
        </w:tc>
      </w:tr>
    </w:tbl>
    <w:p w14:paraId="5CEFC9C8" w14:textId="77777777" w:rsidR="009C07B1" w:rsidRDefault="009C07B1" w:rsidP="009C07B1">
      <w:pPr>
        <w:spacing w:before="120"/>
      </w:pPr>
      <w:r w:rsidRPr="00874B37">
        <w:t>Note: The SMMS does not provide authorisation to exceed manufacturer’s ratings and axle mass limits.</w:t>
      </w:r>
    </w:p>
    <w:p w14:paraId="6E3481A4" w14:textId="66812461" w:rsidR="00971CFE" w:rsidRPr="00971CFE" w:rsidRDefault="00971CFE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31" w:name="_Toc169010689"/>
      <w:bookmarkStart w:id="32" w:name="_Toc169608989"/>
      <w:r w:rsidRPr="00971CFE">
        <w:t xml:space="preserve">Weighing of </w:t>
      </w:r>
      <w:r w:rsidR="0096582B">
        <w:t>v</w:t>
      </w:r>
      <w:r w:rsidR="0096582B" w:rsidRPr="00971CFE">
        <w:t>ehicles</w:t>
      </w:r>
      <w:bookmarkEnd w:id="31"/>
      <w:bookmarkEnd w:id="32"/>
    </w:p>
    <w:p w14:paraId="14F6017B" w14:textId="5A4D1B4A" w:rsidR="002106D5" w:rsidRDefault="00971CFE" w:rsidP="0085375D">
      <w:r w:rsidRPr="00874B37">
        <w:t xml:space="preserve">The sugar mill must </w:t>
      </w:r>
      <w:r w:rsidR="00006CF2">
        <w:t xml:space="preserve">weigh and </w:t>
      </w:r>
      <w:r w:rsidRPr="00874B37">
        <w:t xml:space="preserve">record </w:t>
      </w:r>
      <w:r w:rsidR="00006CF2">
        <w:t xml:space="preserve">all </w:t>
      </w:r>
      <w:r w:rsidR="00866077">
        <w:t>combinations</w:t>
      </w:r>
      <w:r w:rsidR="00626080" w:rsidRPr="002106D5">
        <w:t xml:space="preserve"> </w:t>
      </w:r>
      <w:r w:rsidR="00194A3B">
        <w:t xml:space="preserve">delivering </w:t>
      </w:r>
      <w:r w:rsidR="00D43DE7">
        <w:t xml:space="preserve">bulk </w:t>
      </w:r>
      <w:r w:rsidR="002106D5">
        <w:t>sugar cane</w:t>
      </w:r>
      <w:r w:rsidR="002106D5" w:rsidRPr="002106D5">
        <w:t xml:space="preserve"> under the </w:t>
      </w:r>
      <w:r w:rsidR="00194A3B">
        <w:t>SM</w:t>
      </w:r>
      <w:r w:rsidR="002106D5" w:rsidRPr="002106D5">
        <w:t>MS</w:t>
      </w:r>
      <w:r w:rsidR="00E62C25">
        <w:t xml:space="preserve">. </w:t>
      </w:r>
    </w:p>
    <w:p w14:paraId="3D6E8DA4" w14:textId="2E4BAE5F" w:rsidR="002F3C5A" w:rsidRDefault="00E62C25" w:rsidP="002106D5">
      <w:pPr>
        <w:spacing w:before="120"/>
      </w:pPr>
      <w:r>
        <w:t>T</w:t>
      </w:r>
      <w:r w:rsidR="009B1555" w:rsidRPr="00874B37">
        <w:t xml:space="preserve">he </w:t>
      </w:r>
      <w:r w:rsidR="00B232EC">
        <w:t xml:space="preserve">sugar mill must record the </w:t>
      </w:r>
      <w:r w:rsidR="00971CFE" w:rsidRPr="00874B37">
        <w:t xml:space="preserve">mass </w:t>
      </w:r>
      <w:r w:rsidR="00006CF2">
        <w:t xml:space="preserve">of the combination </w:t>
      </w:r>
      <w:r w:rsidR="003905B3">
        <w:t>from</w:t>
      </w:r>
      <w:r w:rsidR="00AC3DBA" w:rsidRPr="00874B37">
        <w:t xml:space="preserve"> </w:t>
      </w:r>
      <w:r w:rsidR="00971CFE" w:rsidRPr="00874B37">
        <w:t xml:space="preserve">a </w:t>
      </w:r>
      <w:r w:rsidR="00006CF2">
        <w:t xml:space="preserve">calibrated and </w:t>
      </w:r>
      <w:r w:rsidR="00971CFE" w:rsidRPr="00874B37">
        <w:t>certified weighbridge</w:t>
      </w:r>
      <w:r w:rsidR="00006CF2">
        <w:t>.</w:t>
      </w:r>
      <w:r w:rsidR="00971CFE" w:rsidRPr="00874B37">
        <w:t xml:space="preserve"> </w:t>
      </w:r>
    </w:p>
    <w:p w14:paraId="69AD6C5E" w14:textId="5EC3786C" w:rsidR="002F3C5A" w:rsidRPr="00971CFE" w:rsidRDefault="002F3C5A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33" w:name="_Toc169010690"/>
      <w:bookmarkStart w:id="34" w:name="_Toc169608990"/>
      <w:r w:rsidRPr="00971CFE">
        <w:t xml:space="preserve">Managing </w:t>
      </w:r>
      <w:r>
        <w:t>o</w:t>
      </w:r>
      <w:r w:rsidRPr="00971CFE">
        <w:t xml:space="preserve">verloaded </w:t>
      </w:r>
      <w:r>
        <w:t>v</w:t>
      </w:r>
      <w:r w:rsidRPr="00971CFE">
        <w:t>ehicles</w:t>
      </w:r>
      <w:bookmarkEnd w:id="33"/>
      <w:bookmarkEnd w:id="34"/>
    </w:p>
    <w:p w14:paraId="3D234B15" w14:textId="1E88F513" w:rsidR="002F3C5A" w:rsidRPr="004B3FB4" w:rsidRDefault="00D63E4A" w:rsidP="0085375D">
      <w:r>
        <w:t>The sugar mill will manage overloaded vehicles</w:t>
      </w:r>
      <w:r w:rsidR="002F3C5A" w:rsidRPr="004B3FB4">
        <w:t xml:space="preserve"> that exceed the </w:t>
      </w:r>
      <w:r w:rsidR="002A48D0">
        <w:t xml:space="preserve">SMMS </w:t>
      </w:r>
      <w:r w:rsidR="00866077">
        <w:t xml:space="preserve">or MDL(Reg) </w:t>
      </w:r>
      <w:r w:rsidR="00866077" w:rsidRPr="00D203E0">
        <w:t xml:space="preserve">mass limits </w:t>
      </w:r>
      <w:r w:rsidR="00866077">
        <w:t>(overloaded)</w:t>
      </w:r>
      <w:r w:rsidR="002F3C5A" w:rsidRPr="004B3FB4">
        <w:t xml:space="preserve"> in accordance with </w:t>
      </w:r>
      <w:r w:rsidR="00F56D45">
        <w:t>Primary</w:t>
      </w:r>
      <w:r w:rsidR="002F3C5A" w:rsidRPr="004B3FB4">
        <w:t xml:space="preserve"> Duties and Chain of Responsibility (CoR). </w:t>
      </w:r>
    </w:p>
    <w:p w14:paraId="0E0444EA" w14:textId="193DEA23" w:rsidR="002F3C5A" w:rsidRPr="004B3FB4" w:rsidRDefault="002F3C5A" w:rsidP="002F3C5A">
      <w:pPr>
        <w:spacing w:before="120"/>
      </w:pPr>
      <w:r w:rsidRPr="004B3FB4">
        <w:t xml:space="preserve">The sugar mill must implement appropriate control measures to manage overloaded vehicles, </w:t>
      </w:r>
      <w:r w:rsidR="00BF6283">
        <w:t xml:space="preserve">and </w:t>
      </w:r>
      <w:r w:rsidRPr="004B3FB4">
        <w:t xml:space="preserve">have effective </w:t>
      </w:r>
      <w:hyperlink r:id="rId14" w:history="1">
        <w:r w:rsidRPr="004B3FB4">
          <w:rPr>
            <w:rStyle w:val="Hyperlink"/>
          </w:rPr>
          <w:t>Safety Management Systems (SMS)</w:t>
        </w:r>
      </w:hyperlink>
      <w:r w:rsidRPr="004B3FB4">
        <w:t xml:space="preserve"> in place to comply with safety duty obligations under the </w:t>
      </w:r>
      <w:hyperlink r:id="rId15" w:history="1">
        <w:r w:rsidR="004F48B4">
          <w:rPr>
            <w:rStyle w:val="Hyperlink"/>
          </w:rPr>
          <w:t>HVNL</w:t>
        </w:r>
      </w:hyperlink>
      <w:r w:rsidRPr="004B3FB4">
        <w:t xml:space="preserve"> and ensure the overloading does not continue. </w:t>
      </w:r>
    </w:p>
    <w:p w14:paraId="6F5E6EAE" w14:textId="091D51E3" w:rsidR="00971CFE" w:rsidRDefault="002F3C5A" w:rsidP="002F3C5A">
      <w:pPr>
        <w:spacing w:before="120"/>
      </w:pPr>
      <w:r w:rsidRPr="004B3FB4">
        <w:t xml:space="preserve">The sugar mill should not provide any incentive </w:t>
      </w:r>
      <w:r w:rsidR="0033514B">
        <w:t>(</w:t>
      </w:r>
      <w:r w:rsidRPr="004B3FB4">
        <w:t>financial or otherwise</w:t>
      </w:r>
      <w:r w:rsidR="0033514B">
        <w:t>)</w:t>
      </w:r>
      <w:r w:rsidRPr="004B3FB4">
        <w:t xml:space="preserve"> for </w:t>
      </w:r>
      <w:r w:rsidR="00602BE0">
        <w:t>eligible vehicles</w:t>
      </w:r>
      <w:r w:rsidR="00602BE0" w:rsidRPr="004B3FB4">
        <w:t xml:space="preserve"> </w:t>
      </w:r>
      <w:r w:rsidRPr="004B3FB4">
        <w:t>to arrive overloaded to their facilities.</w:t>
      </w:r>
      <w:r w:rsidR="003D32F7" w:rsidRPr="003D32F7">
        <w:t xml:space="preserve"> </w:t>
      </w:r>
      <w:r w:rsidR="00183510">
        <w:t>Suga</w:t>
      </w:r>
      <w:r w:rsidR="00132D56">
        <w:t>r mills will need to safely unload an overloaded vehicle</w:t>
      </w:r>
      <w:r w:rsidR="003D32F7" w:rsidRPr="003D32F7">
        <w:t xml:space="preserve"> after </w:t>
      </w:r>
      <w:r w:rsidR="002D7A90">
        <w:t xml:space="preserve">recording </w:t>
      </w:r>
      <w:r w:rsidR="003D32F7" w:rsidRPr="003D32F7">
        <w:t xml:space="preserve">the </w:t>
      </w:r>
      <w:r w:rsidR="002D7A90">
        <w:t>mass</w:t>
      </w:r>
      <w:r w:rsidR="003D32F7" w:rsidRPr="003D32F7">
        <w:t>.</w:t>
      </w:r>
    </w:p>
    <w:p w14:paraId="3E9921BC" w14:textId="77777777" w:rsidR="00F92393" w:rsidRDefault="009D370D" w:rsidP="00DE26A2">
      <w:pPr>
        <w:spacing w:before="120"/>
      </w:pPr>
      <w:r>
        <w:t>NHVR or TMR ma</w:t>
      </w:r>
      <w:r w:rsidR="00E95BA2">
        <w:t>y</w:t>
      </w:r>
      <w:r>
        <w:t xml:space="preserve"> investigat</w:t>
      </w:r>
      <w:r w:rsidR="00E95BA2">
        <w:t xml:space="preserve">e if an eligible vehicle </w:t>
      </w:r>
      <w:r w:rsidR="00403A99">
        <w:t>is</w:t>
      </w:r>
      <w:r w:rsidR="00F92393">
        <w:t>:</w:t>
      </w:r>
    </w:p>
    <w:p w14:paraId="01C932DD" w14:textId="392DA4F2" w:rsidR="00F8190E" w:rsidRDefault="003B4E4E" w:rsidP="005118B4">
      <w:pPr>
        <w:pStyle w:val="ListParagraph"/>
        <w:numPr>
          <w:ilvl w:val="0"/>
          <w:numId w:val="41"/>
        </w:numPr>
      </w:pPr>
      <w:r>
        <w:t xml:space="preserve">Always </w:t>
      </w:r>
      <w:r w:rsidR="00A6789E">
        <w:t>load</w:t>
      </w:r>
      <w:r w:rsidR="00403A99">
        <w:t>ed</w:t>
      </w:r>
      <w:r w:rsidR="00A6789E">
        <w:t xml:space="preserve"> to </w:t>
      </w:r>
      <w:r w:rsidR="003D0AD0" w:rsidRPr="003D0AD0">
        <w:t xml:space="preserve">the maximum </w:t>
      </w:r>
      <w:r w:rsidR="002A4223">
        <w:t xml:space="preserve">SMMS </w:t>
      </w:r>
      <w:r w:rsidR="003D0AD0" w:rsidRPr="003D0AD0">
        <w:t xml:space="preserve">mass limits in </w:t>
      </w:r>
      <w:hyperlink w:anchor="Table_1" w:history="1">
        <w:r w:rsidR="003D0AD0" w:rsidRPr="003D32F7">
          <w:rPr>
            <w:rStyle w:val="Hyperlink"/>
          </w:rPr>
          <w:t>Table 1</w:t>
        </w:r>
      </w:hyperlink>
      <w:r w:rsidR="003D0AD0" w:rsidRPr="003D0AD0">
        <w:t xml:space="preserve"> or </w:t>
      </w:r>
      <w:hyperlink w:anchor="Table_2" w:history="1">
        <w:r w:rsidR="003D0AD0" w:rsidRPr="003D32F7">
          <w:rPr>
            <w:rStyle w:val="Hyperlink"/>
          </w:rPr>
          <w:t>Table 2</w:t>
        </w:r>
      </w:hyperlink>
      <w:r w:rsidR="005118B4">
        <w:t>,</w:t>
      </w:r>
      <w:r w:rsidR="00DE557A">
        <w:t xml:space="preserve"> or</w:t>
      </w:r>
      <w:r w:rsidR="005118B4">
        <w:t xml:space="preserve"> </w:t>
      </w:r>
    </w:p>
    <w:p w14:paraId="545382F5" w14:textId="7FD60E59" w:rsidR="005118B4" w:rsidRDefault="00F8190E" w:rsidP="005118B4">
      <w:pPr>
        <w:pStyle w:val="ListParagraph"/>
        <w:numPr>
          <w:ilvl w:val="0"/>
          <w:numId w:val="41"/>
        </w:numPr>
      </w:pPr>
      <w:r>
        <w:t xml:space="preserve">Loaded above </w:t>
      </w:r>
      <w:r w:rsidR="00364258">
        <w:t>the</w:t>
      </w:r>
      <w:r w:rsidR="00364258" w:rsidRPr="00364258">
        <w:t xml:space="preserve"> SMMS mass limits in </w:t>
      </w:r>
      <w:hyperlink w:anchor="Table_1" w:history="1">
        <w:r w:rsidR="00364258" w:rsidRPr="00364258">
          <w:rPr>
            <w:rStyle w:val="Hyperlink"/>
          </w:rPr>
          <w:t>Table 1</w:t>
        </w:r>
      </w:hyperlink>
      <w:r w:rsidR="00364258" w:rsidRPr="00364258">
        <w:t xml:space="preserve"> or </w:t>
      </w:r>
      <w:hyperlink w:anchor="Table_2" w:history="1">
        <w:r w:rsidR="00364258" w:rsidRPr="00364258">
          <w:rPr>
            <w:rStyle w:val="Hyperlink"/>
          </w:rPr>
          <w:t>Table 2</w:t>
        </w:r>
      </w:hyperlink>
      <w:r w:rsidR="00364258">
        <w:t xml:space="preserve">, </w:t>
      </w:r>
      <w:r w:rsidR="005118B4">
        <w:t>or</w:t>
      </w:r>
    </w:p>
    <w:p w14:paraId="4F455A9C" w14:textId="5AC4B643" w:rsidR="00DE26A2" w:rsidRDefault="003B4E4E" w:rsidP="005118B4">
      <w:pPr>
        <w:pStyle w:val="ListParagraph"/>
        <w:numPr>
          <w:ilvl w:val="0"/>
          <w:numId w:val="41"/>
        </w:numPr>
        <w:spacing w:before="120"/>
      </w:pPr>
      <w:r>
        <w:t>S</w:t>
      </w:r>
      <w:r w:rsidRPr="003D0AD0">
        <w:t>evere</w:t>
      </w:r>
      <w:r>
        <w:t>ly</w:t>
      </w:r>
      <w:r w:rsidRPr="003D0AD0">
        <w:t xml:space="preserve"> </w:t>
      </w:r>
      <w:r w:rsidR="003D0AD0" w:rsidRPr="003D0AD0">
        <w:t>overload</w:t>
      </w:r>
      <w:r w:rsidR="006D6EC6">
        <w:t>ed</w:t>
      </w:r>
      <w:r w:rsidR="00DE26A2">
        <w:t>.</w:t>
      </w:r>
      <w:r w:rsidR="00DE26A2" w:rsidRPr="004B3FB4">
        <w:t xml:space="preserve"> </w:t>
      </w:r>
    </w:p>
    <w:p w14:paraId="5C92BDEE" w14:textId="19EF2B5F" w:rsidR="001E288C" w:rsidRPr="00971CFE" w:rsidRDefault="001E288C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35" w:name="_Toc169010691"/>
      <w:bookmarkStart w:id="36" w:name="_Toc169608991"/>
      <w:r w:rsidRPr="00971CFE">
        <w:lastRenderedPageBreak/>
        <w:t xml:space="preserve">Monitoring </w:t>
      </w:r>
      <w:r>
        <w:t>and auditing</w:t>
      </w:r>
      <w:bookmarkEnd w:id="35"/>
      <w:bookmarkEnd w:id="36"/>
    </w:p>
    <w:p w14:paraId="048D48E1" w14:textId="5C2A7372" w:rsidR="001E288C" w:rsidRDefault="001E288C" w:rsidP="001E288C">
      <w:r w:rsidRPr="004B3FB4">
        <w:t xml:space="preserve">Evaluation of the </w:t>
      </w:r>
      <w:r>
        <w:t>SMMS</w:t>
      </w:r>
      <w:r w:rsidRPr="004B3FB4">
        <w:t xml:space="preserve"> involves measuring vehicle compliance with </w:t>
      </w:r>
      <w:r w:rsidR="00726CBF">
        <w:t xml:space="preserve">the </w:t>
      </w:r>
      <w:r>
        <w:t>SMMS</w:t>
      </w:r>
      <w:r w:rsidRPr="004B3FB4">
        <w:t xml:space="preserve"> based on the reports and registers provided to TMR.</w:t>
      </w:r>
    </w:p>
    <w:p w14:paraId="75CA2F18" w14:textId="5ED9BD6B" w:rsidR="001E288C" w:rsidRPr="004E4353" w:rsidRDefault="001E288C" w:rsidP="001E288C">
      <w:pPr>
        <w:spacing w:before="120"/>
      </w:pPr>
      <w:r w:rsidRPr="004E4353">
        <w:t xml:space="preserve">TMR </w:t>
      </w:r>
      <w:r>
        <w:t>conduct</w:t>
      </w:r>
      <w:r w:rsidR="0086030A">
        <w:t>s</w:t>
      </w:r>
      <w:r>
        <w:t xml:space="preserve"> annual </w:t>
      </w:r>
      <w:r w:rsidR="00557794">
        <w:t xml:space="preserve">SMMS </w:t>
      </w:r>
      <w:r>
        <w:t>audit</w:t>
      </w:r>
      <w:r w:rsidR="00557794">
        <w:t>s</w:t>
      </w:r>
      <w:r w:rsidRPr="004E4353">
        <w:t xml:space="preserve">. </w:t>
      </w:r>
      <w:r>
        <w:t xml:space="preserve">If </w:t>
      </w:r>
      <w:r w:rsidR="00765BD1">
        <w:t xml:space="preserve">TMR </w:t>
      </w:r>
      <w:r w:rsidR="00234CB8">
        <w:t xml:space="preserve">are going to conduct </w:t>
      </w:r>
      <w:r w:rsidR="00B1768C">
        <w:t>an on-site audit</w:t>
      </w:r>
      <w:r w:rsidR="00B605C5">
        <w:t>,</w:t>
      </w:r>
      <w:r>
        <w:t xml:space="preserve"> </w:t>
      </w:r>
      <w:r w:rsidRPr="004E4353">
        <w:t>TMR must notify the sugar mill and provide at least three days</w:t>
      </w:r>
      <w:r w:rsidR="00A15EC6">
        <w:t>’ notice of the</w:t>
      </w:r>
      <w:r w:rsidRPr="004E4353">
        <w:t xml:space="preserve"> of intention to </w:t>
      </w:r>
      <w:r w:rsidRPr="004966C6">
        <w:t>visit for audit</w:t>
      </w:r>
      <w:r w:rsidRPr="004E4353">
        <w:t xml:space="preserve"> purposes.</w:t>
      </w:r>
    </w:p>
    <w:p w14:paraId="687D90B8" w14:textId="122708C1" w:rsidR="001E288C" w:rsidRPr="004E4353" w:rsidRDefault="000A0F80" w:rsidP="001E288C">
      <w:pPr>
        <w:spacing w:before="120"/>
      </w:pPr>
      <w:r>
        <w:t xml:space="preserve">TMR may </w:t>
      </w:r>
      <w:r w:rsidR="000B3C3E">
        <w:t>conduct additional</w:t>
      </w:r>
      <w:r w:rsidRPr="004E4353">
        <w:t xml:space="preserve"> </w:t>
      </w:r>
      <w:r w:rsidR="001E288C" w:rsidRPr="004E4353">
        <w:t xml:space="preserve">audits, site visits or request information </w:t>
      </w:r>
      <w:r w:rsidR="000B3C3E">
        <w:t>from participants</w:t>
      </w:r>
      <w:r w:rsidR="001E288C" w:rsidRPr="004E4353">
        <w:t xml:space="preserve"> throughout the year if obligations under </w:t>
      </w:r>
      <w:r w:rsidR="00145F9C">
        <w:t>the SMMS</w:t>
      </w:r>
      <w:r w:rsidR="001E288C" w:rsidRPr="004E4353">
        <w:t xml:space="preserve"> are not </w:t>
      </w:r>
      <w:r w:rsidR="00DA14CB">
        <w:t>complied with</w:t>
      </w:r>
      <w:r w:rsidR="001E288C" w:rsidRPr="004E4353">
        <w:t>.</w:t>
      </w:r>
    </w:p>
    <w:p w14:paraId="3425DD5A" w14:textId="1E1F425C" w:rsidR="001E288C" w:rsidRPr="004E4353" w:rsidRDefault="003E112E" w:rsidP="001E288C">
      <w:pPr>
        <w:spacing w:before="120"/>
      </w:pPr>
      <w:r>
        <w:t>During on-site audits or visits</w:t>
      </w:r>
      <w:r w:rsidR="00304881">
        <w:t>,</w:t>
      </w:r>
      <w:r w:rsidR="001E288C" w:rsidRPr="004E4353">
        <w:t xml:space="preserve"> </w:t>
      </w:r>
      <w:r w:rsidR="00196B87">
        <w:t>TMR</w:t>
      </w:r>
      <w:r w:rsidR="00743261" w:rsidDel="00315964">
        <w:t xml:space="preserve"> </w:t>
      </w:r>
      <w:r w:rsidR="001E288C" w:rsidRPr="004E4353">
        <w:t xml:space="preserve">personnel </w:t>
      </w:r>
      <w:r w:rsidR="00304881">
        <w:t>will</w:t>
      </w:r>
      <w:r w:rsidR="00304881" w:rsidRPr="004E4353">
        <w:t xml:space="preserve"> </w:t>
      </w:r>
      <w:r w:rsidR="001E288C" w:rsidRPr="004E4353">
        <w:t xml:space="preserve">report to the </w:t>
      </w:r>
      <w:r w:rsidR="00304881">
        <w:t xml:space="preserve">sugar mill </w:t>
      </w:r>
      <w:r w:rsidR="001E288C" w:rsidRPr="004E4353">
        <w:t xml:space="preserve">administration office or contact the </w:t>
      </w:r>
      <w:r w:rsidR="00346FB7">
        <w:t xml:space="preserve">sugar mill </w:t>
      </w:r>
      <w:r w:rsidR="001E288C" w:rsidRPr="004E4353">
        <w:t>on-site shift supervisor</w:t>
      </w:r>
      <w:r w:rsidR="001E288C">
        <w:t xml:space="preserve"> and follow the sugar mill visitor policy and procedure guidelines</w:t>
      </w:r>
      <w:r w:rsidR="001E288C" w:rsidRPr="004E4353">
        <w:t>.</w:t>
      </w:r>
    </w:p>
    <w:p w14:paraId="2BA99EDD" w14:textId="30B6E12E" w:rsidR="001E288C" w:rsidRPr="00971CFE" w:rsidRDefault="001E288C" w:rsidP="001E288C">
      <w:pPr>
        <w:spacing w:before="120"/>
        <w:rPr>
          <w:color w:val="FF0000"/>
        </w:rPr>
      </w:pPr>
      <w:r w:rsidRPr="004B3FB4">
        <w:t>Complaints could initiate an investigation</w:t>
      </w:r>
      <w:r w:rsidR="00841E2F">
        <w:t>,</w:t>
      </w:r>
      <w:r w:rsidRPr="004B3FB4">
        <w:t xml:space="preserve"> the NHVR will conduct compliance and enforcement activit</w:t>
      </w:r>
      <w:r>
        <w:t>ies</w:t>
      </w:r>
      <w:r w:rsidRPr="004B3FB4">
        <w:t xml:space="preserve"> to ensure </w:t>
      </w:r>
      <w:r w:rsidR="00B602A4">
        <w:t xml:space="preserve">eligible </w:t>
      </w:r>
      <w:r w:rsidRPr="004B3FB4">
        <w:t xml:space="preserve">vehicles comply with the </w:t>
      </w:r>
      <w:r w:rsidR="00B602A4">
        <w:t>SMMS</w:t>
      </w:r>
      <w:r w:rsidRPr="004B3FB4">
        <w:t xml:space="preserve"> and the HVNL. </w:t>
      </w:r>
    </w:p>
    <w:p w14:paraId="5085CF9A" w14:textId="33AB9271" w:rsidR="0027557B" w:rsidRPr="00264A8E" w:rsidRDefault="0027557B" w:rsidP="00E33CC6">
      <w:pPr>
        <w:pStyle w:val="Heading2"/>
        <w:numPr>
          <w:ilvl w:val="0"/>
          <w:numId w:val="25"/>
        </w:numPr>
        <w:spacing w:before="120"/>
        <w:ind w:left="284" w:hanging="284"/>
      </w:pPr>
      <w:bookmarkStart w:id="37" w:name="_Toc169010692"/>
      <w:bookmarkStart w:id="38" w:name="_Toc169608992"/>
      <w:r w:rsidRPr="00264A8E">
        <w:t>Show cause notice</w:t>
      </w:r>
      <w:bookmarkEnd w:id="37"/>
      <w:bookmarkEnd w:id="38"/>
    </w:p>
    <w:p w14:paraId="1E58B355" w14:textId="55EC8E44" w:rsidR="00933F94" w:rsidRDefault="00933F94" w:rsidP="00933F94">
      <w:r>
        <w:t xml:space="preserve">A show cause notice allows SMMS participants the opportunity to respond to </w:t>
      </w:r>
      <w:r w:rsidR="00CF64CA">
        <w:t xml:space="preserve">potential </w:t>
      </w:r>
      <w:r>
        <w:t xml:space="preserve">non-compliance with the </w:t>
      </w:r>
      <w:r w:rsidR="005C3F30">
        <w:t>SM</w:t>
      </w:r>
      <w:r>
        <w:t xml:space="preserve">MS, Notice or MoU before </w:t>
      </w:r>
      <w:r w:rsidR="00900B15">
        <w:t xml:space="preserve">TMR </w:t>
      </w:r>
      <w:r w:rsidR="008F1E77">
        <w:t xml:space="preserve">take </w:t>
      </w:r>
      <w:r>
        <w:t xml:space="preserve">further action. </w:t>
      </w:r>
    </w:p>
    <w:p w14:paraId="2DEC4432" w14:textId="6F173D6E" w:rsidR="0027557B" w:rsidRDefault="00933F94" w:rsidP="0027557B">
      <w:pPr>
        <w:spacing w:before="120"/>
      </w:pPr>
      <w:r>
        <w:t xml:space="preserve">A show cause notice is a valuable opportunity for you to respond with steps you intend to take to resolve the issue or explain why you believe </w:t>
      </w:r>
      <w:r w:rsidR="00AB37D3">
        <w:t xml:space="preserve">there should be </w:t>
      </w:r>
      <w:r>
        <w:t xml:space="preserve">no further action. If you do not dispute the allegations, you may advise TMR of the steps you intend to take to resolve the matter and the resolution </w:t>
      </w:r>
      <w:r w:rsidR="00200860">
        <w:t>time limit</w:t>
      </w:r>
      <w:r>
        <w:t>.</w:t>
      </w:r>
    </w:p>
    <w:p w14:paraId="14C8FE07" w14:textId="61F3CBBA" w:rsidR="00971CFE" w:rsidRPr="00971CFE" w:rsidRDefault="00971CFE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39" w:name="_Toc169010693"/>
      <w:bookmarkStart w:id="40" w:name="_Toc169608993"/>
      <w:r w:rsidRPr="00971CFE">
        <w:t xml:space="preserve">Approved </w:t>
      </w:r>
      <w:r w:rsidR="0096582B">
        <w:t>r</w:t>
      </w:r>
      <w:r w:rsidR="0096582B" w:rsidRPr="00971CFE">
        <w:t>outes</w:t>
      </w:r>
      <w:bookmarkEnd w:id="39"/>
      <w:bookmarkEnd w:id="40"/>
    </w:p>
    <w:p w14:paraId="7DC60CE9" w14:textId="50AECC04" w:rsidR="00971CFE" w:rsidRPr="00A9716E" w:rsidRDefault="00971CFE" w:rsidP="00971CFE">
      <w:r w:rsidRPr="00A9716E">
        <w:t xml:space="preserve">An eligible vehicle </w:t>
      </w:r>
      <w:r w:rsidR="007D44B3">
        <w:t xml:space="preserve">may travel </w:t>
      </w:r>
      <w:r w:rsidR="000061CD">
        <w:t xml:space="preserve">on all </w:t>
      </w:r>
      <w:r w:rsidR="000061CD" w:rsidRPr="00374C58">
        <w:rPr>
          <w:b/>
          <w:bCs/>
        </w:rPr>
        <w:t>state-controlled</w:t>
      </w:r>
      <w:r w:rsidR="000061CD">
        <w:t xml:space="preserve"> roads</w:t>
      </w:r>
      <w:r w:rsidR="002C0FEC">
        <w:t xml:space="preserve"> in a 200km radius</w:t>
      </w:r>
      <w:r w:rsidR="007D44B3">
        <w:t xml:space="preserve"> from the sugar mill</w:t>
      </w:r>
      <w:r w:rsidR="00611D19">
        <w:t xml:space="preserve"> </w:t>
      </w:r>
      <w:r w:rsidRPr="00A9716E">
        <w:t xml:space="preserve">on the </w:t>
      </w:r>
      <w:r w:rsidR="007D41DA">
        <w:t xml:space="preserve">approved </w:t>
      </w:r>
      <w:r w:rsidRPr="00A9716E">
        <w:t xml:space="preserve">networks in </w:t>
      </w:r>
      <w:r w:rsidR="009B3130">
        <w:t>T</w:t>
      </w:r>
      <w:r w:rsidRPr="00A9716E">
        <w:t>able 3.</w:t>
      </w:r>
    </w:p>
    <w:p w14:paraId="41DF64B7" w14:textId="23219366" w:rsidR="002E12AA" w:rsidRDefault="002E12AA" w:rsidP="002E12AA">
      <w:pPr>
        <w:pStyle w:val="Caption"/>
        <w:keepNext/>
        <w:spacing w:before="120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E7D3D">
        <w:rPr>
          <w:noProof/>
        </w:rPr>
        <w:t>3</w:t>
      </w:r>
      <w:r>
        <w:rPr>
          <w:noProof/>
        </w:rPr>
        <w:fldChar w:fldCharType="end"/>
      </w:r>
      <w:r>
        <w:t xml:space="preserve"> </w:t>
      </w:r>
      <w:r w:rsidRPr="00F477CC">
        <w:t>N</w:t>
      </w:r>
      <w:r w:rsidR="0010180F">
        <w:t xml:space="preserve">etworks </w:t>
      </w:r>
      <w:r w:rsidR="00BC1BAC">
        <w:t>for eligible vehicles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2"/>
        <w:gridCol w:w="1985"/>
        <w:gridCol w:w="4649"/>
      </w:tblGrid>
      <w:tr w:rsidR="00D22A0F" w14:paraId="1B7CEFC6" w14:textId="77777777" w:rsidTr="00287127">
        <w:trPr>
          <w:trHeight w:val="454"/>
        </w:trPr>
        <w:tc>
          <w:tcPr>
            <w:tcW w:w="1828" w:type="pct"/>
            <w:shd w:val="clear" w:color="auto" w:fill="003C69"/>
            <w:vAlign w:val="center"/>
          </w:tcPr>
          <w:p w14:paraId="6A79A9CE" w14:textId="344F9E9C" w:rsidR="004F6A0D" w:rsidRPr="004E7880" w:rsidRDefault="0037316E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Eligible </w:t>
            </w:r>
            <w:r w:rsidR="00BF71B9"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vehicle</w:t>
            </w:r>
          </w:p>
        </w:tc>
        <w:tc>
          <w:tcPr>
            <w:tcW w:w="949" w:type="pct"/>
            <w:shd w:val="clear" w:color="auto" w:fill="003C69"/>
            <w:vAlign w:val="center"/>
          </w:tcPr>
          <w:p w14:paraId="5874252B" w14:textId="77777777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Maximum length</w:t>
            </w:r>
          </w:p>
        </w:tc>
        <w:tc>
          <w:tcPr>
            <w:tcW w:w="2223" w:type="pct"/>
            <w:shd w:val="clear" w:color="auto" w:fill="003C69"/>
            <w:vAlign w:val="center"/>
          </w:tcPr>
          <w:p w14:paraId="7AC2BA95" w14:textId="6D8494BF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Approved networks</w:t>
            </w:r>
          </w:p>
        </w:tc>
      </w:tr>
      <w:tr w:rsidR="00D22A0F" w14:paraId="058EDDCB" w14:textId="77777777" w:rsidTr="00287127">
        <w:trPr>
          <w:trHeight w:val="680"/>
        </w:trPr>
        <w:tc>
          <w:tcPr>
            <w:tcW w:w="1828" w:type="pct"/>
            <w:vAlign w:val="center"/>
          </w:tcPr>
          <w:p w14:paraId="23074C55" w14:textId="090C34BB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Prime mover towing a semitrailer</w:t>
            </w:r>
          </w:p>
        </w:tc>
        <w:tc>
          <w:tcPr>
            <w:tcW w:w="949" w:type="pct"/>
            <w:vAlign w:val="center"/>
          </w:tcPr>
          <w:p w14:paraId="6A0824B4" w14:textId="7EF558A2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19m</w:t>
            </w:r>
          </w:p>
        </w:tc>
        <w:tc>
          <w:tcPr>
            <w:tcW w:w="2223" w:type="pct"/>
            <w:vAlign w:val="center"/>
          </w:tcPr>
          <w:p w14:paraId="557506B3" w14:textId="77777777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General access</w:t>
            </w:r>
          </w:p>
        </w:tc>
      </w:tr>
      <w:tr w:rsidR="00D22A0F" w14:paraId="41451F55" w14:textId="77777777" w:rsidTr="00287127">
        <w:trPr>
          <w:trHeight w:val="680"/>
        </w:trPr>
        <w:tc>
          <w:tcPr>
            <w:tcW w:w="1828" w:type="pct"/>
            <w:shd w:val="clear" w:color="auto" w:fill="FFFFFF" w:themeFill="background1"/>
            <w:vAlign w:val="center"/>
          </w:tcPr>
          <w:p w14:paraId="54DF6347" w14:textId="77777777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B-double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18F06CEB" w14:textId="44F06076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23m</w:t>
            </w:r>
          </w:p>
        </w:tc>
        <w:tc>
          <w:tcPr>
            <w:tcW w:w="2223" w:type="pct"/>
            <w:shd w:val="clear" w:color="auto" w:fill="FFFFFF" w:themeFill="background1"/>
            <w:vAlign w:val="center"/>
          </w:tcPr>
          <w:p w14:paraId="5A8F29D8" w14:textId="124B4792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23m B-double, 25/26m B-double and Type 1/Type 2 road train networks</w:t>
            </w:r>
          </w:p>
        </w:tc>
      </w:tr>
      <w:tr w:rsidR="00D22A0F" w14:paraId="24E2BC29" w14:textId="77777777" w:rsidTr="00287127">
        <w:trPr>
          <w:trHeight w:val="680"/>
        </w:trPr>
        <w:tc>
          <w:tcPr>
            <w:tcW w:w="1828" w:type="pct"/>
            <w:vAlign w:val="center"/>
          </w:tcPr>
          <w:p w14:paraId="13CFCDE2" w14:textId="6D0559F8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B-double</w:t>
            </w:r>
          </w:p>
        </w:tc>
        <w:tc>
          <w:tcPr>
            <w:tcW w:w="949" w:type="pct"/>
            <w:vAlign w:val="center"/>
          </w:tcPr>
          <w:p w14:paraId="261A0DF3" w14:textId="7E66704A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25/26m</w:t>
            </w:r>
          </w:p>
        </w:tc>
        <w:tc>
          <w:tcPr>
            <w:tcW w:w="2223" w:type="pct"/>
            <w:vAlign w:val="center"/>
          </w:tcPr>
          <w:p w14:paraId="5095FB9E" w14:textId="77777777" w:rsidR="004F6A0D" w:rsidRPr="004E7880" w:rsidRDefault="004F6A0D" w:rsidP="00627A0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7880">
              <w:rPr>
                <w:rFonts w:asciiTheme="minorHAnsi" w:eastAsiaTheme="minorEastAsia" w:hAnsiTheme="minorHAnsi" w:cstheme="minorHAnsi"/>
                <w:sz w:val="20"/>
                <w:szCs w:val="20"/>
              </w:rPr>
              <w:t>25/26m B-double and Type 1/Type 2 road train networks</w:t>
            </w:r>
          </w:p>
        </w:tc>
      </w:tr>
    </w:tbl>
    <w:p w14:paraId="09110AB3" w14:textId="72EA1D20" w:rsidR="00971CFE" w:rsidRPr="00A9716E" w:rsidRDefault="00000000" w:rsidP="00424CF6">
      <w:pPr>
        <w:spacing w:before="120"/>
      </w:pPr>
      <w:hyperlink r:id="rId16" w:history="1">
        <w:r w:rsidR="00971CFE" w:rsidRPr="00A9716E">
          <w:rPr>
            <w:rStyle w:val="Hyperlink"/>
          </w:rPr>
          <w:t>Queensland Globe</w:t>
        </w:r>
      </w:hyperlink>
      <w:r w:rsidR="00971CFE" w:rsidRPr="00971CFE">
        <w:rPr>
          <w:color w:val="FF0000"/>
        </w:rPr>
        <w:t xml:space="preserve"> </w:t>
      </w:r>
      <w:r w:rsidR="00971CFE" w:rsidRPr="00A9716E">
        <w:t xml:space="preserve">provides </w:t>
      </w:r>
      <w:r w:rsidR="00AE713A">
        <w:t>state-</w:t>
      </w:r>
      <w:r w:rsidR="00E42A5E">
        <w:t>controlled roads</w:t>
      </w:r>
      <w:r w:rsidR="002F300C">
        <w:t xml:space="preserve">, </w:t>
      </w:r>
      <w:r w:rsidR="00E42A5E">
        <w:t>critical areas</w:t>
      </w:r>
      <w:r w:rsidR="002F300C">
        <w:t>,</w:t>
      </w:r>
      <w:r w:rsidR="00971CFE" w:rsidRPr="00A9716E">
        <w:t xml:space="preserve"> and </w:t>
      </w:r>
      <w:r w:rsidR="002F300C">
        <w:t>critical and major roads, for all other networks refer to</w:t>
      </w:r>
      <w:r w:rsidR="00971CFE" w:rsidRPr="00A9716E">
        <w:t xml:space="preserve"> the </w:t>
      </w:r>
      <w:hyperlink r:id="rId17" w:history="1">
        <w:r w:rsidR="00AE713A" w:rsidRPr="00AE713A">
          <w:rPr>
            <w:rStyle w:val="Hyperlink"/>
          </w:rPr>
          <w:t>NHVR National Network Map</w:t>
        </w:r>
      </w:hyperlink>
      <w:r w:rsidR="00971CFE" w:rsidRPr="00A9716E">
        <w:t>.</w:t>
      </w:r>
    </w:p>
    <w:p w14:paraId="6A2DF141" w14:textId="77777777" w:rsidR="00C47CE8" w:rsidRDefault="00C47CE8">
      <w:pPr>
        <w:spacing w:after="160" w:line="259" w:lineRule="auto"/>
        <w:rPr>
          <w:rFonts w:eastAsiaTheme="majorEastAsia" w:cstheme="majorBidi"/>
          <w:b/>
          <w:color w:val="003E69"/>
          <w:sz w:val="44"/>
          <w:szCs w:val="32"/>
        </w:rPr>
      </w:pPr>
      <w:bookmarkStart w:id="41" w:name="_Toc169010694"/>
      <w:r>
        <w:br w:type="page"/>
      </w:r>
    </w:p>
    <w:p w14:paraId="6DD43430" w14:textId="5B265F96" w:rsidR="00971CFE" w:rsidRPr="00971CFE" w:rsidRDefault="00971CFE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42" w:name="_Toc169608994"/>
      <w:r w:rsidRPr="00971CFE">
        <w:lastRenderedPageBreak/>
        <w:t xml:space="preserve">Local </w:t>
      </w:r>
      <w:r w:rsidR="0096582B">
        <w:t>r</w:t>
      </w:r>
      <w:r w:rsidR="0096582B" w:rsidRPr="00971CFE">
        <w:t xml:space="preserve">oad </w:t>
      </w:r>
      <w:r w:rsidR="0096582B">
        <w:t>m</w:t>
      </w:r>
      <w:r w:rsidR="0096582B" w:rsidRPr="00971CFE">
        <w:t xml:space="preserve">anager </w:t>
      </w:r>
      <w:r w:rsidR="0096582B">
        <w:t>a</w:t>
      </w:r>
      <w:r w:rsidR="0096582B" w:rsidRPr="00971CFE">
        <w:t>pproval</w:t>
      </w:r>
      <w:bookmarkEnd w:id="41"/>
      <w:bookmarkEnd w:id="42"/>
    </w:p>
    <w:p w14:paraId="7ECE4E86" w14:textId="65BF9B8F" w:rsidR="002938F3" w:rsidRDefault="00971CFE" w:rsidP="00971CFE">
      <w:r w:rsidRPr="00A9716E">
        <w:t>The Notice provides access to state-controlled roads</w:t>
      </w:r>
      <w:r w:rsidR="00DC1E47">
        <w:t>.</w:t>
      </w:r>
      <w:r w:rsidRPr="00A9716E">
        <w:t xml:space="preserve"> </w:t>
      </w:r>
      <w:r w:rsidR="00DC1E47">
        <w:t>A</w:t>
      </w:r>
      <w:r w:rsidR="00C91474">
        <w:t>n eligible vehicle</w:t>
      </w:r>
      <w:r w:rsidR="00DA4F30">
        <w:t xml:space="preserve"> operating above general mass limits will require </w:t>
      </w:r>
      <w:r w:rsidRPr="00A9716E">
        <w:t xml:space="preserve">a </w:t>
      </w:r>
      <w:hyperlink r:id="rId18" w:history="1">
        <w:r w:rsidR="00E348B9">
          <w:rPr>
            <w:rStyle w:val="Hyperlink"/>
          </w:rPr>
          <w:t>NHVR permit</w:t>
        </w:r>
      </w:hyperlink>
      <w:r w:rsidRPr="00A9716E">
        <w:t xml:space="preserve"> to operate on council or private roads.</w:t>
      </w:r>
      <w:r w:rsidR="00800D76">
        <w:t xml:space="preserve"> </w:t>
      </w:r>
    </w:p>
    <w:p w14:paraId="2BD06D7F" w14:textId="39514578" w:rsidR="00971CFE" w:rsidRPr="00A9716E" w:rsidRDefault="00971CFE" w:rsidP="00424CF6">
      <w:pPr>
        <w:spacing w:before="120"/>
      </w:pPr>
      <w:r w:rsidRPr="00A9716E">
        <w:t xml:space="preserve">The permit must be in the </w:t>
      </w:r>
      <w:r w:rsidR="00EC0C68">
        <w:t xml:space="preserve">eligible </w:t>
      </w:r>
      <w:r w:rsidRPr="00A9716E">
        <w:t xml:space="preserve">vehicle </w:t>
      </w:r>
      <w:bookmarkStart w:id="43" w:name="_Hlk169268460"/>
      <w:r w:rsidRPr="00A9716E">
        <w:t>or produced electronically when requested</w:t>
      </w:r>
      <w:bookmarkEnd w:id="43"/>
      <w:r w:rsidRPr="00A9716E">
        <w:t xml:space="preserve"> by a</w:t>
      </w:r>
      <w:r w:rsidR="00B222A4">
        <w:t xml:space="preserve"> </w:t>
      </w:r>
      <w:r w:rsidR="00B222A4" w:rsidRPr="00874B37">
        <w:t xml:space="preserve">NHVR Safety </w:t>
      </w:r>
      <w:r w:rsidR="004C273B" w:rsidRPr="004C273B">
        <w:t>Compliance</w:t>
      </w:r>
      <w:r w:rsidR="004C273B">
        <w:t xml:space="preserve"> </w:t>
      </w:r>
      <w:r w:rsidR="00B222A4" w:rsidRPr="00874B37">
        <w:t>Officer</w:t>
      </w:r>
      <w:r w:rsidRPr="00A9716E">
        <w:t>.</w:t>
      </w:r>
    </w:p>
    <w:p w14:paraId="760563DB" w14:textId="2999C694" w:rsidR="00971CFE" w:rsidRPr="00971CFE" w:rsidRDefault="00971CFE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44" w:name="_Toc169010695"/>
      <w:bookmarkStart w:id="45" w:name="_Toc169608995"/>
      <w:r w:rsidRPr="00971CFE">
        <w:t xml:space="preserve">Temporary </w:t>
      </w:r>
      <w:r w:rsidR="0096582B">
        <w:t>r</w:t>
      </w:r>
      <w:r w:rsidR="0096582B" w:rsidRPr="00971CFE">
        <w:t xml:space="preserve">oad </w:t>
      </w:r>
      <w:r w:rsidR="0096582B">
        <w:t>r</w:t>
      </w:r>
      <w:r w:rsidR="0096582B" w:rsidRPr="00971CFE">
        <w:t xml:space="preserve">estrictions </w:t>
      </w:r>
      <w:r w:rsidRPr="00971CFE">
        <w:t xml:space="preserve">and </w:t>
      </w:r>
      <w:r w:rsidR="0096582B">
        <w:t>c</w:t>
      </w:r>
      <w:r w:rsidR="0096582B" w:rsidRPr="00971CFE">
        <w:t>losures</w:t>
      </w:r>
      <w:bookmarkEnd w:id="44"/>
      <w:bookmarkEnd w:id="45"/>
    </w:p>
    <w:p w14:paraId="47D4D264" w14:textId="607930C1" w:rsidR="00971CFE" w:rsidRPr="00A9716E" w:rsidRDefault="002D799D" w:rsidP="00971CFE">
      <w:r>
        <w:t>T</w:t>
      </w:r>
      <w:r w:rsidR="00971CFE" w:rsidRPr="00A9716E">
        <w:t>emporary road closures or mass restrictions</w:t>
      </w:r>
      <w:r>
        <w:t xml:space="preserve"> may restrict heavy vehicle movements</w:t>
      </w:r>
      <w:r w:rsidR="00971CFE" w:rsidRPr="00A9716E">
        <w:t>.</w:t>
      </w:r>
    </w:p>
    <w:p w14:paraId="2BF44DBC" w14:textId="62180545" w:rsidR="00A9716E" w:rsidRDefault="00971CFE" w:rsidP="0025071D">
      <w:pPr>
        <w:spacing w:before="120"/>
      </w:pPr>
      <w:r w:rsidRPr="00A9716E">
        <w:t xml:space="preserve">The driver and operator of a heavy vehicle must be aware of, and comply with, any temporary road closure or restriction for the proposed time of travel. Temporary restrictions are available on the </w:t>
      </w:r>
      <w:hyperlink r:id="rId19" w:history="1">
        <w:r w:rsidRPr="004B3FB4">
          <w:rPr>
            <w:rStyle w:val="Hyperlink"/>
          </w:rPr>
          <w:t>QLD Traffic website</w:t>
        </w:r>
      </w:hyperlink>
      <w:r w:rsidRPr="00A9716E">
        <w:t xml:space="preserve">, by downloading the QLD Traffic app or by </w:t>
      </w:r>
      <w:r w:rsidR="00AA76FA">
        <w:t>calling</w:t>
      </w:r>
      <w:r w:rsidR="00AA76FA" w:rsidRPr="00A9716E">
        <w:t xml:space="preserve"> </w:t>
      </w:r>
      <w:r w:rsidRPr="00A9716E">
        <w:t>13 19 40.</w:t>
      </w:r>
    </w:p>
    <w:p w14:paraId="10EAFDA6" w14:textId="39F2ECAB" w:rsidR="0057433F" w:rsidRPr="00971CFE" w:rsidRDefault="0057433F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46" w:name="_Toc169010696"/>
      <w:bookmarkStart w:id="47" w:name="_Toc169608996"/>
      <w:r w:rsidRPr="0032070D">
        <w:t>Chain of Responsibility</w:t>
      </w:r>
      <w:bookmarkEnd w:id="46"/>
      <w:bookmarkEnd w:id="47"/>
    </w:p>
    <w:p w14:paraId="2211888C" w14:textId="69D4B55C" w:rsidR="0057433F" w:rsidRDefault="0057433F" w:rsidP="0057433F">
      <w:r>
        <w:t>The Chain of Responsibility (CoR) is the part of the HVNL that makes parties other than drivers responsible for the safety of heavy vehicles on the road.</w:t>
      </w:r>
    </w:p>
    <w:p w14:paraId="15B02207" w14:textId="7F1AE0D4" w:rsidR="0057433F" w:rsidRDefault="0057433F" w:rsidP="0057433F">
      <w:pPr>
        <w:spacing w:before="120"/>
      </w:pPr>
      <w:r>
        <w:t>Everyone who works with heavy vehicles - from the business that employs a driver or owns a vehicle, to the business that sends or receives goods</w:t>
      </w:r>
      <w:r w:rsidR="00FF3E69">
        <w:t xml:space="preserve"> -</w:t>
      </w:r>
      <w:r>
        <w:t xml:space="preserve"> is accountable for the safety of the heavy vehicle, its driver, and its load throughout the journey.</w:t>
      </w:r>
    </w:p>
    <w:p w14:paraId="21161EBE" w14:textId="77777777" w:rsidR="0057433F" w:rsidRDefault="0057433F" w:rsidP="0057433F">
      <w:pPr>
        <w:spacing w:before="240"/>
      </w:pPr>
      <w:r w:rsidRPr="004B3FB4">
        <w:t xml:space="preserve">To learn more about your CoR obligations refer to the </w:t>
      </w:r>
      <w:hyperlink r:id="rId20" w:history="1">
        <w:r w:rsidRPr="004B3FB4">
          <w:rPr>
            <w:rStyle w:val="Hyperlink"/>
          </w:rPr>
          <w:t>NHVR Chain of Responsibility webpage</w:t>
        </w:r>
      </w:hyperlink>
      <w:r w:rsidRPr="004B3FB4">
        <w:t>.</w:t>
      </w:r>
    </w:p>
    <w:p w14:paraId="2FFC8625" w14:textId="77777777" w:rsidR="00890A23" w:rsidRDefault="00890A23" w:rsidP="0057433F">
      <w:pPr>
        <w:spacing w:before="240"/>
      </w:pPr>
    </w:p>
    <w:p w14:paraId="40B5A52E" w14:textId="77777777" w:rsidR="00890A23" w:rsidRDefault="00890A23" w:rsidP="0057433F">
      <w:pPr>
        <w:spacing w:before="240"/>
      </w:pPr>
    </w:p>
    <w:p w14:paraId="2CC3D12A" w14:textId="77777777" w:rsidR="00045BEC" w:rsidRDefault="00045BEC">
      <w:pPr>
        <w:spacing w:after="160" w:line="259" w:lineRule="auto"/>
        <w:rPr>
          <w:rFonts w:eastAsiaTheme="majorEastAsia" w:cstheme="majorBidi"/>
          <w:b/>
          <w:color w:val="003E69"/>
          <w:sz w:val="60"/>
          <w:szCs w:val="36"/>
        </w:rPr>
      </w:pPr>
      <w:r>
        <w:br w:type="page"/>
      </w:r>
    </w:p>
    <w:p w14:paraId="15A3F13F" w14:textId="5AC75990" w:rsidR="00C802DD" w:rsidRDefault="00C802DD" w:rsidP="00C563B4">
      <w:pPr>
        <w:pStyle w:val="Heading1"/>
        <w:spacing w:before="120"/>
      </w:pPr>
      <w:bookmarkStart w:id="48" w:name="_Toc169010697"/>
      <w:bookmarkStart w:id="49" w:name="_Toc169608997"/>
      <w:r>
        <w:lastRenderedPageBreak/>
        <w:t xml:space="preserve">Part 3 </w:t>
      </w:r>
      <w:r w:rsidR="00473FD7">
        <w:t xml:space="preserve">Sugar </w:t>
      </w:r>
      <w:r w:rsidR="0096582B">
        <w:t xml:space="preserve">mill </w:t>
      </w:r>
      <w:r>
        <w:t xml:space="preserve">and </w:t>
      </w:r>
      <w:r w:rsidR="0096582B">
        <w:t>transport operator conditions</w:t>
      </w:r>
      <w:bookmarkEnd w:id="48"/>
      <w:bookmarkEnd w:id="49"/>
    </w:p>
    <w:p w14:paraId="744357D1" w14:textId="6279AE6F" w:rsidR="00C802DD" w:rsidRPr="00971CFE" w:rsidRDefault="00473FD7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50" w:name="_Toc169010698"/>
      <w:bookmarkStart w:id="51" w:name="_Toc169608998"/>
      <w:r>
        <w:t>S</w:t>
      </w:r>
      <w:r w:rsidRPr="00971CFE">
        <w:t xml:space="preserve">ugar </w:t>
      </w:r>
      <w:r w:rsidR="0096582B">
        <w:t>m</w:t>
      </w:r>
      <w:r w:rsidR="0096582B" w:rsidRPr="00971CFE">
        <w:t xml:space="preserve">ill </w:t>
      </w:r>
      <w:r w:rsidR="0096582B">
        <w:t>c</w:t>
      </w:r>
      <w:r w:rsidR="0096582B" w:rsidRPr="00971CFE">
        <w:t>onditions</w:t>
      </w:r>
      <w:bookmarkEnd w:id="50"/>
      <w:bookmarkEnd w:id="51"/>
    </w:p>
    <w:p w14:paraId="0EB43409" w14:textId="712B0940" w:rsidR="005340FA" w:rsidRDefault="00454DCD" w:rsidP="00A66D0D">
      <w:r>
        <w:t>The s</w:t>
      </w:r>
      <w:r w:rsidR="00441494">
        <w:t>ugar mill</w:t>
      </w:r>
      <w:r w:rsidR="00EE09E7" w:rsidRPr="00775B73">
        <w:t xml:space="preserve"> agree</w:t>
      </w:r>
      <w:r>
        <w:t>s</w:t>
      </w:r>
      <w:r w:rsidR="00EE09E7" w:rsidRPr="00775B73">
        <w:t xml:space="preserve"> to participate in the </w:t>
      </w:r>
      <w:r w:rsidR="00441494">
        <w:t>S</w:t>
      </w:r>
      <w:r w:rsidR="00EE09E7" w:rsidRPr="00775B73">
        <w:t>MMS via a signed MoU with TMR.</w:t>
      </w:r>
    </w:p>
    <w:p w14:paraId="14093D7D" w14:textId="691D44E0" w:rsidR="0086530E" w:rsidRDefault="00EE09E7" w:rsidP="00592160">
      <w:pPr>
        <w:spacing w:before="120"/>
      </w:pPr>
      <w:r w:rsidRPr="00775B73">
        <w:t xml:space="preserve">The </w:t>
      </w:r>
      <w:r w:rsidR="00441494">
        <w:t>sugar mill</w:t>
      </w:r>
      <w:r w:rsidRPr="00775B73">
        <w:t xml:space="preserve"> must </w:t>
      </w:r>
      <w:bookmarkStart w:id="52" w:name="_Hlk161815306"/>
      <w:r w:rsidRPr="00775B73">
        <w:t xml:space="preserve">comply with the MoU, </w:t>
      </w:r>
      <w:r w:rsidR="00E3671B">
        <w:t xml:space="preserve">the </w:t>
      </w:r>
      <w:r w:rsidR="00506D2E" w:rsidRPr="00775B73">
        <w:t>Guide,</w:t>
      </w:r>
      <w:r w:rsidR="005340FA">
        <w:t xml:space="preserve"> and</w:t>
      </w:r>
      <w:r w:rsidR="005340FA" w:rsidRPr="00775B73">
        <w:t xml:space="preserve"> </w:t>
      </w:r>
      <w:r w:rsidRPr="00775B73">
        <w:t>the Notice</w:t>
      </w:r>
      <w:bookmarkEnd w:id="52"/>
      <w:r w:rsidR="00E663D3">
        <w:t>.</w:t>
      </w:r>
    </w:p>
    <w:p w14:paraId="4F6EA5AD" w14:textId="19DB09AD" w:rsidR="00EE09E7" w:rsidRPr="00775B73" w:rsidRDefault="0086530E" w:rsidP="00592160">
      <w:pPr>
        <w:spacing w:before="120"/>
      </w:pPr>
      <w:r>
        <w:t xml:space="preserve">The sugar mill </w:t>
      </w:r>
      <w:r w:rsidR="00EE09E7" w:rsidRPr="00775B73">
        <w:t>is responsible for ensuring enrolled participants comply with the Participation Guide.</w:t>
      </w:r>
    </w:p>
    <w:p w14:paraId="568CDFDD" w14:textId="3AFC2F78" w:rsidR="00C802DD" w:rsidRPr="00041B39" w:rsidRDefault="00C802DD" w:rsidP="00592160">
      <w:pPr>
        <w:spacing w:before="120"/>
      </w:pPr>
      <w:r w:rsidRPr="00041B39">
        <w:t xml:space="preserve">The </w:t>
      </w:r>
      <w:r w:rsidR="0075479E" w:rsidRPr="00041B39">
        <w:t>sugar mill</w:t>
      </w:r>
      <w:r w:rsidRPr="00041B39">
        <w:t xml:space="preserve"> must have appropriate systems and procedures to manage the daily operation of the </w:t>
      </w:r>
      <w:r w:rsidR="00FB7B96">
        <w:t>SMMS</w:t>
      </w:r>
      <w:r w:rsidRPr="00041B39">
        <w:t>,</w:t>
      </w:r>
      <w:r w:rsidR="00FB7B96">
        <w:t xml:space="preserve"> including</w:t>
      </w:r>
      <w:r w:rsidRPr="00041B39">
        <w:t xml:space="preserve"> collection and reporting of mass data.</w:t>
      </w:r>
    </w:p>
    <w:p w14:paraId="647FF8A2" w14:textId="7171B1DE" w:rsidR="00C802DD" w:rsidRPr="00041B39" w:rsidRDefault="00C802DD" w:rsidP="00592160">
      <w:pPr>
        <w:spacing w:before="120"/>
      </w:pPr>
      <w:r w:rsidRPr="00041B39">
        <w:t xml:space="preserve">The </w:t>
      </w:r>
      <w:r w:rsidR="00EF2036" w:rsidRPr="00041B39">
        <w:t>sugar mill</w:t>
      </w:r>
      <w:r w:rsidRPr="00041B39">
        <w:t xml:space="preserve"> </w:t>
      </w:r>
      <w:r w:rsidR="00DF21E4">
        <w:t>must</w:t>
      </w:r>
      <w:r w:rsidRPr="00041B39">
        <w:t>:</w:t>
      </w:r>
    </w:p>
    <w:p w14:paraId="0C7B376F" w14:textId="65A5E30D" w:rsidR="00ED676B" w:rsidRPr="00041B39" w:rsidRDefault="00ED676B" w:rsidP="00AA4A6C">
      <w:pPr>
        <w:pStyle w:val="ListParagraph"/>
        <w:numPr>
          <w:ilvl w:val="0"/>
          <w:numId w:val="20"/>
        </w:numPr>
      </w:pPr>
      <w:bookmarkStart w:id="53" w:name="_Hlk162516169"/>
      <w:r w:rsidRPr="00041B39">
        <w:t xml:space="preserve">Provide </w:t>
      </w:r>
      <w:r w:rsidR="00DF21E4">
        <w:t xml:space="preserve">SMMS </w:t>
      </w:r>
      <w:r w:rsidRPr="00041B39">
        <w:t xml:space="preserve">training to staff </w:t>
      </w:r>
      <w:r w:rsidR="00B73DBD">
        <w:t>to ensure compliance</w:t>
      </w:r>
      <w:r w:rsidRPr="00041B39">
        <w:t xml:space="preserve"> with this Guide, the Notice, and all other heavy vehicle transport laws</w:t>
      </w:r>
      <w:r w:rsidR="00730605">
        <w:t>,</w:t>
      </w:r>
    </w:p>
    <w:p w14:paraId="1C724B5A" w14:textId="5D87CE45" w:rsidR="00C802DD" w:rsidRPr="00041B39" w:rsidRDefault="00E76F15" w:rsidP="00AA4A6C">
      <w:pPr>
        <w:pStyle w:val="ListParagraph"/>
        <w:numPr>
          <w:ilvl w:val="0"/>
          <w:numId w:val="20"/>
        </w:numPr>
      </w:pPr>
      <w:r w:rsidRPr="00041B39">
        <w:t xml:space="preserve">Enrol </w:t>
      </w:r>
      <w:bookmarkEnd w:id="53"/>
      <w:r w:rsidR="00C802DD" w:rsidRPr="00041B39">
        <w:t>eligible vehicles</w:t>
      </w:r>
      <w:r w:rsidR="0032449F">
        <w:t xml:space="preserve"> and record in the eligible vehicle register</w:t>
      </w:r>
      <w:r w:rsidR="00730605">
        <w:t>,</w:t>
      </w:r>
    </w:p>
    <w:p w14:paraId="7B52B5F9" w14:textId="045E436C" w:rsidR="00A87049" w:rsidRPr="00041B39" w:rsidRDefault="00A87049" w:rsidP="00AA4A6C">
      <w:pPr>
        <w:pStyle w:val="ListParagraph"/>
        <w:numPr>
          <w:ilvl w:val="0"/>
          <w:numId w:val="20"/>
        </w:numPr>
      </w:pPr>
      <w:r w:rsidRPr="00041B39">
        <w:t xml:space="preserve">Enrol </w:t>
      </w:r>
      <w:r w:rsidR="009C2C47" w:rsidRPr="00041B39">
        <w:t>harvester</w:t>
      </w:r>
      <w:r w:rsidR="00473FD7">
        <w:t xml:space="preserve"> contractor</w:t>
      </w:r>
      <w:r w:rsidR="009C2C47" w:rsidRPr="00041B39">
        <w:t>s</w:t>
      </w:r>
      <w:r w:rsidR="0032449F">
        <w:t xml:space="preserve"> and recor</w:t>
      </w:r>
      <w:r w:rsidR="006C1D20">
        <w:t>d in the harvester register</w:t>
      </w:r>
      <w:r w:rsidR="00730605">
        <w:t>,</w:t>
      </w:r>
    </w:p>
    <w:p w14:paraId="67C16FC5" w14:textId="2564B044" w:rsidR="00C802DD" w:rsidRPr="00041B39" w:rsidRDefault="00072664" w:rsidP="00AA4A6C">
      <w:pPr>
        <w:pStyle w:val="ListParagraph"/>
        <w:numPr>
          <w:ilvl w:val="0"/>
          <w:numId w:val="20"/>
        </w:numPr>
      </w:pPr>
      <w:r w:rsidRPr="00041B39">
        <w:t>Issu</w:t>
      </w:r>
      <w:r>
        <w:t>e</w:t>
      </w:r>
      <w:r w:rsidRPr="00041B39">
        <w:t xml:space="preserve"> </w:t>
      </w:r>
      <w:r w:rsidR="00C802DD" w:rsidRPr="00041B39">
        <w:t xml:space="preserve">an annual </w:t>
      </w:r>
      <w:r w:rsidR="009C2C47" w:rsidRPr="00041B39">
        <w:t>Certificate of Participation</w:t>
      </w:r>
      <w:r w:rsidR="00730605">
        <w:t>,</w:t>
      </w:r>
    </w:p>
    <w:p w14:paraId="02E9BBA0" w14:textId="5A3599E9" w:rsidR="00C802DD" w:rsidRPr="00041B39" w:rsidRDefault="00223791" w:rsidP="00AA4A6C">
      <w:pPr>
        <w:pStyle w:val="ListParagraph"/>
        <w:numPr>
          <w:ilvl w:val="0"/>
          <w:numId w:val="20"/>
        </w:numPr>
      </w:pPr>
      <w:r w:rsidRPr="00041B39">
        <w:t xml:space="preserve">Take </w:t>
      </w:r>
      <w:r w:rsidR="00C802DD" w:rsidRPr="00041B39">
        <w:t>necessary action</w:t>
      </w:r>
      <w:r w:rsidR="00730605">
        <w:t>s</w:t>
      </w:r>
      <w:r w:rsidR="00C802DD" w:rsidRPr="00041B39">
        <w:t xml:space="preserve"> to control and correct non-compliant vehicles</w:t>
      </w:r>
      <w:r w:rsidR="00730605">
        <w:t>,</w:t>
      </w:r>
    </w:p>
    <w:p w14:paraId="5BCFA18B" w14:textId="306780CB" w:rsidR="00C802DD" w:rsidRPr="00041B39" w:rsidRDefault="0079686D" w:rsidP="00AA4A6C">
      <w:pPr>
        <w:pStyle w:val="ListParagraph"/>
        <w:numPr>
          <w:ilvl w:val="0"/>
          <w:numId w:val="20"/>
        </w:numPr>
      </w:pPr>
      <w:r w:rsidRPr="00041B39">
        <w:t>Remov</w:t>
      </w:r>
      <w:r w:rsidR="00701489">
        <w:t>e</w:t>
      </w:r>
      <w:r w:rsidR="00C802DD" w:rsidRPr="00041B39">
        <w:t xml:space="preserve"> </w:t>
      </w:r>
      <w:r w:rsidR="00DC29E8">
        <w:t xml:space="preserve">eligible </w:t>
      </w:r>
      <w:r w:rsidR="00C802DD" w:rsidRPr="00041B39">
        <w:t>vehicles</w:t>
      </w:r>
      <w:r w:rsidR="00F206CC">
        <w:t xml:space="preserve"> not complying with SMMS conditions</w:t>
      </w:r>
      <w:r w:rsidR="00F93E59">
        <w:t>,</w:t>
      </w:r>
    </w:p>
    <w:p w14:paraId="79819792" w14:textId="4330FEEC" w:rsidR="00C802DD" w:rsidRPr="00041B39" w:rsidRDefault="000A4523" w:rsidP="00AA4A6C">
      <w:pPr>
        <w:pStyle w:val="ListParagraph"/>
        <w:numPr>
          <w:ilvl w:val="0"/>
          <w:numId w:val="20"/>
        </w:numPr>
      </w:pPr>
      <w:r w:rsidRPr="00041B39">
        <w:t xml:space="preserve">Record </w:t>
      </w:r>
      <w:r w:rsidR="00C802DD" w:rsidRPr="00041B39">
        <w:t xml:space="preserve">and report as </w:t>
      </w:r>
      <w:r w:rsidR="00E76BF8">
        <w:t>per</w:t>
      </w:r>
      <w:r w:rsidR="00845717">
        <w:t xml:space="preserve"> conditions</w:t>
      </w:r>
      <w:r w:rsidR="00E76BF8">
        <w:t xml:space="preserve"> </w:t>
      </w:r>
      <w:r w:rsidR="00C802DD" w:rsidRPr="00041B39">
        <w:t xml:space="preserve">listed in </w:t>
      </w:r>
      <w:hyperlink w:anchor="_Part_4_Reporting" w:history="1">
        <w:r w:rsidR="000A4D4E" w:rsidRPr="006C1D20">
          <w:rPr>
            <w:rStyle w:val="Hyperlink"/>
          </w:rPr>
          <w:t>Part 4</w:t>
        </w:r>
        <w:r w:rsidR="00C802DD" w:rsidRPr="006C1D20">
          <w:rPr>
            <w:rStyle w:val="Hyperlink"/>
          </w:rPr>
          <w:t xml:space="preserve"> (Reporting Conditions)</w:t>
        </w:r>
      </w:hyperlink>
      <w:r w:rsidR="00C802DD" w:rsidRPr="00041B39">
        <w:t>.</w:t>
      </w:r>
    </w:p>
    <w:p w14:paraId="2ABC6F6B" w14:textId="7489166D" w:rsidR="00602A3B" w:rsidRPr="00041B39" w:rsidRDefault="00D46620" w:rsidP="00AA4A6C">
      <w:pPr>
        <w:pStyle w:val="ListParagraph"/>
        <w:numPr>
          <w:ilvl w:val="0"/>
          <w:numId w:val="20"/>
        </w:numPr>
      </w:pPr>
      <w:r>
        <w:t>Ensure w</w:t>
      </w:r>
      <w:r w:rsidR="00C85DDE" w:rsidRPr="00041B39">
        <w:t>eighbridges have a current weighbridge calibration certificate</w:t>
      </w:r>
      <w:r w:rsidR="00E65FD4">
        <w:t>.</w:t>
      </w:r>
      <w:r w:rsidR="00D00AA6" w:rsidRPr="00041B39">
        <w:t xml:space="preserve"> </w:t>
      </w:r>
      <w:r w:rsidR="001B3861">
        <w:t>The sugar mill must have a</w:t>
      </w:r>
      <w:r w:rsidR="0039725E">
        <w:t xml:space="preserve"> </w:t>
      </w:r>
      <w:r w:rsidR="000C20D5">
        <w:t xml:space="preserve">calibrated and </w:t>
      </w:r>
      <w:r w:rsidR="00D00AA6" w:rsidRPr="00041B39">
        <w:t>certified weighbridge</w:t>
      </w:r>
      <w:r w:rsidR="00217BF1">
        <w:t xml:space="preserve"> </w:t>
      </w:r>
      <w:r w:rsidR="0039725E">
        <w:t>to operate under the SMMS</w:t>
      </w:r>
      <w:r w:rsidR="00602A3B" w:rsidRPr="00041B39">
        <w:t>.</w:t>
      </w:r>
    </w:p>
    <w:p w14:paraId="1D96B645" w14:textId="00DE0EF8" w:rsidR="00312B77" w:rsidRPr="00041B39" w:rsidRDefault="006B3056" w:rsidP="00AA4A6C">
      <w:pPr>
        <w:pStyle w:val="ListParagraph"/>
        <w:numPr>
          <w:ilvl w:val="0"/>
          <w:numId w:val="20"/>
        </w:numPr>
      </w:pPr>
      <w:r>
        <w:t>A</w:t>
      </w:r>
      <w:r w:rsidR="00312B77" w:rsidRPr="00041B39">
        <w:t xml:space="preserve">ccurately record the mass of the </w:t>
      </w:r>
      <w:r w:rsidR="00B55AF9">
        <w:t xml:space="preserve">vehicle or </w:t>
      </w:r>
      <w:r w:rsidR="00312B77" w:rsidRPr="00041B39">
        <w:t>combination from the weighbridge.</w:t>
      </w:r>
    </w:p>
    <w:p w14:paraId="7BA0C049" w14:textId="575F7670" w:rsidR="00C802DD" w:rsidRPr="00041B39" w:rsidRDefault="002B5687" w:rsidP="00AA4A6C">
      <w:pPr>
        <w:pStyle w:val="ListParagraph"/>
        <w:numPr>
          <w:ilvl w:val="0"/>
          <w:numId w:val="20"/>
        </w:numPr>
      </w:pPr>
      <w:r>
        <w:t>Provide a</w:t>
      </w:r>
      <w:r w:rsidRPr="00041B39">
        <w:t xml:space="preserve">dministrative </w:t>
      </w:r>
      <w:r w:rsidR="00C802DD" w:rsidRPr="00041B39">
        <w:t>duties associated with the above tasks.</w:t>
      </w:r>
    </w:p>
    <w:p w14:paraId="643129A9" w14:textId="1E9501C9" w:rsidR="00C802DD" w:rsidRPr="00971CFE" w:rsidRDefault="00C802DD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54" w:name="_Toc169010699"/>
      <w:bookmarkStart w:id="55" w:name="_Toc169608999"/>
      <w:r w:rsidRPr="00971CFE">
        <w:t xml:space="preserve">Transport </w:t>
      </w:r>
      <w:r w:rsidR="0096582B">
        <w:t>o</w:t>
      </w:r>
      <w:r w:rsidR="0096582B" w:rsidRPr="00971CFE">
        <w:t xml:space="preserve">perator </w:t>
      </w:r>
      <w:r w:rsidR="0096582B">
        <w:t>c</w:t>
      </w:r>
      <w:r w:rsidR="0096582B" w:rsidRPr="00971CFE">
        <w:t>onditions</w:t>
      </w:r>
      <w:bookmarkEnd w:id="54"/>
      <w:bookmarkEnd w:id="55"/>
    </w:p>
    <w:p w14:paraId="4D182484" w14:textId="77777777" w:rsidR="00C802DD" w:rsidRPr="00F7380E" w:rsidRDefault="00C802DD" w:rsidP="00C802DD">
      <w:r w:rsidRPr="00F7380E">
        <w:t>Transport operators must:</w:t>
      </w:r>
    </w:p>
    <w:p w14:paraId="5AD10E0C" w14:textId="77777777" w:rsidR="00247671" w:rsidRDefault="00C802DD" w:rsidP="00380479">
      <w:pPr>
        <w:pStyle w:val="ListParagraph"/>
        <w:numPr>
          <w:ilvl w:val="0"/>
          <w:numId w:val="34"/>
        </w:numPr>
      </w:pPr>
      <w:r w:rsidRPr="00F7380E">
        <w:t xml:space="preserve">Provide </w:t>
      </w:r>
      <w:r w:rsidR="00247671">
        <w:t xml:space="preserve">vehicle and SMMS </w:t>
      </w:r>
      <w:r w:rsidRPr="00F7380E">
        <w:t>training to drivers and comply with</w:t>
      </w:r>
      <w:r w:rsidR="00030990">
        <w:t>:</w:t>
      </w:r>
      <w:r w:rsidR="003738F0">
        <w:t xml:space="preserve"> </w:t>
      </w:r>
    </w:p>
    <w:p w14:paraId="0D2C6A38" w14:textId="77777777" w:rsidR="00247671" w:rsidRDefault="00C802DD" w:rsidP="009F5B77">
      <w:pPr>
        <w:pStyle w:val="ListParagraph"/>
        <w:numPr>
          <w:ilvl w:val="1"/>
          <w:numId w:val="34"/>
        </w:numPr>
      </w:pPr>
      <w:r w:rsidRPr="00F7380E">
        <w:t>this Guide,</w:t>
      </w:r>
      <w:r w:rsidR="003F117A">
        <w:t xml:space="preserve"> </w:t>
      </w:r>
    </w:p>
    <w:p w14:paraId="2F338E42" w14:textId="77777777" w:rsidR="009F5B77" w:rsidRDefault="00C802DD" w:rsidP="009F5B77">
      <w:pPr>
        <w:pStyle w:val="ListParagraph"/>
        <w:numPr>
          <w:ilvl w:val="1"/>
          <w:numId w:val="34"/>
        </w:numPr>
      </w:pPr>
      <w:r w:rsidRPr="00F7380E">
        <w:t>the Notice, and</w:t>
      </w:r>
      <w:r w:rsidR="003F117A">
        <w:t xml:space="preserve"> </w:t>
      </w:r>
    </w:p>
    <w:p w14:paraId="171E9BB8" w14:textId="782BF24A" w:rsidR="00C802DD" w:rsidRPr="00F7380E" w:rsidRDefault="00C802DD" w:rsidP="009F5B77">
      <w:pPr>
        <w:pStyle w:val="ListParagraph"/>
        <w:numPr>
          <w:ilvl w:val="1"/>
          <w:numId w:val="34"/>
        </w:numPr>
      </w:pPr>
      <w:r w:rsidRPr="00F7380E">
        <w:t xml:space="preserve">the </w:t>
      </w:r>
      <w:hyperlink r:id="rId21" w:history="1">
        <w:r w:rsidR="009F5B77">
          <w:rPr>
            <w:rStyle w:val="Hyperlink"/>
          </w:rPr>
          <w:t>HVNL</w:t>
        </w:r>
      </w:hyperlink>
      <w:r w:rsidRPr="00F7380E">
        <w:t xml:space="preserve"> including fatigue management, mechanical safety, road access, registration, licensing, load restraint</w:t>
      </w:r>
      <w:r w:rsidR="00F206CC">
        <w:t xml:space="preserve"> and</w:t>
      </w:r>
      <w:r w:rsidRPr="00F7380E">
        <w:t xml:space="preserve"> Chain of Responsibility.</w:t>
      </w:r>
    </w:p>
    <w:p w14:paraId="0C48ABBA" w14:textId="088F97E0" w:rsidR="00C802DD" w:rsidRPr="00F7380E" w:rsidRDefault="00047D8C" w:rsidP="00AA4A6C">
      <w:pPr>
        <w:pStyle w:val="ListParagraph"/>
        <w:numPr>
          <w:ilvl w:val="0"/>
          <w:numId w:val="23"/>
        </w:numPr>
      </w:pPr>
      <w:r>
        <w:t>R</w:t>
      </w:r>
      <w:r w:rsidR="00BC4FD2">
        <w:t>egister</w:t>
      </w:r>
      <w:r w:rsidR="00C802DD" w:rsidRPr="00F7380E">
        <w:t xml:space="preserve"> with a sugar mill.</w:t>
      </w:r>
    </w:p>
    <w:p w14:paraId="5AF0B5CB" w14:textId="10B76623" w:rsidR="00C802DD" w:rsidRPr="00F7380E" w:rsidRDefault="00732FEA" w:rsidP="00AA4A6C">
      <w:pPr>
        <w:pStyle w:val="ListParagraph"/>
        <w:numPr>
          <w:ilvl w:val="0"/>
          <w:numId w:val="23"/>
        </w:numPr>
      </w:pPr>
      <w:r>
        <w:t>E</w:t>
      </w:r>
      <w:r w:rsidR="00E25C50">
        <w:t>nsure a</w:t>
      </w:r>
      <w:r w:rsidR="00C802DD" w:rsidRPr="00F7380E">
        <w:t xml:space="preserve"> current Certificate of Participation</w:t>
      </w:r>
      <w:r w:rsidR="00E25C50">
        <w:t xml:space="preserve"> is in each eligible vehicle</w:t>
      </w:r>
      <w:r w:rsidR="00A07454" w:rsidRPr="00A07454">
        <w:t xml:space="preserve"> or produced electronically </w:t>
      </w:r>
      <w:r w:rsidR="00A07454">
        <w:t>if</w:t>
      </w:r>
      <w:r w:rsidR="00A07454" w:rsidRPr="00A07454">
        <w:t xml:space="preserve"> requested</w:t>
      </w:r>
      <w:r w:rsidR="00C802DD" w:rsidRPr="00F7380E">
        <w:t>.</w:t>
      </w:r>
    </w:p>
    <w:p w14:paraId="5F7B0190" w14:textId="275F39DC" w:rsidR="00C802DD" w:rsidRPr="00F7380E" w:rsidRDefault="00C802DD" w:rsidP="00AA4A6C">
      <w:pPr>
        <w:pStyle w:val="ListParagraph"/>
        <w:numPr>
          <w:ilvl w:val="0"/>
          <w:numId w:val="23"/>
        </w:numPr>
      </w:pPr>
      <w:r w:rsidRPr="00F7380E">
        <w:t xml:space="preserve">Only deliver to a sugar mill with a certified weighbridge. </w:t>
      </w:r>
    </w:p>
    <w:p w14:paraId="0CF7E2D5" w14:textId="77777777" w:rsidR="00C802DD" w:rsidRPr="00F7380E" w:rsidRDefault="00C802DD" w:rsidP="00AA4A6C">
      <w:pPr>
        <w:pStyle w:val="ListParagraph"/>
        <w:numPr>
          <w:ilvl w:val="0"/>
          <w:numId w:val="23"/>
        </w:numPr>
      </w:pPr>
      <w:r w:rsidRPr="00F7380E">
        <w:t>Operate on the approved state-controlled routes.</w:t>
      </w:r>
    </w:p>
    <w:p w14:paraId="1CC5BFFA" w14:textId="77777777" w:rsidR="00C802DD" w:rsidRPr="00F7380E" w:rsidRDefault="00C802DD" w:rsidP="00AA4A6C">
      <w:pPr>
        <w:pStyle w:val="ListParagraph"/>
        <w:numPr>
          <w:ilvl w:val="0"/>
          <w:numId w:val="23"/>
        </w:numPr>
      </w:pPr>
      <w:r w:rsidRPr="00F7380E">
        <w:t>Operate under a NHVR permit for access to local government or private roads.</w:t>
      </w:r>
    </w:p>
    <w:p w14:paraId="69628EF1" w14:textId="4BDEA6EA" w:rsidR="00C802DD" w:rsidRDefault="00C802DD" w:rsidP="00AA4A6C">
      <w:pPr>
        <w:pStyle w:val="ListParagraph"/>
        <w:numPr>
          <w:ilvl w:val="0"/>
          <w:numId w:val="23"/>
        </w:numPr>
      </w:pPr>
      <w:r w:rsidRPr="00F7380E">
        <w:t xml:space="preserve">Comply with </w:t>
      </w:r>
      <w:r w:rsidR="00C34F8F">
        <w:t>t</w:t>
      </w:r>
      <w:r w:rsidR="00C34F8F" w:rsidRPr="00F7380E">
        <w:t xml:space="preserve">emporary </w:t>
      </w:r>
      <w:r w:rsidR="00C34F8F">
        <w:t>r</w:t>
      </w:r>
      <w:r w:rsidR="00C34F8F" w:rsidRPr="00F7380E">
        <w:t xml:space="preserve">oad </w:t>
      </w:r>
      <w:r w:rsidR="00C34F8F">
        <w:t>r</w:t>
      </w:r>
      <w:r w:rsidR="00C34F8F" w:rsidRPr="00F7380E">
        <w:t xml:space="preserve">estrictions </w:t>
      </w:r>
      <w:r w:rsidRPr="00F7380E">
        <w:t xml:space="preserve">and </w:t>
      </w:r>
      <w:r w:rsidR="00FD2420">
        <w:t>c</w:t>
      </w:r>
      <w:r w:rsidR="00FD2420" w:rsidRPr="00F7380E">
        <w:t>losures</w:t>
      </w:r>
      <w:r w:rsidRPr="00F7380E">
        <w:t>.</w:t>
      </w:r>
    </w:p>
    <w:p w14:paraId="0BD947ED" w14:textId="77777777" w:rsidR="00BC2E45" w:rsidRDefault="00BC2E45" w:rsidP="00BC2E45"/>
    <w:p w14:paraId="079186E8" w14:textId="77777777" w:rsidR="00BC2E45" w:rsidRPr="00F7380E" w:rsidRDefault="00BC2E45" w:rsidP="00BC2E45"/>
    <w:p w14:paraId="46F4BBDD" w14:textId="2D283305" w:rsidR="00971CFE" w:rsidRPr="00971CFE" w:rsidRDefault="00D879CB" w:rsidP="00C563B4">
      <w:pPr>
        <w:pStyle w:val="Heading1"/>
        <w:spacing w:before="120"/>
      </w:pPr>
      <w:bookmarkStart w:id="56" w:name="_Part_4_Reporting"/>
      <w:bookmarkStart w:id="57" w:name="_Toc169010700"/>
      <w:bookmarkStart w:id="58" w:name="_Toc169609000"/>
      <w:bookmarkEnd w:id="56"/>
      <w:r>
        <w:lastRenderedPageBreak/>
        <w:t xml:space="preserve">Part </w:t>
      </w:r>
      <w:r w:rsidR="00C802DD">
        <w:t>4</w:t>
      </w:r>
      <w:r>
        <w:t xml:space="preserve"> </w:t>
      </w:r>
      <w:r w:rsidR="00971CFE" w:rsidRPr="00971CFE">
        <w:t xml:space="preserve">Reporting </w:t>
      </w:r>
      <w:r w:rsidR="0096582B">
        <w:t>c</w:t>
      </w:r>
      <w:r w:rsidR="0096582B" w:rsidRPr="00971CFE">
        <w:t>onditions</w:t>
      </w:r>
      <w:bookmarkEnd w:id="57"/>
      <w:bookmarkEnd w:id="58"/>
    </w:p>
    <w:p w14:paraId="35D7F669" w14:textId="44A11C35" w:rsidR="00971CFE" w:rsidRPr="00971CFE" w:rsidRDefault="00473FD7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59" w:name="_Toc169010701"/>
      <w:bookmarkStart w:id="60" w:name="_Toc169609001"/>
      <w:r>
        <w:t>S</w:t>
      </w:r>
      <w:r w:rsidRPr="00971CFE">
        <w:t xml:space="preserve">ugar </w:t>
      </w:r>
      <w:r w:rsidR="0096582B">
        <w:t>m</w:t>
      </w:r>
      <w:r w:rsidR="0096582B" w:rsidRPr="00971CFE">
        <w:t xml:space="preserve">ill </w:t>
      </w:r>
      <w:r w:rsidR="0096582B">
        <w:t>weekly</w:t>
      </w:r>
      <w:r w:rsidR="0096582B" w:rsidRPr="00971CFE">
        <w:t xml:space="preserve"> </w:t>
      </w:r>
      <w:r w:rsidR="0096582B">
        <w:t>r</w:t>
      </w:r>
      <w:r w:rsidR="0096582B" w:rsidRPr="00971CFE">
        <w:t>eport</w:t>
      </w:r>
      <w:bookmarkEnd w:id="59"/>
      <w:bookmarkEnd w:id="60"/>
    </w:p>
    <w:p w14:paraId="3914EDEA" w14:textId="6BFA788E" w:rsidR="00971CFE" w:rsidRPr="00A9716E" w:rsidRDefault="00971CFE" w:rsidP="00971CFE">
      <w:r w:rsidRPr="00A9716E">
        <w:t xml:space="preserve">The sugar mill must produce a report and provide the following to TMR </w:t>
      </w:r>
      <w:r w:rsidR="00B770FD">
        <w:t>weekly</w:t>
      </w:r>
      <w:r w:rsidRPr="00A9716E">
        <w:t>.</w:t>
      </w:r>
    </w:p>
    <w:p w14:paraId="72F806B1" w14:textId="533E450A" w:rsidR="00971CFE" w:rsidRPr="00A9716E" w:rsidRDefault="00971CFE" w:rsidP="00424CF6">
      <w:pPr>
        <w:spacing w:before="120"/>
      </w:pPr>
      <w:r w:rsidRPr="00A9716E">
        <w:t xml:space="preserve">The sugar mill </w:t>
      </w:r>
      <w:r w:rsidR="004C0BB4">
        <w:t>weekly</w:t>
      </w:r>
      <w:r w:rsidR="004C0BB4" w:rsidRPr="00A9716E">
        <w:t xml:space="preserve"> </w:t>
      </w:r>
      <w:r w:rsidRPr="00A9716E">
        <w:t>report must include:</w:t>
      </w:r>
    </w:p>
    <w:p w14:paraId="3025A897" w14:textId="00092BEB" w:rsidR="00971CFE" w:rsidRPr="000D5B19" w:rsidRDefault="00A90272" w:rsidP="00AA4A6C">
      <w:pPr>
        <w:pStyle w:val="ListParagraph"/>
        <w:numPr>
          <w:ilvl w:val="0"/>
          <w:numId w:val="14"/>
        </w:numPr>
      </w:pPr>
      <w:r>
        <w:t xml:space="preserve">The following information </w:t>
      </w:r>
      <w:r w:rsidR="00C61F35">
        <w:t>for</w:t>
      </w:r>
      <w:r w:rsidR="00971CFE" w:rsidRPr="000D5B19">
        <w:t xml:space="preserve"> each load received:</w:t>
      </w:r>
    </w:p>
    <w:p w14:paraId="2D35BE8C" w14:textId="7AE68649" w:rsidR="00971CFE" w:rsidRPr="000D5B19" w:rsidRDefault="00C61F35" w:rsidP="00AA4A6C">
      <w:pPr>
        <w:pStyle w:val="ListParagraph"/>
        <w:numPr>
          <w:ilvl w:val="1"/>
          <w:numId w:val="14"/>
        </w:numPr>
      </w:pPr>
      <w:r>
        <w:t>The r</w:t>
      </w:r>
      <w:r w:rsidRPr="000D5B19">
        <w:t xml:space="preserve">eceival </w:t>
      </w:r>
      <w:r w:rsidR="00971CFE" w:rsidRPr="000D5B19">
        <w:t>date.</w:t>
      </w:r>
    </w:p>
    <w:p w14:paraId="6BEBFDB0" w14:textId="78BA91A5" w:rsidR="004F0510" w:rsidRPr="000D5B19" w:rsidRDefault="00C61F35" w:rsidP="00AA4A6C">
      <w:pPr>
        <w:pStyle w:val="ListParagraph"/>
        <w:numPr>
          <w:ilvl w:val="1"/>
          <w:numId w:val="14"/>
        </w:numPr>
      </w:pPr>
      <w:r>
        <w:t>The g</w:t>
      </w:r>
      <w:r w:rsidRPr="000D5B19">
        <w:t xml:space="preserve">rower </w:t>
      </w:r>
      <w:r w:rsidR="00BA6191" w:rsidRPr="000D5B19">
        <w:t>name</w:t>
      </w:r>
      <w:r w:rsidR="00F31A1E">
        <w:t>.</w:t>
      </w:r>
    </w:p>
    <w:p w14:paraId="0C250F0A" w14:textId="28726533" w:rsidR="00394C42" w:rsidRPr="000D5B19" w:rsidRDefault="00C61F35" w:rsidP="00AA4A6C">
      <w:pPr>
        <w:pStyle w:val="ListParagraph"/>
        <w:numPr>
          <w:ilvl w:val="1"/>
          <w:numId w:val="14"/>
        </w:numPr>
      </w:pPr>
      <w:r>
        <w:t>The o</w:t>
      </w:r>
      <w:r w:rsidRPr="000D5B19">
        <w:t xml:space="preserve">rigin </w:t>
      </w:r>
      <w:r w:rsidR="00394C42" w:rsidRPr="000D5B19">
        <w:t>of load (location)</w:t>
      </w:r>
      <w:r w:rsidR="000663F1" w:rsidRPr="000D5B19">
        <w:t>.</w:t>
      </w:r>
    </w:p>
    <w:p w14:paraId="094C85FD" w14:textId="0844F8A4" w:rsidR="00BA6191" w:rsidRPr="000D5B19" w:rsidRDefault="001D7DB7" w:rsidP="00AA4A6C">
      <w:pPr>
        <w:pStyle w:val="ListParagraph"/>
        <w:numPr>
          <w:ilvl w:val="1"/>
          <w:numId w:val="14"/>
        </w:numPr>
      </w:pPr>
      <w:r>
        <w:t>Combination mass limit</w:t>
      </w:r>
      <w:r w:rsidR="00275EDA" w:rsidRPr="000D5B19">
        <w:t xml:space="preserve"> (SMMS)</w:t>
      </w:r>
      <w:r w:rsidR="00F31A1E">
        <w:t>.</w:t>
      </w:r>
    </w:p>
    <w:p w14:paraId="01DBB9E2" w14:textId="0800E2C2" w:rsidR="00971CFE" w:rsidRPr="000D5B19" w:rsidRDefault="00971CFE" w:rsidP="00AA4A6C">
      <w:pPr>
        <w:pStyle w:val="ListParagraph"/>
        <w:numPr>
          <w:ilvl w:val="1"/>
          <w:numId w:val="14"/>
        </w:numPr>
      </w:pPr>
      <w:r w:rsidRPr="000D5B19">
        <w:t xml:space="preserve">Truck and trailer registrations. </w:t>
      </w:r>
    </w:p>
    <w:p w14:paraId="12E3C48E" w14:textId="6875309D" w:rsidR="00824324" w:rsidRPr="000D5B19" w:rsidRDefault="00824324" w:rsidP="00AA4A6C">
      <w:pPr>
        <w:pStyle w:val="ListParagraph"/>
        <w:numPr>
          <w:ilvl w:val="1"/>
          <w:numId w:val="14"/>
        </w:numPr>
      </w:pPr>
      <w:r w:rsidRPr="000D5B19">
        <w:t>Truck description</w:t>
      </w:r>
      <w:r w:rsidR="000C38FF" w:rsidRPr="000D5B19">
        <w:t xml:space="preserve"> (</w:t>
      </w:r>
      <w:r w:rsidR="00FF14A8" w:rsidRPr="000D5B19">
        <w:t>semitrailer, B-double)</w:t>
      </w:r>
      <w:r w:rsidR="00DE6264" w:rsidRPr="000D5B19">
        <w:t>.</w:t>
      </w:r>
    </w:p>
    <w:p w14:paraId="298B9BBA" w14:textId="4C0AC3E3" w:rsidR="00DE6264" w:rsidRPr="000D5B19" w:rsidRDefault="00DE6264" w:rsidP="00AA4A6C">
      <w:pPr>
        <w:pStyle w:val="ListParagraph"/>
        <w:numPr>
          <w:ilvl w:val="1"/>
          <w:numId w:val="14"/>
        </w:numPr>
      </w:pPr>
      <w:r w:rsidRPr="000D5B19">
        <w:t>Harvester</w:t>
      </w:r>
      <w:r w:rsidR="002773BE" w:rsidRPr="000D5B19">
        <w:t xml:space="preserve"> details</w:t>
      </w:r>
      <w:r w:rsidR="00537AF2" w:rsidRPr="000D5B19">
        <w:t>.</w:t>
      </w:r>
    </w:p>
    <w:p w14:paraId="6576CF58" w14:textId="348E7CF6" w:rsidR="00971CFE" w:rsidRPr="000D5B19" w:rsidRDefault="00971CFE" w:rsidP="00AA4A6C">
      <w:pPr>
        <w:pStyle w:val="ListParagraph"/>
        <w:numPr>
          <w:ilvl w:val="1"/>
          <w:numId w:val="14"/>
        </w:numPr>
      </w:pPr>
      <w:r w:rsidRPr="000D5B19">
        <w:t xml:space="preserve">MDL(Reg) mass limits for </w:t>
      </w:r>
      <w:r w:rsidR="00B73DFE">
        <w:t>an eligible vehicle</w:t>
      </w:r>
      <w:r w:rsidRPr="000D5B19">
        <w:t xml:space="preserve"> </w:t>
      </w:r>
      <w:r w:rsidR="001E7C0C" w:rsidRPr="001E7C0C">
        <w:rPr>
          <w:lang w:val="en-US"/>
        </w:rPr>
        <w:t>with a 6-tonne steer axle mass limit</w:t>
      </w:r>
      <w:r w:rsidRPr="000D5B19">
        <w:t>.</w:t>
      </w:r>
    </w:p>
    <w:p w14:paraId="19FD3E50" w14:textId="03CC6979" w:rsidR="00971CFE" w:rsidRPr="000D5B19" w:rsidRDefault="00971CFE" w:rsidP="00AA4A6C">
      <w:pPr>
        <w:pStyle w:val="ListParagraph"/>
        <w:numPr>
          <w:ilvl w:val="1"/>
          <w:numId w:val="14"/>
        </w:numPr>
      </w:pPr>
      <w:r w:rsidRPr="000D5B19">
        <w:t>Tare weight.</w:t>
      </w:r>
    </w:p>
    <w:p w14:paraId="234C374A" w14:textId="7CBE6F33" w:rsidR="00971CFE" w:rsidRPr="000D5B19" w:rsidRDefault="00971CFE" w:rsidP="00AA4A6C">
      <w:pPr>
        <w:pStyle w:val="ListParagraph"/>
        <w:numPr>
          <w:ilvl w:val="1"/>
          <w:numId w:val="14"/>
        </w:numPr>
      </w:pPr>
      <w:r w:rsidRPr="000D5B19">
        <w:t>Gross weight.</w:t>
      </w:r>
    </w:p>
    <w:p w14:paraId="3DF1DC83" w14:textId="34BC5B06" w:rsidR="00971CFE" w:rsidRDefault="00971CFE" w:rsidP="00FC7C3F">
      <w:pPr>
        <w:pStyle w:val="ListParagraph"/>
        <w:numPr>
          <w:ilvl w:val="1"/>
          <w:numId w:val="14"/>
        </w:numPr>
        <w:spacing w:after="240"/>
      </w:pPr>
      <w:r w:rsidRPr="000D5B19">
        <w:t xml:space="preserve">Mass over the </w:t>
      </w:r>
      <w:r w:rsidR="001C7E3E">
        <w:t>SMMS</w:t>
      </w:r>
      <w:r w:rsidR="001C7E3E" w:rsidRPr="000D5B19">
        <w:t xml:space="preserve"> </w:t>
      </w:r>
      <w:r w:rsidRPr="000D5B19">
        <w:t>limit.</w:t>
      </w:r>
    </w:p>
    <w:p w14:paraId="0940690A" w14:textId="2942E121" w:rsidR="00423A80" w:rsidRPr="000D5B19" w:rsidRDefault="00423A80" w:rsidP="00423A80">
      <w:pPr>
        <w:pStyle w:val="ListParagraph"/>
        <w:numPr>
          <w:ilvl w:val="1"/>
          <w:numId w:val="14"/>
        </w:numPr>
        <w:spacing w:after="240"/>
      </w:pPr>
      <w:r w:rsidRPr="00423A80">
        <w:t xml:space="preserve">How the </w:t>
      </w:r>
      <w:r w:rsidR="00B12A7B">
        <w:t xml:space="preserve">sugar mill managed the </w:t>
      </w:r>
      <w:r w:rsidRPr="00423A80">
        <w:t>overloaded combination.</w:t>
      </w:r>
    </w:p>
    <w:p w14:paraId="6406C50D" w14:textId="0ED2E8FF" w:rsidR="00971CFE" w:rsidRPr="000D5B19" w:rsidRDefault="00D82553" w:rsidP="00FC7C3F">
      <w:pPr>
        <w:pStyle w:val="ListParagraph"/>
        <w:numPr>
          <w:ilvl w:val="0"/>
          <w:numId w:val="14"/>
        </w:numPr>
        <w:spacing w:before="240"/>
      </w:pPr>
      <w:r>
        <w:t>The following information f</w:t>
      </w:r>
      <w:r w:rsidRPr="000D5B19">
        <w:t xml:space="preserve">or </w:t>
      </w:r>
      <w:r w:rsidR="00971CFE" w:rsidRPr="000D5B19">
        <w:t>all loads received:</w:t>
      </w:r>
    </w:p>
    <w:p w14:paraId="72C27ED4" w14:textId="1241A2A3" w:rsidR="00971CFE" w:rsidRPr="000D5B19" w:rsidRDefault="000E387D" w:rsidP="00AA4A6C">
      <w:pPr>
        <w:pStyle w:val="ListParagraph"/>
        <w:numPr>
          <w:ilvl w:val="1"/>
          <w:numId w:val="14"/>
        </w:numPr>
      </w:pPr>
      <w:r w:rsidRPr="000D5B19">
        <w:t xml:space="preserve">The </w:t>
      </w:r>
      <w:r w:rsidR="00971CFE" w:rsidRPr="000D5B19">
        <w:t>total number of loads within MDL(Reg) mass limits.</w:t>
      </w:r>
    </w:p>
    <w:p w14:paraId="2A887591" w14:textId="49701914" w:rsidR="00971CFE" w:rsidRPr="000D5B19" w:rsidRDefault="000E387D" w:rsidP="00AA4A6C">
      <w:pPr>
        <w:pStyle w:val="ListParagraph"/>
        <w:numPr>
          <w:ilvl w:val="1"/>
          <w:numId w:val="14"/>
        </w:numPr>
      </w:pPr>
      <w:r w:rsidRPr="000D5B19">
        <w:t xml:space="preserve">The </w:t>
      </w:r>
      <w:r w:rsidR="00971CFE" w:rsidRPr="000D5B19">
        <w:t>total number of loads within the 7.5% mass tolerance limit.</w:t>
      </w:r>
    </w:p>
    <w:p w14:paraId="5012FA8A" w14:textId="6C7F0076" w:rsidR="00971CFE" w:rsidRPr="000D5B19" w:rsidRDefault="000E387D" w:rsidP="00AA4A6C">
      <w:pPr>
        <w:pStyle w:val="ListParagraph"/>
        <w:numPr>
          <w:ilvl w:val="1"/>
          <w:numId w:val="14"/>
        </w:numPr>
      </w:pPr>
      <w:r w:rsidRPr="000D5B19">
        <w:t xml:space="preserve">The </w:t>
      </w:r>
      <w:r w:rsidR="00971CFE" w:rsidRPr="000D5B19">
        <w:t xml:space="preserve">total number of loads delivered exceeding </w:t>
      </w:r>
      <w:r w:rsidR="001C7E3E">
        <w:t>SMMS</w:t>
      </w:r>
      <w:r w:rsidR="001C7E3E" w:rsidRPr="000D5B19">
        <w:t xml:space="preserve"> </w:t>
      </w:r>
      <w:r w:rsidR="00971CFE" w:rsidRPr="000D5B19">
        <w:t>mass limit.</w:t>
      </w:r>
    </w:p>
    <w:p w14:paraId="37E10DC3" w14:textId="77777777" w:rsidR="00BE0CDC" w:rsidRPr="000D5B19" w:rsidRDefault="00A019CA" w:rsidP="00AA4A6C">
      <w:pPr>
        <w:pStyle w:val="ListParagraph"/>
        <w:numPr>
          <w:ilvl w:val="1"/>
          <w:numId w:val="14"/>
        </w:numPr>
      </w:pPr>
      <w:r w:rsidRPr="000D5B19">
        <w:t>The total number of loads by harvester</w:t>
      </w:r>
      <w:r w:rsidR="00BE0CDC" w:rsidRPr="000D5B19">
        <w:t>.</w:t>
      </w:r>
    </w:p>
    <w:p w14:paraId="58CB7809" w14:textId="7B0904BA" w:rsidR="000E387D" w:rsidRPr="000D5B19" w:rsidRDefault="00BE0CDC" w:rsidP="00AA4A6C">
      <w:pPr>
        <w:pStyle w:val="ListParagraph"/>
        <w:numPr>
          <w:ilvl w:val="1"/>
          <w:numId w:val="14"/>
        </w:numPr>
      </w:pPr>
      <w:r w:rsidRPr="000D5B19">
        <w:t>The total number</w:t>
      </w:r>
      <w:r w:rsidR="00C60649" w:rsidRPr="000D5B19">
        <w:t xml:space="preserve"> of loads exceeding </w:t>
      </w:r>
      <w:r w:rsidR="00D061EF">
        <w:t>SMMS</w:t>
      </w:r>
      <w:r w:rsidR="00D061EF" w:rsidRPr="000D5B19">
        <w:t xml:space="preserve"> </w:t>
      </w:r>
      <w:r w:rsidR="00C60649" w:rsidRPr="000D5B19">
        <w:t>mass limit by harvester</w:t>
      </w:r>
      <w:r w:rsidR="00774E59" w:rsidRPr="000D5B19">
        <w:t>.</w:t>
      </w:r>
    </w:p>
    <w:p w14:paraId="5A29FCE0" w14:textId="41258E28" w:rsidR="00971CFE" w:rsidRPr="000D5B19" w:rsidRDefault="00971CFE" w:rsidP="00AA4A6C">
      <w:pPr>
        <w:pStyle w:val="ListParagraph"/>
        <w:numPr>
          <w:ilvl w:val="1"/>
          <w:numId w:val="14"/>
        </w:numPr>
      </w:pPr>
      <w:r w:rsidRPr="000D5B19">
        <w:t>The percentage of the loads:</w:t>
      </w:r>
    </w:p>
    <w:p w14:paraId="17D6FE30" w14:textId="032BA1A3" w:rsidR="00971CFE" w:rsidRPr="000D5B19" w:rsidRDefault="00971CFE" w:rsidP="00E55EF8">
      <w:pPr>
        <w:pStyle w:val="ListParagraph"/>
        <w:numPr>
          <w:ilvl w:val="3"/>
          <w:numId w:val="33"/>
        </w:numPr>
      </w:pPr>
      <w:r w:rsidRPr="000D5B19">
        <w:t>Within MDL(Reg) mass limits,</w:t>
      </w:r>
    </w:p>
    <w:p w14:paraId="2DE235A1" w14:textId="16643995" w:rsidR="00971CFE" w:rsidRPr="000D5B19" w:rsidRDefault="00971CFE" w:rsidP="00E55EF8">
      <w:pPr>
        <w:pStyle w:val="ListParagraph"/>
        <w:numPr>
          <w:ilvl w:val="3"/>
          <w:numId w:val="33"/>
        </w:numPr>
      </w:pPr>
      <w:r w:rsidRPr="000D5B19">
        <w:t xml:space="preserve">Within </w:t>
      </w:r>
      <w:r w:rsidR="00D061EF">
        <w:t>SMMS</w:t>
      </w:r>
      <w:r w:rsidR="00D061EF" w:rsidRPr="000D5B19">
        <w:t xml:space="preserve"> </w:t>
      </w:r>
      <w:r w:rsidR="009A26D4">
        <w:t xml:space="preserve">mass </w:t>
      </w:r>
      <w:r w:rsidRPr="000D5B19">
        <w:t>limits, and</w:t>
      </w:r>
    </w:p>
    <w:p w14:paraId="5A30322F" w14:textId="5F4193CB" w:rsidR="00971CFE" w:rsidRPr="000D5B19" w:rsidRDefault="00971CFE" w:rsidP="00E55EF8">
      <w:pPr>
        <w:pStyle w:val="ListParagraph"/>
        <w:numPr>
          <w:ilvl w:val="3"/>
          <w:numId w:val="33"/>
        </w:numPr>
      </w:pPr>
      <w:r w:rsidRPr="000D5B19">
        <w:t xml:space="preserve">Exceeding the </w:t>
      </w:r>
      <w:r w:rsidR="00D061EF">
        <w:t>SMMS</w:t>
      </w:r>
      <w:r w:rsidR="00D061EF" w:rsidRPr="000D5B19">
        <w:t xml:space="preserve"> </w:t>
      </w:r>
      <w:r w:rsidRPr="000D5B19">
        <w:t>mass limits.</w:t>
      </w:r>
      <w:r w:rsidR="00E55EF8" w:rsidRPr="000D5B19">
        <w:t xml:space="preserve"> </w:t>
      </w:r>
    </w:p>
    <w:p w14:paraId="060226F8" w14:textId="71CFC65C" w:rsidR="00971CFE" w:rsidRPr="006652A5" w:rsidRDefault="00971CFE" w:rsidP="00E55EF8">
      <w:pPr>
        <w:pStyle w:val="ListParagraph"/>
        <w:numPr>
          <w:ilvl w:val="2"/>
          <w:numId w:val="33"/>
        </w:numPr>
      </w:pPr>
      <w:r w:rsidRPr="000D5B19">
        <w:t>The amount in tonnes of bulk sugar cane transported.</w:t>
      </w:r>
    </w:p>
    <w:p w14:paraId="55C9948C" w14:textId="05B8D873" w:rsidR="00021F96" w:rsidRPr="000D5B19" w:rsidRDefault="00021F96" w:rsidP="00E55EF8">
      <w:pPr>
        <w:pStyle w:val="ListParagraph"/>
        <w:numPr>
          <w:ilvl w:val="2"/>
          <w:numId w:val="33"/>
        </w:numPr>
      </w:pPr>
      <w:r w:rsidRPr="006652A5">
        <w:t>A</w:t>
      </w:r>
      <w:r w:rsidR="006327A0" w:rsidRPr="006652A5">
        <w:t xml:space="preserve">ccumulative </w:t>
      </w:r>
      <w:r w:rsidRPr="006652A5">
        <w:t>total</w:t>
      </w:r>
      <w:r w:rsidR="00D94058" w:rsidRPr="006652A5">
        <w:t>s</w:t>
      </w:r>
      <w:r w:rsidRPr="006652A5">
        <w:t xml:space="preserve"> </w:t>
      </w:r>
      <w:r w:rsidR="006327A0" w:rsidRPr="006652A5">
        <w:t xml:space="preserve">for </w:t>
      </w:r>
      <w:r w:rsidR="00964955" w:rsidRPr="006652A5">
        <w:t xml:space="preserve">all </w:t>
      </w:r>
      <w:r w:rsidRPr="006652A5">
        <w:t xml:space="preserve">loads </w:t>
      </w:r>
      <w:r w:rsidR="00D94058" w:rsidRPr="006652A5">
        <w:t xml:space="preserve">received </w:t>
      </w:r>
      <w:r w:rsidRPr="006652A5">
        <w:t>for the year.</w:t>
      </w:r>
    </w:p>
    <w:p w14:paraId="1B9DAF2B" w14:textId="7AADC32B" w:rsidR="00971CFE" w:rsidRPr="00971CFE" w:rsidRDefault="00722174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61" w:name="_Toc169010702"/>
      <w:bookmarkStart w:id="62" w:name="_Toc169609002"/>
      <w:r>
        <w:t xml:space="preserve">Severe </w:t>
      </w:r>
      <w:bookmarkEnd w:id="61"/>
      <w:r w:rsidR="00014E28">
        <w:t>o</w:t>
      </w:r>
      <w:r w:rsidR="00014E28" w:rsidRPr="00971CFE">
        <w:t>verload</w:t>
      </w:r>
      <w:r w:rsidR="00014E28">
        <w:t>ed</w:t>
      </w:r>
      <w:bookmarkEnd w:id="62"/>
    </w:p>
    <w:p w14:paraId="720D5204" w14:textId="62FAF7F3" w:rsidR="00971CFE" w:rsidRPr="00F4025D" w:rsidRDefault="00FE6FFF" w:rsidP="002777CC">
      <w:r>
        <w:t xml:space="preserve">The sugar mill must immediately notify TMR by email at </w:t>
      </w:r>
      <w:hyperlink r:id="rId22" w:history="1">
        <w:r w:rsidRPr="00FE6FFF">
          <w:rPr>
            <w:rStyle w:val="Hyperlink"/>
          </w:rPr>
          <w:t>Sugarcane_Concessions@tmr.qld.gov.au</w:t>
        </w:r>
      </w:hyperlink>
      <w:r w:rsidR="005407C7">
        <w:t xml:space="preserve"> if </w:t>
      </w:r>
      <w:r w:rsidR="00DD1477" w:rsidRPr="00882F73">
        <w:t xml:space="preserve">a </w:t>
      </w:r>
      <w:r w:rsidR="00F72A8D">
        <w:t xml:space="preserve">combination </w:t>
      </w:r>
      <w:r w:rsidR="005407C7">
        <w:t xml:space="preserve">at their location </w:t>
      </w:r>
      <w:r w:rsidR="00F72A8D">
        <w:t xml:space="preserve">is found to be </w:t>
      </w:r>
      <w:r w:rsidR="00DD1477" w:rsidRPr="00882F73">
        <w:t xml:space="preserve">severely </w:t>
      </w:r>
      <w:r w:rsidR="00DD1477" w:rsidRPr="00F4025D">
        <w:t>overloaded</w:t>
      </w:r>
      <w:r w:rsidR="00DD1477" w:rsidRPr="00882F73">
        <w:t xml:space="preserve"> </w:t>
      </w:r>
      <w:r w:rsidR="000F2988">
        <w:t>(20% above mass limits)</w:t>
      </w:r>
      <w:r w:rsidR="0041498D">
        <w:t>.</w:t>
      </w:r>
    </w:p>
    <w:p w14:paraId="43C2C2F5" w14:textId="0190FE32" w:rsidR="00B6633D" w:rsidRDefault="009877E3" w:rsidP="00CA3C98">
      <w:pPr>
        <w:spacing w:before="120"/>
      </w:pPr>
      <w:r>
        <w:t>A severely overloaded</w:t>
      </w:r>
      <w:r w:rsidR="00C61E01">
        <w:t xml:space="preserve"> SMMS</w:t>
      </w:r>
      <w:r w:rsidR="00C5303C">
        <w:t xml:space="preserve"> combination is a </w:t>
      </w:r>
      <w:r w:rsidR="009C40B7">
        <w:t xml:space="preserve">loaded </w:t>
      </w:r>
      <w:r w:rsidR="00A815A9">
        <w:t xml:space="preserve">eligible vehicle </w:t>
      </w:r>
      <w:r w:rsidR="00CD623E">
        <w:t xml:space="preserve">that </w:t>
      </w:r>
      <w:r w:rsidR="009C40B7">
        <w:t>is</w:t>
      </w:r>
      <w:r w:rsidR="00393FD1">
        <w:t xml:space="preserve"> </w:t>
      </w:r>
      <w:r w:rsidR="00C21BF6">
        <w:t>20% above</w:t>
      </w:r>
      <w:r w:rsidR="00B6633D">
        <w:t>:</w:t>
      </w:r>
    </w:p>
    <w:p w14:paraId="12C57355" w14:textId="394898FE" w:rsidR="00B75C7E" w:rsidRPr="00B75C7E" w:rsidRDefault="00B75C7E" w:rsidP="00297D99">
      <w:pPr>
        <w:pStyle w:val="ListParagraph"/>
        <w:numPr>
          <w:ilvl w:val="0"/>
          <w:numId w:val="42"/>
        </w:numPr>
      </w:pPr>
      <w:r w:rsidRPr="00B75C7E">
        <w:t xml:space="preserve">The mass limits for an eligible vehicle with </w:t>
      </w:r>
      <w:r w:rsidR="000F1798" w:rsidRPr="00297D99">
        <w:rPr>
          <w:lang w:val="en-US"/>
        </w:rPr>
        <w:t>a 6-tonne steer axle mass limit</w:t>
      </w:r>
      <w:r w:rsidRPr="00B75C7E">
        <w:t xml:space="preserve"> in </w:t>
      </w:r>
      <w:hyperlink w:anchor="Table_1" w:history="1">
        <w:r w:rsidRPr="0037562D">
          <w:rPr>
            <w:rStyle w:val="Hyperlink"/>
          </w:rPr>
          <w:t>Table 1</w:t>
        </w:r>
      </w:hyperlink>
      <w:r w:rsidRPr="00B75C7E">
        <w:t>, or</w:t>
      </w:r>
    </w:p>
    <w:p w14:paraId="65BC77FF" w14:textId="7F09E08B" w:rsidR="00B75C7E" w:rsidRPr="00B75C7E" w:rsidRDefault="00B75C7E" w:rsidP="00297D99">
      <w:pPr>
        <w:pStyle w:val="ListParagraph"/>
        <w:numPr>
          <w:ilvl w:val="0"/>
          <w:numId w:val="42"/>
        </w:numPr>
      </w:pPr>
      <w:r w:rsidRPr="00B75C7E">
        <w:t xml:space="preserve">The general axle mass limits in </w:t>
      </w:r>
      <w:hyperlink w:anchor="Table_2" w:history="1">
        <w:r w:rsidRPr="0037562D">
          <w:rPr>
            <w:rStyle w:val="Hyperlink"/>
          </w:rPr>
          <w:t>Table 2</w:t>
        </w:r>
      </w:hyperlink>
      <w:r w:rsidRPr="00B75C7E">
        <w:t>.</w:t>
      </w:r>
    </w:p>
    <w:p w14:paraId="5458B280" w14:textId="17318103" w:rsidR="00971CFE" w:rsidRDefault="00971CFE" w:rsidP="00910126">
      <w:pPr>
        <w:spacing w:before="120"/>
      </w:pPr>
      <w:r w:rsidRPr="00F4025D">
        <w:t xml:space="preserve">The </w:t>
      </w:r>
      <w:r w:rsidR="00421F05" w:rsidRPr="00F4025D">
        <w:t xml:space="preserve">sugar mill </w:t>
      </w:r>
      <w:r w:rsidRPr="00F4025D">
        <w:t xml:space="preserve">must notify the </w:t>
      </w:r>
      <w:r w:rsidR="00EA5174">
        <w:t xml:space="preserve">driver and </w:t>
      </w:r>
      <w:r w:rsidRPr="00F4025D">
        <w:t>vehicle operator of the severe</w:t>
      </w:r>
      <w:r w:rsidR="00165CE3">
        <w:t>ly</w:t>
      </w:r>
      <w:r w:rsidRPr="00F4025D">
        <w:t xml:space="preserve"> overload</w:t>
      </w:r>
      <w:r w:rsidR="00165CE3">
        <w:t>ed combination</w:t>
      </w:r>
      <w:r w:rsidR="008E6A08">
        <w:t>, Table 4 provides</w:t>
      </w:r>
      <w:r w:rsidR="00AD7FBC">
        <w:t xml:space="preserve"> </w:t>
      </w:r>
      <w:r w:rsidR="00CC5F0D">
        <w:t>the sugar mill</w:t>
      </w:r>
      <w:r w:rsidR="0046729F">
        <w:t xml:space="preserve"> </w:t>
      </w:r>
      <w:r w:rsidR="00AD7FBC">
        <w:t>an example of how to calculate load percentage</w:t>
      </w:r>
      <w:r w:rsidRPr="00F4025D">
        <w:t>.</w:t>
      </w:r>
    </w:p>
    <w:p w14:paraId="0DCAB6E5" w14:textId="77777777" w:rsidR="00DB3916" w:rsidRDefault="00DB3916" w:rsidP="00F615C0">
      <w:pPr>
        <w:spacing w:before="120"/>
      </w:pPr>
    </w:p>
    <w:p w14:paraId="65A0207B" w14:textId="77777777" w:rsidR="00DB3916" w:rsidRDefault="00DB3916" w:rsidP="00F615C0">
      <w:pPr>
        <w:spacing w:before="120"/>
      </w:pPr>
    </w:p>
    <w:p w14:paraId="2F2E5025" w14:textId="77777777" w:rsidR="00821C3B" w:rsidRDefault="00821C3B">
      <w:pPr>
        <w:spacing w:after="160" w:line="259" w:lineRule="auto"/>
        <w:rPr>
          <w:b/>
          <w:bCs/>
          <w:smallCaps/>
          <w:color w:val="003E69" w:themeColor="text2"/>
        </w:rPr>
      </w:pPr>
      <w:r>
        <w:br w:type="page"/>
      </w:r>
    </w:p>
    <w:p w14:paraId="21BD99DE" w14:textId="179819D0" w:rsidR="002E12AA" w:rsidRDefault="002E12AA" w:rsidP="00220B21">
      <w:pPr>
        <w:pStyle w:val="Caption"/>
        <w:keepNext/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E7D3D">
        <w:rPr>
          <w:noProof/>
        </w:rPr>
        <w:t>4</w:t>
      </w:r>
      <w:r>
        <w:rPr>
          <w:noProof/>
        </w:rPr>
        <w:fldChar w:fldCharType="end"/>
      </w:r>
      <w:r>
        <w:t xml:space="preserve"> </w:t>
      </w:r>
      <w:r w:rsidRPr="00646372">
        <w:t>L</w:t>
      </w:r>
      <w:r w:rsidR="00BC1BAC">
        <w:t>oad percentage example</w:t>
      </w:r>
    </w:p>
    <w:tbl>
      <w:tblPr>
        <w:tblpPr w:leftFromText="181" w:rightFromText="181" w:vertAnchor="text" w:horzAnchor="page" w:tblpX="1667" w:tblpY="127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58"/>
        <w:gridCol w:w="567"/>
        <w:gridCol w:w="1318"/>
        <w:gridCol w:w="524"/>
        <w:gridCol w:w="709"/>
        <w:gridCol w:w="425"/>
        <w:gridCol w:w="1134"/>
      </w:tblGrid>
      <w:tr w:rsidR="00F615C0" w:rsidRPr="00D90698" w14:paraId="4C20F09D" w14:textId="77777777" w:rsidTr="002D2038">
        <w:tc>
          <w:tcPr>
            <w:tcW w:w="2058" w:type="dxa"/>
            <w:tcBorders>
              <w:right w:val="nil"/>
            </w:tcBorders>
            <w:shd w:val="clear" w:color="auto" w:fill="003E69" w:themeFill="text2"/>
            <w:vAlign w:val="center"/>
          </w:tcPr>
          <w:p w14:paraId="52BA4AC7" w14:textId="0BD791B6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 xml:space="preserve">Weighed </w:t>
            </w:r>
            <w:r w:rsidR="00835EBC" w:rsidRPr="004E7880">
              <w:rPr>
                <w:sz w:val="20"/>
                <w:szCs w:val="20"/>
              </w:rPr>
              <w:t>mass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003E69" w:themeFill="text2"/>
            <w:vAlign w:val="center"/>
          </w:tcPr>
          <w:p w14:paraId="4FD38AAF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÷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003E69" w:themeFill="text2"/>
            <w:vAlign w:val="center"/>
          </w:tcPr>
          <w:p w14:paraId="017C45FA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GML</w:t>
            </w:r>
          </w:p>
        </w:tc>
        <w:tc>
          <w:tcPr>
            <w:tcW w:w="524" w:type="dxa"/>
            <w:tcBorders>
              <w:left w:val="nil"/>
              <w:right w:val="nil"/>
            </w:tcBorders>
            <w:shd w:val="clear" w:color="auto" w:fill="003E69" w:themeFill="text2"/>
            <w:vAlign w:val="center"/>
          </w:tcPr>
          <w:p w14:paraId="1795389A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003E69" w:themeFill="text2"/>
            <w:vAlign w:val="center"/>
          </w:tcPr>
          <w:p w14:paraId="52A928F0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003E69" w:themeFill="text2"/>
            <w:vAlign w:val="center"/>
          </w:tcPr>
          <w:p w14:paraId="3E945EFC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=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003E69" w:themeFill="text2"/>
            <w:vAlign w:val="center"/>
          </w:tcPr>
          <w:p w14:paraId="5D0CB8F8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Load%</w:t>
            </w:r>
          </w:p>
        </w:tc>
      </w:tr>
      <w:tr w:rsidR="00F615C0" w:rsidRPr="00D90698" w14:paraId="36F7F63B" w14:textId="77777777" w:rsidTr="002D2038">
        <w:tc>
          <w:tcPr>
            <w:tcW w:w="2058" w:type="dxa"/>
            <w:tcBorders>
              <w:right w:val="nil"/>
            </w:tcBorders>
            <w:vAlign w:val="center"/>
          </w:tcPr>
          <w:p w14:paraId="26BB8DCE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Example 23t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3BD85A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÷</w:t>
            </w:r>
          </w:p>
        </w:tc>
        <w:tc>
          <w:tcPr>
            <w:tcW w:w="1318" w:type="dxa"/>
            <w:tcBorders>
              <w:left w:val="nil"/>
              <w:right w:val="nil"/>
            </w:tcBorders>
            <w:vAlign w:val="center"/>
          </w:tcPr>
          <w:p w14:paraId="06E7B73C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20t</w:t>
            </w:r>
          </w:p>
        </w:tc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026D37AA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2FD3772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44DD38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=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7E77ECA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115%</w:t>
            </w:r>
          </w:p>
        </w:tc>
      </w:tr>
      <w:tr w:rsidR="00F615C0" w:rsidRPr="00D90698" w14:paraId="622BA0BF" w14:textId="77777777" w:rsidTr="002D2038">
        <w:tc>
          <w:tcPr>
            <w:tcW w:w="2058" w:type="dxa"/>
            <w:tcBorders>
              <w:right w:val="nil"/>
            </w:tcBorders>
            <w:vAlign w:val="center"/>
          </w:tcPr>
          <w:p w14:paraId="61AE1005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Example 25t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DA980CE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÷</w:t>
            </w:r>
          </w:p>
        </w:tc>
        <w:tc>
          <w:tcPr>
            <w:tcW w:w="1318" w:type="dxa"/>
            <w:tcBorders>
              <w:left w:val="nil"/>
              <w:right w:val="nil"/>
            </w:tcBorders>
            <w:vAlign w:val="center"/>
          </w:tcPr>
          <w:p w14:paraId="1ABF5BBE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20t</w:t>
            </w:r>
          </w:p>
        </w:tc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3A2F5A12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59F3A68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89087C5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=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BB537D5" w14:textId="77777777" w:rsidR="00F615C0" w:rsidRPr="004E7880" w:rsidRDefault="00F615C0">
            <w:pPr>
              <w:rPr>
                <w:sz w:val="20"/>
                <w:szCs w:val="20"/>
              </w:rPr>
            </w:pPr>
            <w:r w:rsidRPr="004E7880">
              <w:rPr>
                <w:sz w:val="20"/>
                <w:szCs w:val="20"/>
              </w:rPr>
              <w:t>125%</w:t>
            </w:r>
          </w:p>
        </w:tc>
      </w:tr>
    </w:tbl>
    <w:p w14:paraId="6B10C339" w14:textId="77777777" w:rsidR="00BC2E45" w:rsidRPr="00F4025D" w:rsidRDefault="00BC2E45" w:rsidP="00D749F9">
      <w:pPr>
        <w:spacing w:before="120"/>
      </w:pPr>
    </w:p>
    <w:p w14:paraId="69C4B376" w14:textId="39523153" w:rsidR="00971CFE" w:rsidRPr="00971CFE" w:rsidRDefault="00971CFE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63" w:name="_Toc169010703"/>
      <w:bookmarkStart w:id="64" w:name="_Toc169609003"/>
      <w:r w:rsidRPr="00971CFE">
        <w:t xml:space="preserve">Eligible </w:t>
      </w:r>
      <w:r w:rsidR="0096582B">
        <w:t>v</w:t>
      </w:r>
      <w:r w:rsidR="0096582B" w:rsidRPr="00971CFE">
        <w:t xml:space="preserve">ehicle </w:t>
      </w:r>
      <w:r w:rsidR="0096582B">
        <w:t>r</w:t>
      </w:r>
      <w:r w:rsidR="0096582B" w:rsidRPr="00971CFE">
        <w:t>egister</w:t>
      </w:r>
      <w:bookmarkEnd w:id="63"/>
      <w:bookmarkEnd w:id="64"/>
    </w:p>
    <w:p w14:paraId="3A25A357" w14:textId="1B86600A" w:rsidR="00971CFE" w:rsidRPr="00E05724" w:rsidRDefault="00612C0C" w:rsidP="00982C0F">
      <w:r>
        <w:t>The sugar mill</w:t>
      </w:r>
      <w:r w:rsidR="00B770FD" w:rsidRPr="00E05724">
        <w:t xml:space="preserve"> </w:t>
      </w:r>
      <w:r w:rsidR="00971CFE" w:rsidRPr="00E05724">
        <w:t>must record</w:t>
      </w:r>
      <w:r w:rsidR="000017CF">
        <w:t xml:space="preserve"> the eligible vehicles in a register</w:t>
      </w:r>
      <w:r w:rsidR="00941EC8" w:rsidRPr="00E05724">
        <w:t xml:space="preserve"> </w:t>
      </w:r>
      <w:r w:rsidR="00971CFE" w:rsidRPr="00E05724">
        <w:t xml:space="preserve">and </w:t>
      </w:r>
      <w:r w:rsidR="00687D6A">
        <w:t xml:space="preserve">provide </w:t>
      </w:r>
      <w:r w:rsidR="002C06F9">
        <w:t xml:space="preserve">the eligible vehicle register </w:t>
      </w:r>
      <w:r w:rsidR="00971CFE" w:rsidRPr="00E05724">
        <w:t>to TMR</w:t>
      </w:r>
      <w:r w:rsidR="00B770FD" w:rsidRPr="00E05724">
        <w:t xml:space="preserve"> at the start of the season, or if any vehicle</w:t>
      </w:r>
      <w:r w:rsidR="004C41CE">
        <w:t>s</w:t>
      </w:r>
      <w:r w:rsidR="00B770FD" w:rsidRPr="00E05724">
        <w:t xml:space="preserve"> change during the season</w:t>
      </w:r>
      <w:r w:rsidR="00971CFE" w:rsidRPr="00E05724">
        <w:t>.</w:t>
      </w:r>
    </w:p>
    <w:p w14:paraId="50F8028B" w14:textId="3230BEB1" w:rsidR="00971CFE" w:rsidRPr="00E05724" w:rsidRDefault="00971CFE" w:rsidP="00A11328">
      <w:pPr>
        <w:spacing w:before="120"/>
      </w:pPr>
      <w:r w:rsidRPr="00E05724">
        <w:t>The eligible vehicle register must</w:t>
      </w:r>
      <w:r w:rsidR="000B5775">
        <w:t xml:space="preserve"> </w:t>
      </w:r>
      <w:r w:rsidR="00513A2A">
        <w:t>h</w:t>
      </w:r>
      <w:r w:rsidR="00D66B24">
        <w:t>ave a date</w:t>
      </w:r>
      <w:r w:rsidR="000B5775">
        <w:t xml:space="preserve"> and</w:t>
      </w:r>
      <w:r w:rsidRPr="00E05724">
        <w:t xml:space="preserve"> include:</w:t>
      </w:r>
    </w:p>
    <w:p w14:paraId="2C873F39" w14:textId="04B72853" w:rsidR="00AC52FA" w:rsidRPr="00E05724" w:rsidRDefault="00AC52FA" w:rsidP="00AC52FA">
      <w:pPr>
        <w:pStyle w:val="ListParagraph"/>
        <w:numPr>
          <w:ilvl w:val="0"/>
          <w:numId w:val="17"/>
        </w:numPr>
      </w:pPr>
      <w:r w:rsidRPr="00E05724">
        <w:t>Vehicle owner’s details.</w:t>
      </w:r>
    </w:p>
    <w:p w14:paraId="5B913C28" w14:textId="15173F16" w:rsidR="00AC52FA" w:rsidRPr="00E05724" w:rsidRDefault="00AC52FA" w:rsidP="00AC52FA">
      <w:pPr>
        <w:pStyle w:val="ListParagraph"/>
        <w:numPr>
          <w:ilvl w:val="0"/>
          <w:numId w:val="17"/>
        </w:numPr>
      </w:pPr>
      <w:r w:rsidRPr="00E05724">
        <w:t>Truck and trailer registrations.</w:t>
      </w:r>
    </w:p>
    <w:p w14:paraId="6DBDAB30" w14:textId="77777777" w:rsidR="00AC52FA" w:rsidRPr="00E05724" w:rsidRDefault="00AC52FA" w:rsidP="00AC52FA">
      <w:pPr>
        <w:pStyle w:val="ListParagraph"/>
        <w:numPr>
          <w:ilvl w:val="0"/>
          <w:numId w:val="17"/>
        </w:numPr>
      </w:pPr>
      <w:r w:rsidRPr="00E05724">
        <w:t>Tare mass.</w:t>
      </w:r>
    </w:p>
    <w:p w14:paraId="205D366B" w14:textId="0192AD5B" w:rsidR="00AC52FA" w:rsidRPr="00E05724" w:rsidRDefault="00AC52FA" w:rsidP="00AC52FA">
      <w:pPr>
        <w:pStyle w:val="ListParagraph"/>
        <w:numPr>
          <w:ilvl w:val="0"/>
          <w:numId w:val="17"/>
        </w:numPr>
      </w:pPr>
      <w:r w:rsidRPr="00E05724">
        <w:t>Registered gross mass.</w:t>
      </w:r>
    </w:p>
    <w:p w14:paraId="62197873" w14:textId="29FFF360" w:rsidR="006516F2" w:rsidRDefault="00AC52FA" w:rsidP="00AC52FA">
      <w:pPr>
        <w:pStyle w:val="ListParagraph"/>
        <w:numPr>
          <w:ilvl w:val="0"/>
          <w:numId w:val="17"/>
        </w:numPr>
      </w:pPr>
      <w:r w:rsidRPr="00E05724">
        <w:t>Manufacturer's vehicle mass rating.</w:t>
      </w:r>
    </w:p>
    <w:p w14:paraId="29A16480" w14:textId="241681CA" w:rsidR="002E1E3E" w:rsidRDefault="00343950" w:rsidP="00AC52FA">
      <w:pPr>
        <w:pStyle w:val="ListParagraph"/>
        <w:numPr>
          <w:ilvl w:val="0"/>
          <w:numId w:val="17"/>
        </w:numPr>
      </w:pPr>
      <w:r>
        <w:t>A copy of the Certificate of Participation.</w:t>
      </w:r>
    </w:p>
    <w:p w14:paraId="00EB234B" w14:textId="1EFBFB23" w:rsidR="00971CFE" w:rsidRPr="00971CFE" w:rsidRDefault="00D829BC" w:rsidP="00D543D5">
      <w:pPr>
        <w:pStyle w:val="Heading2"/>
        <w:numPr>
          <w:ilvl w:val="0"/>
          <w:numId w:val="25"/>
        </w:numPr>
        <w:spacing w:before="120"/>
        <w:ind w:left="284" w:hanging="284"/>
      </w:pPr>
      <w:bookmarkStart w:id="65" w:name="_Toc169010704"/>
      <w:bookmarkStart w:id="66" w:name="_Toc169609004"/>
      <w:r>
        <w:t>Harvester</w:t>
      </w:r>
      <w:r w:rsidR="00C970B6">
        <w:t xml:space="preserve"> </w:t>
      </w:r>
      <w:r w:rsidR="0096582B">
        <w:t>register</w:t>
      </w:r>
      <w:bookmarkEnd w:id="65"/>
      <w:bookmarkEnd w:id="66"/>
    </w:p>
    <w:p w14:paraId="73AD8E2B" w14:textId="6C16B9D2" w:rsidR="00CC6971" w:rsidRPr="00E05724" w:rsidRDefault="00EB60FB" w:rsidP="00CC6971">
      <w:r>
        <w:t xml:space="preserve">The sugar mill must record the harvester </w:t>
      </w:r>
      <w:r w:rsidR="00CA763F">
        <w:t>details</w:t>
      </w:r>
      <w:r w:rsidR="00CC6971" w:rsidRPr="00E05724">
        <w:t xml:space="preserve"> </w:t>
      </w:r>
      <w:r w:rsidR="000F7002">
        <w:t xml:space="preserve">in a register </w:t>
      </w:r>
      <w:r w:rsidR="00CC6971" w:rsidRPr="00E05724">
        <w:t xml:space="preserve">and </w:t>
      </w:r>
      <w:r w:rsidR="00255EA7" w:rsidRPr="00E05724">
        <w:t>provid</w:t>
      </w:r>
      <w:r w:rsidR="00255EA7">
        <w:t>e the harvester register</w:t>
      </w:r>
      <w:r w:rsidR="00255EA7" w:rsidRPr="00E05724">
        <w:t xml:space="preserve"> </w:t>
      </w:r>
      <w:r w:rsidR="00CC6971" w:rsidRPr="00E05724">
        <w:t xml:space="preserve">to TMR at the start of the season, or if any </w:t>
      </w:r>
      <w:r w:rsidR="00DA198D">
        <w:t xml:space="preserve">harvesters </w:t>
      </w:r>
      <w:r w:rsidR="00CC6971" w:rsidRPr="00E05724">
        <w:t>change during the season.</w:t>
      </w:r>
    </w:p>
    <w:p w14:paraId="64340D11" w14:textId="703562AC" w:rsidR="00CC6971" w:rsidRPr="00E05724" w:rsidRDefault="00CC6971" w:rsidP="00575A22">
      <w:pPr>
        <w:spacing w:before="120"/>
      </w:pPr>
      <w:r w:rsidRPr="00E05724">
        <w:t>The eligible vehicle register must</w:t>
      </w:r>
      <w:r>
        <w:t xml:space="preserve"> </w:t>
      </w:r>
      <w:r w:rsidR="00DA198D">
        <w:t>have a date</w:t>
      </w:r>
      <w:r>
        <w:t xml:space="preserve"> and</w:t>
      </w:r>
      <w:r w:rsidRPr="00E05724">
        <w:t xml:space="preserve"> include:</w:t>
      </w:r>
    </w:p>
    <w:p w14:paraId="7E2BA8A3" w14:textId="6563C674" w:rsidR="00BB5C8F" w:rsidRDefault="00097BD7" w:rsidP="00E16930">
      <w:pPr>
        <w:pStyle w:val="ListParagraph"/>
        <w:numPr>
          <w:ilvl w:val="0"/>
          <w:numId w:val="17"/>
        </w:numPr>
      </w:pPr>
      <w:r>
        <w:t>Name of h</w:t>
      </w:r>
      <w:r w:rsidR="00E16930">
        <w:t>arvesting group</w:t>
      </w:r>
      <w:r w:rsidR="00661664">
        <w:t>.</w:t>
      </w:r>
    </w:p>
    <w:p w14:paraId="3806D7C1" w14:textId="0558B319" w:rsidR="00E16930" w:rsidRDefault="00BB5C8F" w:rsidP="00E16930">
      <w:pPr>
        <w:pStyle w:val="ListParagraph"/>
        <w:numPr>
          <w:ilvl w:val="0"/>
          <w:numId w:val="17"/>
        </w:numPr>
      </w:pPr>
      <w:r>
        <w:t>Contact</w:t>
      </w:r>
      <w:r w:rsidR="00E16930">
        <w:t xml:space="preserve"> details.</w:t>
      </w:r>
    </w:p>
    <w:p w14:paraId="0FAAD2D3" w14:textId="77777777" w:rsidR="009219CC" w:rsidRDefault="009219CC">
      <w:pPr>
        <w:spacing w:after="160" w:line="259" w:lineRule="auto"/>
        <w:rPr>
          <w:rFonts w:eastAsiaTheme="majorEastAsia" w:cstheme="majorBidi"/>
          <w:b/>
          <w:color w:val="003E69"/>
          <w:sz w:val="60"/>
          <w:szCs w:val="36"/>
        </w:rPr>
      </w:pPr>
      <w:r>
        <w:br w:type="page"/>
      </w:r>
    </w:p>
    <w:p w14:paraId="21A1580F" w14:textId="4F8DD82B" w:rsidR="00971CFE" w:rsidRPr="00971CFE" w:rsidRDefault="00D879CB" w:rsidP="00C563B4">
      <w:pPr>
        <w:pStyle w:val="Heading1"/>
        <w:spacing w:before="120"/>
      </w:pPr>
      <w:bookmarkStart w:id="67" w:name="_Toc169010705"/>
      <w:bookmarkStart w:id="68" w:name="_Toc169609005"/>
      <w:r>
        <w:lastRenderedPageBreak/>
        <w:t xml:space="preserve">Part </w:t>
      </w:r>
      <w:r w:rsidR="0053141A">
        <w:t xml:space="preserve">5 </w:t>
      </w:r>
      <w:r w:rsidR="00971CFE" w:rsidRPr="00971CFE">
        <w:t xml:space="preserve">General </w:t>
      </w:r>
      <w:r w:rsidR="00542F58">
        <w:t>e</w:t>
      </w:r>
      <w:r w:rsidR="00542F58" w:rsidRPr="00971CFE">
        <w:t>nquiries</w:t>
      </w:r>
      <w:bookmarkEnd w:id="67"/>
      <w:bookmarkEnd w:id="68"/>
    </w:p>
    <w:p w14:paraId="1B464F56" w14:textId="1C131D97" w:rsidR="00971CFE" w:rsidRPr="00971CFE" w:rsidRDefault="00B82A86" w:rsidP="003C50AD">
      <w:pPr>
        <w:spacing w:before="120"/>
        <w:rPr>
          <w:color w:val="FF0000"/>
        </w:rPr>
      </w:pPr>
      <w:r>
        <w:t>For all reporting</w:t>
      </w:r>
      <w:r w:rsidR="003C50AD">
        <w:t>:</w:t>
      </w:r>
      <w:r w:rsidR="00971CFE" w:rsidRPr="00971CFE">
        <w:rPr>
          <w:color w:val="FF0000"/>
        </w:rPr>
        <w:t xml:space="preserve"> </w:t>
      </w:r>
    </w:p>
    <w:p w14:paraId="735E69B6" w14:textId="5A27F5D5" w:rsidR="00971CFE" w:rsidRDefault="00971CFE" w:rsidP="00FE25BB">
      <w:pPr>
        <w:pStyle w:val="ListParagraph"/>
        <w:numPr>
          <w:ilvl w:val="0"/>
          <w:numId w:val="24"/>
        </w:numPr>
      </w:pPr>
      <w:r w:rsidRPr="003C50AD">
        <w:t xml:space="preserve">Email: </w:t>
      </w:r>
      <w:hyperlink r:id="rId23" w:history="1">
        <w:r w:rsidR="0084258A" w:rsidRPr="0084258A">
          <w:rPr>
            <w:rStyle w:val="Hyperlink"/>
          </w:rPr>
          <w:t>Sugarcane_Concessions@tmr.qld.gov.au</w:t>
        </w:r>
      </w:hyperlink>
      <w:r w:rsidR="003C50AD">
        <w:t xml:space="preserve"> </w:t>
      </w:r>
    </w:p>
    <w:p w14:paraId="34C85611" w14:textId="77777777" w:rsidR="00FF5A48" w:rsidRPr="004B3FB4" w:rsidRDefault="00FF5A48" w:rsidP="002E12AA">
      <w:pPr>
        <w:spacing w:before="120"/>
      </w:pPr>
      <w:r w:rsidRPr="004B3FB4">
        <w:t xml:space="preserve">If you have a </w:t>
      </w:r>
      <w:r>
        <w:t>SMMS</w:t>
      </w:r>
      <w:r w:rsidRPr="004B3FB4">
        <w:t xml:space="preserve"> policy </w:t>
      </w:r>
      <w:r>
        <w:t xml:space="preserve">or audit </w:t>
      </w:r>
      <w:r w:rsidRPr="004B3FB4">
        <w:t>question, please contact TMR:</w:t>
      </w:r>
    </w:p>
    <w:p w14:paraId="0D1B5A5B" w14:textId="049AA345" w:rsidR="00FF5A48" w:rsidRPr="003C50AD" w:rsidRDefault="00FF5A48" w:rsidP="00FF5A48">
      <w:pPr>
        <w:pStyle w:val="ListParagraph"/>
        <w:numPr>
          <w:ilvl w:val="0"/>
          <w:numId w:val="24"/>
        </w:numPr>
      </w:pPr>
      <w:r w:rsidRPr="004B3FB4">
        <w:t>Email</w:t>
      </w:r>
      <w:r>
        <w:t>:</w:t>
      </w:r>
      <w:r w:rsidRPr="004B3FB4">
        <w:t xml:space="preserve"> </w:t>
      </w:r>
      <w:hyperlink r:id="rId24" w:history="1">
        <w:r w:rsidRPr="005D57F0">
          <w:rPr>
            <w:rStyle w:val="Hyperlink"/>
          </w:rPr>
          <w:t>hv.policy@tmr.qld.gov.au</w:t>
        </w:r>
      </w:hyperlink>
    </w:p>
    <w:p w14:paraId="080A524C" w14:textId="025120BF" w:rsidR="00971CFE" w:rsidRPr="00971CFE" w:rsidRDefault="00971CFE" w:rsidP="00C563B4">
      <w:pPr>
        <w:pStyle w:val="Heading1"/>
        <w:spacing w:before="120"/>
      </w:pPr>
      <w:bookmarkStart w:id="69" w:name="_Toc169010706"/>
      <w:bookmarkStart w:id="70" w:name="_Toc169609006"/>
      <w:r w:rsidRPr="00971CFE">
        <w:t>Definitions</w:t>
      </w:r>
      <w:bookmarkEnd w:id="69"/>
      <w:bookmarkEnd w:id="70"/>
      <w:r w:rsidRPr="00971CFE">
        <w:t xml:space="preserve"> </w:t>
      </w:r>
      <w:r w:rsidRPr="00971CFE">
        <w:tab/>
      </w:r>
    </w:p>
    <w:p w14:paraId="33F9C57A" w14:textId="4D44D3DE" w:rsidR="00220B21" w:rsidRDefault="00220B21" w:rsidP="00220B21">
      <w:pPr>
        <w:pStyle w:val="Caption"/>
        <w:keepNext/>
        <w:spacing w:before="120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E7D3D">
        <w:rPr>
          <w:noProof/>
        </w:rPr>
        <w:t>5</w:t>
      </w:r>
      <w:r>
        <w:rPr>
          <w:noProof/>
        </w:rPr>
        <w:fldChar w:fldCharType="end"/>
      </w:r>
      <w:r>
        <w:t xml:space="preserve"> Definitions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4B3FB4" w14:paraId="3A47B064" w14:textId="77777777" w:rsidTr="00A065B9">
        <w:trPr>
          <w:cantSplit/>
          <w:trHeight w:val="20"/>
        </w:trPr>
        <w:tc>
          <w:tcPr>
            <w:tcW w:w="2263" w:type="dxa"/>
            <w:shd w:val="clear" w:color="auto" w:fill="003E69" w:themeFill="text2"/>
          </w:tcPr>
          <w:p w14:paraId="7CBCCB8A" w14:textId="6A77C774" w:rsidR="004B3FB4" w:rsidRPr="00F0194D" w:rsidRDefault="004B3FB4" w:rsidP="00971CFE">
            <w:r w:rsidRPr="00F0194D">
              <w:t>Term</w:t>
            </w:r>
          </w:p>
        </w:tc>
        <w:tc>
          <w:tcPr>
            <w:tcW w:w="7230" w:type="dxa"/>
            <w:shd w:val="clear" w:color="auto" w:fill="003E69" w:themeFill="text2"/>
          </w:tcPr>
          <w:p w14:paraId="71D95967" w14:textId="71D31A43" w:rsidR="004B3FB4" w:rsidRPr="00F0194D" w:rsidRDefault="004B3FB4" w:rsidP="00971CFE">
            <w:r w:rsidRPr="00F0194D">
              <w:t>Definition</w:t>
            </w:r>
          </w:p>
        </w:tc>
      </w:tr>
      <w:tr w:rsidR="00F47D28" w14:paraId="6A7F3CCE" w14:textId="77777777" w:rsidTr="00A065B9">
        <w:trPr>
          <w:cantSplit/>
          <w:trHeight w:val="20"/>
        </w:trPr>
        <w:tc>
          <w:tcPr>
            <w:tcW w:w="2263" w:type="dxa"/>
            <w:shd w:val="clear" w:color="auto" w:fill="auto"/>
          </w:tcPr>
          <w:p w14:paraId="324EBAE7" w14:textId="733A0034" w:rsidR="00F47D28" w:rsidRPr="00F0194D" w:rsidRDefault="00F47D28" w:rsidP="00971CFE">
            <w:r>
              <w:t>CoR</w:t>
            </w:r>
          </w:p>
        </w:tc>
        <w:tc>
          <w:tcPr>
            <w:tcW w:w="7230" w:type="dxa"/>
            <w:shd w:val="clear" w:color="auto" w:fill="auto"/>
          </w:tcPr>
          <w:p w14:paraId="1164FE5F" w14:textId="2EB2A2A2" w:rsidR="00F47D28" w:rsidRPr="00F0194D" w:rsidRDefault="00741187" w:rsidP="00971CFE">
            <w:r>
              <w:t>m</w:t>
            </w:r>
            <w:r w:rsidR="00A37D40">
              <w:t xml:space="preserve">eans </w:t>
            </w:r>
            <w:hyperlink r:id="rId25" w:history="1">
              <w:r w:rsidR="007C0BDF">
                <w:rPr>
                  <w:rStyle w:val="Hyperlink"/>
                </w:rPr>
                <w:t>Chain of Responsibility | NHVR</w:t>
              </w:r>
            </w:hyperlink>
          </w:p>
        </w:tc>
      </w:tr>
      <w:tr w:rsidR="004B3FB4" w14:paraId="02071DDA" w14:textId="77777777" w:rsidTr="00A065B9">
        <w:trPr>
          <w:cantSplit/>
          <w:trHeight w:val="20"/>
        </w:trPr>
        <w:tc>
          <w:tcPr>
            <w:tcW w:w="2263" w:type="dxa"/>
          </w:tcPr>
          <w:p w14:paraId="6B46BC6D" w14:textId="4C73F19E" w:rsidR="004B3FB4" w:rsidRPr="00F0194D" w:rsidRDefault="00A00F5F" w:rsidP="00971CFE">
            <w:r w:rsidRPr="00F0194D">
              <w:t xml:space="preserve">Eligible </w:t>
            </w:r>
            <w:r w:rsidR="00302F65">
              <w:t>v</w:t>
            </w:r>
            <w:r w:rsidRPr="00F0194D">
              <w:t>ehicle</w:t>
            </w:r>
          </w:p>
        </w:tc>
        <w:tc>
          <w:tcPr>
            <w:tcW w:w="7230" w:type="dxa"/>
          </w:tcPr>
          <w:p w14:paraId="13B7821C" w14:textId="1615FDEA" w:rsidR="004B3FB4" w:rsidRPr="00F0194D" w:rsidRDefault="00741187" w:rsidP="00971CFE">
            <w:r>
              <w:t>m</w:t>
            </w:r>
            <w:r w:rsidR="00A00F5F" w:rsidRPr="00F0194D">
              <w:t xml:space="preserve">eans a vehicle that complies with section </w:t>
            </w:r>
            <w:r w:rsidR="00370F64">
              <w:t>9</w:t>
            </w:r>
            <w:r w:rsidR="00370F64" w:rsidRPr="00F0194D">
              <w:t xml:space="preserve"> </w:t>
            </w:r>
            <w:r w:rsidR="00A00F5F" w:rsidRPr="00F0194D">
              <w:t xml:space="preserve">of this </w:t>
            </w:r>
            <w:r w:rsidR="00E86F7F">
              <w:t>G</w:t>
            </w:r>
            <w:r w:rsidR="00E86F7F" w:rsidRPr="00F0194D">
              <w:t>uide</w:t>
            </w:r>
          </w:p>
        </w:tc>
      </w:tr>
      <w:tr w:rsidR="00596882" w14:paraId="0C40F221" w14:textId="77777777" w:rsidTr="00A065B9">
        <w:trPr>
          <w:cantSplit/>
          <w:trHeight w:val="20"/>
        </w:trPr>
        <w:tc>
          <w:tcPr>
            <w:tcW w:w="2263" w:type="dxa"/>
          </w:tcPr>
          <w:p w14:paraId="30924B8B" w14:textId="31EED487" w:rsidR="00596882" w:rsidRPr="00F0194D" w:rsidRDefault="00596882" w:rsidP="00971CFE">
            <w:r>
              <w:t>GCM</w:t>
            </w:r>
          </w:p>
        </w:tc>
        <w:tc>
          <w:tcPr>
            <w:tcW w:w="7230" w:type="dxa"/>
          </w:tcPr>
          <w:p w14:paraId="7768D85A" w14:textId="540A986D" w:rsidR="00596882" w:rsidRDefault="00741187" w:rsidP="00971CFE">
            <w:r>
              <w:t xml:space="preserve">means </w:t>
            </w:r>
            <w:r w:rsidR="00596882">
              <w:t>Gross Combination Mass</w:t>
            </w:r>
            <w:r w:rsidR="00024FAB">
              <w:t xml:space="preserve"> as defined in the MDL(Reg)</w:t>
            </w:r>
          </w:p>
        </w:tc>
      </w:tr>
      <w:tr w:rsidR="00C15087" w14:paraId="078F6301" w14:textId="77777777" w:rsidTr="00A065B9">
        <w:trPr>
          <w:cantSplit/>
          <w:trHeight w:val="20"/>
        </w:trPr>
        <w:tc>
          <w:tcPr>
            <w:tcW w:w="2263" w:type="dxa"/>
          </w:tcPr>
          <w:p w14:paraId="77986AFC" w14:textId="34F0C0C4" w:rsidR="00C15087" w:rsidRDefault="00C15087" w:rsidP="00971CFE">
            <w:r>
              <w:t>GML</w:t>
            </w:r>
          </w:p>
        </w:tc>
        <w:tc>
          <w:tcPr>
            <w:tcW w:w="7230" w:type="dxa"/>
          </w:tcPr>
          <w:p w14:paraId="2D4D3FA5" w14:textId="7B8F49FB" w:rsidR="00C15087" w:rsidRDefault="00741187" w:rsidP="00971CFE">
            <w:r>
              <w:t xml:space="preserve">means </w:t>
            </w:r>
            <w:r w:rsidR="00C15087">
              <w:t>General Mass Limits</w:t>
            </w:r>
            <w:r w:rsidR="00024FAB">
              <w:t xml:space="preserve"> as defined in the MDL(Reg)</w:t>
            </w:r>
          </w:p>
        </w:tc>
      </w:tr>
      <w:tr w:rsidR="004B3FB4" w14:paraId="7FB51BFA" w14:textId="77777777" w:rsidTr="00A065B9">
        <w:trPr>
          <w:cantSplit/>
          <w:trHeight w:val="20"/>
        </w:trPr>
        <w:tc>
          <w:tcPr>
            <w:tcW w:w="2263" w:type="dxa"/>
          </w:tcPr>
          <w:p w14:paraId="6610F814" w14:textId="3D5D15E7" w:rsidR="004B3FB4" w:rsidRPr="00F0194D" w:rsidRDefault="00A00F5F" w:rsidP="00971CFE">
            <w:r w:rsidRPr="00F0194D">
              <w:t>HVNL</w:t>
            </w:r>
          </w:p>
        </w:tc>
        <w:tc>
          <w:tcPr>
            <w:tcW w:w="7230" w:type="dxa"/>
          </w:tcPr>
          <w:p w14:paraId="340A06D6" w14:textId="2B27C26A" w:rsidR="004B3FB4" w:rsidRPr="00F0194D" w:rsidRDefault="00741187" w:rsidP="00971CFE">
            <w:r>
              <w:t xml:space="preserve">means </w:t>
            </w:r>
            <w:hyperlink r:id="rId26" w:history="1">
              <w:r w:rsidR="00A00F5F" w:rsidRPr="00F0194D">
                <w:rPr>
                  <w:rStyle w:val="Hyperlink"/>
                </w:rPr>
                <w:t>Heavy Vehicle National Law</w:t>
              </w:r>
            </w:hyperlink>
          </w:p>
        </w:tc>
      </w:tr>
      <w:tr w:rsidR="00E31E72" w14:paraId="341A9B61" w14:textId="77777777" w:rsidTr="00A065B9">
        <w:trPr>
          <w:cantSplit/>
          <w:trHeight w:val="20"/>
        </w:trPr>
        <w:tc>
          <w:tcPr>
            <w:tcW w:w="2263" w:type="dxa"/>
          </w:tcPr>
          <w:p w14:paraId="04073153" w14:textId="35369A09" w:rsidR="00E31E72" w:rsidRPr="002A3194" w:rsidRDefault="00985A75" w:rsidP="00E31E72">
            <w:r>
              <w:t>In-field l</w:t>
            </w:r>
            <w:r w:rsidRPr="002A3194">
              <w:t xml:space="preserve">oading </w:t>
            </w:r>
            <w:r w:rsidR="00E31E72" w:rsidRPr="002A3194">
              <w:t>tolerance</w:t>
            </w:r>
          </w:p>
        </w:tc>
        <w:tc>
          <w:tcPr>
            <w:tcW w:w="7230" w:type="dxa"/>
          </w:tcPr>
          <w:p w14:paraId="22FBE205" w14:textId="4288B8E6" w:rsidR="00E31E72" w:rsidRPr="002A3194" w:rsidRDefault="009549C7" w:rsidP="00E31E72">
            <w:r>
              <w:t>m</w:t>
            </w:r>
            <w:r w:rsidR="00322F74">
              <w:t>eans t</w:t>
            </w:r>
            <w:r w:rsidR="00E31E72" w:rsidRPr="002A3194">
              <w:t>he percentage of mass increase added to GML mass limits for an eligible vehicle with a non-complying steer axle</w:t>
            </w:r>
          </w:p>
        </w:tc>
      </w:tr>
      <w:tr w:rsidR="004B3FB4" w14:paraId="4C11E9BD" w14:textId="77777777" w:rsidTr="00A065B9">
        <w:trPr>
          <w:cantSplit/>
          <w:trHeight w:val="20"/>
        </w:trPr>
        <w:tc>
          <w:tcPr>
            <w:tcW w:w="2263" w:type="dxa"/>
          </w:tcPr>
          <w:p w14:paraId="61FF36A9" w14:textId="17EB25F0" w:rsidR="004B3FB4" w:rsidRPr="00F0194D" w:rsidRDefault="00A00F5F" w:rsidP="00971CFE">
            <w:r w:rsidRPr="00F0194D">
              <w:t>MDL(Reg)</w:t>
            </w:r>
          </w:p>
        </w:tc>
        <w:tc>
          <w:tcPr>
            <w:tcW w:w="7230" w:type="dxa"/>
          </w:tcPr>
          <w:p w14:paraId="16E0E084" w14:textId="2667E096" w:rsidR="004B3FB4" w:rsidRPr="00F0194D" w:rsidRDefault="009549C7" w:rsidP="00971CFE">
            <w:r>
              <w:t xml:space="preserve">means </w:t>
            </w:r>
            <w:hyperlink r:id="rId27" w:history="1">
              <w:r w:rsidR="00A00F5F" w:rsidRPr="00F0194D">
                <w:rPr>
                  <w:rStyle w:val="Hyperlink"/>
                </w:rPr>
                <w:t>Heavy Vehicle (Mass, Dimension and Loading) National Regulation</w:t>
              </w:r>
            </w:hyperlink>
          </w:p>
        </w:tc>
      </w:tr>
      <w:tr w:rsidR="004B3FB4" w14:paraId="3F8E4B7A" w14:textId="77777777" w:rsidTr="00A065B9">
        <w:trPr>
          <w:cantSplit/>
          <w:trHeight w:val="20"/>
        </w:trPr>
        <w:tc>
          <w:tcPr>
            <w:tcW w:w="2263" w:type="dxa"/>
          </w:tcPr>
          <w:p w14:paraId="6640E3EE" w14:textId="2588F709" w:rsidR="004B3FB4" w:rsidRPr="00F0194D" w:rsidRDefault="00A00F5F" w:rsidP="00971CFE">
            <w:r w:rsidRPr="00F0194D">
              <w:t>MoU</w:t>
            </w:r>
          </w:p>
        </w:tc>
        <w:tc>
          <w:tcPr>
            <w:tcW w:w="7230" w:type="dxa"/>
          </w:tcPr>
          <w:p w14:paraId="62750D5B" w14:textId="27665280" w:rsidR="004B3FB4" w:rsidRPr="00F0194D" w:rsidRDefault="009549C7" w:rsidP="00971CFE">
            <w:r>
              <w:t xml:space="preserve">means </w:t>
            </w:r>
            <w:r w:rsidR="00A00F5F" w:rsidRPr="00F0194D">
              <w:t>Memorandum of Understanding</w:t>
            </w:r>
          </w:p>
        </w:tc>
      </w:tr>
      <w:tr w:rsidR="004B3FB4" w14:paraId="187C337E" w14:textId="77777777" w:rsidTr="00A065B9">
        <w:trPr>
          <w:cantSplit/>
          <w:trHeight w:val="20"/>
        </w:trPr>
        <w:tc>
          <w:tcPr>
            <w:tcW w:w="2263" w:type="dxa"/>
          </w:tcPr>
          <w:p w14:paraId="50F264FB" w14:textId="6E9432EB" w:rsidR="004B3FB4" w:rsidRPr="00F0194D" w:rsidRDefault="00A00F5F" w:rsidP="00971CFE">
            <w:r w:rsidRPr="00F0194D">
              <w:t>NHVR</w:t>
            </w:r>
          </w:p>
        </w:tc>
        <w:tc>
          <w:tcPr>
            <w:tcW w:w="7230" w:type="dxa"/>
          </w:tcPr>
          <w:p w14:paraId="7E18CCF8" w14:textId="5DC68BDF" w:rsidR="004B3FB4" w:rsidRPr="00F0194D" w:rsidRDefault="009549C7" w:rsidP="00971CFE">
            <w:r>
              <w:t xml:space="preserve">means </w:t>
            </w:r>
            <w:hyperlink r:id="rId28" w:history="1">
              <w:r w:rsidR="00A00F5F" w:rsidRPr="00F0194D">
                <w:rPr>
                  <w:rStyle w:val="Hyperlink"/>
                </w:rPr>
                <w:t>National Heavy Vehicle Regulator</w:t>
              </w:r>
            </w:hyperlink>
          </w:p>
        </w:tc>
      </w:tr>
      <w:tr w:rsidR="00A00F5F" w14:paraId="1C7FC3DD" w14:textId="77777777" w:rsidTr="00A065B9">
        <w:trPr>
          <w:cantSplit/>
          <w:trHeight w:val="20"/>
        </w:trPr>
        <w:tc>
          <w:tcPr>
            <w:tcW w:w="2263" w:type="dxa"/>
          </w:tcPr>
          <w:p w14:paraId="4C344911" w14:textId="47E1FB97" w:rsidR="00A00F5F" w:rsidRPr="00F0194D" w:rsidRDefault="005A70B6" w:rsidP="00971CFE">
            <w:r>
              <w:t>S</w:t>
            </w:r>
            <w:r w:rsidR="00A00F5F" w:rsidRPr="00F0194D">
              <w:t>ugar mill</w:t>
            </w:r>
          </w:p>
        </w:tc>
        <w:tc>
          <w:tcPr>
            <w:tcW w:w="7230" w:type="dxa"/>
          </w:tcPr>
          <w:p w14:paraId="0CE3DC1C" w14:textId="1DF95C21" w:rsidR="00A00F5F" w:rsidRPr="00F0194D" w:rsidRDefault="009549C7" w:rsidP="00971CFE">
            <w:r>
              <w:t>m</w:t>
            </w:r>
            <w:r w:rsidR="00D21CE5">
              <w:t>eans a</w:t>
            </w:r>
            <w:r w:rsidR="00E222C3">
              <w:t xml:space="preserve"> sugar mill that is </w:t>
            </w:r>
            <w:r w:rsidR="00140EF6" w:rsidRPr="00140EF6">
              <w:t xml:space="preserve">operating under </w:t>
            </w:r>
            <w:r w:rsidR="006B65DB">
              <w:t>a</w:t>
            </w:r>
            <w:r w:rsidR="00140EF6" w:rsidRPr="00140EF6">
              <w:t xml:space="preserve"> SMMS </w:t>
            </w:r>
            <w:r w:rsidR="00D006F1">
              <w:t>and</w:t>
            </w:r>
            <w:r w:rsidR="00A00F5F" w:rsidRPr="00F0194D">
              <w:t xml:space="preserve"> has a signed MoU with TMR</w:t>
            </w:r>
          </w:p>
        </w:tc>
      </w:tr>
      <w:tr w:rsidR="00B6578C" w14:paraId="224D24D4" w14:textId="77777777" w:rsidTr="00A065B9">
        <w:trPr>
          <w:cantSplit/>
          <w:trHeight w:val="20"/>
        </w:trPr>
        <w:tc>
          <w:tcPr>
            <w:tcW w:w="2263" w:type="dxa"/>
          </w:tcPr>
          <w:p w14:paraId="04C01FE4" w14:textId="77777777" w:rsidR="00B6578C" w:rsidRPr="00F0194D" w:rsidRDefault="00B6578C">
            <w:r w:rsidRPr="00F0194D">
              <w:t>SMMS</w:t>
            </w:r>
          </w:p>
        </w:tc>
        <w:tc>
          <w:tcPr>
            <w:tcW w:w="7230" w:type="dxa"/>
          </w:tcPr>
          <w:p w14:paraId="59941DEE" w14:textId="72DD81B2" w:rsidR="00B6578C" w:rsidRPr="00F0194D" w:rsidRDefault="009549C7">
            <w:r>
              <w:t xml:space="preserve">means </w:t>
            </w:r>
            <w:r w:rsidR="00B6578C" w:rsidRPr="00F0194D">
              <w:t>Queensland Sugar Mass Management Scheme</w:t>
            </w:r>
          </w:p>
        </w:tc>
      </w:tr>
      <w:tr w:rsidR="00630F1F" w14:paraId="0AE9FA87" w14:textId="77777777" w:rsidTr="00A065B9">
        <w:trPr>
          <w:cantSplit/>
          <w:trHeight w:val="20"/>
        </w:trPr>
        <w:tc>
          <w:tcPr>
            <w:tcW w:w="2263" w:type="dxa"/>
          </w:tcPr>
          <w:p w14:paraId="7366F57C" w14:textId="47D2D82B" w:rsidR="00630F1F" w:rsidRDefault="00630F1F" w:rsidP="00630F1F">
            <w:r>
              <w:t>Guide</w:t>
            </w:r>
          </w:p>
        </w:tc>
        <w:tc>
          <w:tcPr>
            <w:tcW w:w="7230" w:type="dxa"/>
          </w:tcPr>
          <w:p w14:paraId="4FE4785A" w14:textId="693FA029" w:rsidR="00630F1F" w:rsidRDefault="009549C7" w:rsidP="00630F1F">
            <w:r>
              <w:t xml:space="preserve">means </w:t>
            </w:r>
            <w:r w:rsidR="00630F1F" w:rsidRPr="00F0194D">
              <w:t>Queensland Sugar Mass Management Scheme</w:t>
            </w:r>
            <w:r w:rsidR="00630F1F">
              <w:t xml:space="preserve"> Participation Guide</w:t>
            </w:r>
          </w:p>
        </w:tc>
      </w:tr>
      <w:tr w:rsidR="00630F1F" w14:paraId="2FF07A91" w14:textId="77777777" w:rsidTr="00A065B9">
        <w:trPr>
          <w:cantSplit/>
          <w:trHeight w:val="20"/>
        </w:trPr>
        <w:tc>
          <w:tcPr>
            <w:tcW w:w="2263" w:type="dxa"/>
          </w:tcPr>
          <w:p w14:paraId="7F230EE7" w14:textId="09E392BE" w:rsidR="00630F1F" w:rsidRPr="00772B8A" w:rsidRDefault="00630F1F" w:rsidP="00630F1F">
            <w:r w:rsidRPr="00772B8A">
              <w:t>Notice</w:t>
            </w:r>
          </w:p>
        </w:tc>
        <w:tc>
          <w:tcPr>
            <w:tcW w:w="7230" w:type="dxa"/>
          </w:tcPr>
          <w:p w14:paraId="7EFFA1D6" w14:textId="39981230" w:rsidR="00630F1F" w:rsidRPr="00772B8A" w:rsidRDefault="009549C7" w:rsidP="00630F1F">
            <w:r>
              <w:t xml:space="preserve">means </w:t>
            </w:r>
            <w:r w:rsidR="00630F1F" w:rsidRPr="00772B8A">
              <w:t>Queensland Class 3 Heavy Vehicle Sugar Mill Mass Management Scheme Exemption Notice</w:t>
            </w:r>
          </w:p>
        </w:tc>
      </w:tr>
      <w:tr w:rsidR="00630F1F" w14:paraId="759DBDD5" w14:textId="77777777" w:rsidTr="00A065B9">
        <w:trPr>
          <w:cantSplit/>
          <w:trHeight w:val="20"/>
        </w:trPr>
        <w:tc>
          <w:tcPr>
            <w:tcW w:w="2263" w:type="dxa"/>
          </w:tcPr>
          <w:p w14:paraId="149A279E" w14:textId="7C2A700F" w:rsidR="00630F1F" w:rsidRPr="00F0194D" w:rsidRDefault="00630F1F" w:rsidP="00630F1F">
            <w:r w:rsidRPr="00F0194D">
              <w:t>TMR</w:t>
            </w:r>
          </w:p>
        </w:tc>
        <w:tc>
          <w:tcPr>
            <w:tcW w:w="7230" w:type="dxa"/>
          </w:tcPr>
          <w:p w14:paraId="78EEA0DA" w14:textId="1D25E27D" w:rsidR="00630F1F" w:rsidRPr="00F0194D" w:rsidRDefault="00C31A8F" w:rsidP="00630F1F">
            <w:r>
              <w:t>The</w:t>
            </w:r>
            <w:r w:rsidR="00A94DF3">
              <w:t xml:space="preserve"> </w:t>
            </w:r>
            <w:r w:rsidR="00630F1F" w:rsidRPr="00F0194D">
              <w:t>Department of Transport and Main Roads</w:t>
            </w:r>
          </w:p>
        </w:tc>
      </w:tr>
      <w:tr w:rsidR="007701CC" w14:paraId="0430CC5B" w14:textId="77777777" w:rsidTr="00A065B9">
        <w:trPr>
          <w:cantSplit/>
          <w:trHeight w:val="20"/>
        </w:trPr>
        <w:tc>
          <w:tcPr>
            <w:tcW w:w="2263" w:type="dxa"/>
          </w:tcPr>
          <w:p w14:paraId="29582266" w14:textId="0EE16F13" w:rsidR="007701CC" w:rsidRPr="00F0194D" w:rsidRDefault="007701CC" w:rsidP="007701CC">
            <w:r>
              <w:t>Transport operator</w:t>
            </w:r>
          </w:p>
        </w:tc>
        <w:tc>
          <w:tcPr>
            <w:tcW w:w="7230" w:type="dxa"/>
          </w:tcPr>
          <w:p w14:paraId="352C6BD0" w14:textId="5CFF00F6" w:rsidR="007701CC" w:rsidRDefault="007701CC" w:rsidP="007701CC">
            <w:r>
              <w:t xml:space="preserve">means a transport operator enrolled in </w:t>
            </w:r>
            <w:r w:rsidR="00C03A0D">
              <w:t>a</w:t>
            </w:r>
            <w:r>
              <w:t xml:space="preserve"> </w:t>
            </w:r>
            <w:r w:rsidR="00C03A0D">
              <w:t>SM</w:t>
            </w:r>
            <w:r>
              <w:t xml:space="preserve">MS with </w:t>
            </w:r>
            <w:r w:rsidR="00C03A0D">
              <w:t>a sugar mill</w:t>
            </w:r>
            <w:r>
              <w:t>.</w:t>
            </w:r>
          </w:p>
        </w:tc>
      </w:tr>
    </w:tbl>
    <w:p w14:paraId="4435CF60" w14:textId="77777777" w:rsidR="00C1240E" w:rsidRPr="00971CFE" w:rsidRDefault="00C1240E" w:rsidP="00C1240E">
      <w:pPr>
        <w:pStyle w:val="Heading1"/>
        <w:spacing w:before="240"/>
      </w:pPr>
      <w:bookmarkStart w:id="71" w:name="_Toc169010105"/>
      <w:bookmarkStart w:id="72" w:name="_Toc169010707"/>
      <w:bookmarkStart w:id="73" w:name="_Toc169609007"/>
      <w:r>
        <w:t>Amendments</w:t>
      </w:r>
      <w:bookmarkEnd w:id="71"/>
      <w:bookmarkEnd w:id="72"/>
      <w:bookmarkEnd w:id="73"/>
      <w:r w:rsidRPr="00971CFE">
        <w:tab/>
      </w:r>
    </w:p>
    <w:p w14:paraId="0E1D761E" w14:textId="212D279E" w:rsidR="00220B21" w:rsidRDefault="00220B21" w:rsidP="00220B21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E7D3D">
        <w:rPr>
          <w:noProof/>
        </w:rPr>
        <w:t>6</w:t>
      </w:r>
      <w:r>
        <w:rPr>
          <w:noProof/>
        </w:rPr>
        <w:fldChar w:fldCharType="end"/>
      </w:r>
      <w:r>
        <w:t xml:space="preserve"> Amendments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30"/>
        <w:gridCol w:w="7063"/>
      </w:tblGrid>
      <w:tr w:rsidR="00C1240E" w14:paraId="09EF062E" w14:textId="77777777">
        <w:trPr>
          <w:cantSplit/>
          <w:trHeight w:val="20"/>
        </w:trPr>
        <w:tc>
          <w:tcPr>
            <w:tcW w:w="2430" w:type="dxa"/>
            <w:shd w:val="clear" w:color="auto" w:fill="003E69" w:themeFill="text2"/>
          </w:tcPr>
          <w:p w14:paraId="5F615F87" w14:textId="77777777" w:rsidR="00C1240E" w:rsidRPr="00F0194D" w:rsidRDefault="00C1240E">
            <w:r>
              <w:t>Date of commencement</w:t>
            </w:r>
          </w:p>
        </w:tc>
        <w:tc>
          <w:tcPr>
            <w:tcW w:w="7063" w:type="dxa"/>
            <w:shd w:val="clear" w:color="auto" w:fill="003E69" w:themeFill="text2"/>
          </w:tcPr>
          <w:p w14:paraId="359AAD16" w14:textId="77777777" w:rsidR="00C1240E" w:rsidRPr="00F0194D" w:rsidRDefault="00C1240E">
            <w:r>
              <w:t>Amendment</w:t>
            </w:r>
          </w:p>
        </w:tc>
      </w:tr>
      <w:tr w:rsidR="00C1240E" w14:paraId="07B451A3" w14:textId="77777777">
        <w:trPr>
          <w:cantSplit/>
          <w:trHeight w:val="20"/>
        </w:trPr>
        <w:tc>
          <w:tcPr>
            <w:tcW w:w="2430" w:type="dxa"/>
          </w:tcPr>
          <w:p w14:paraId="31CCB661" w14:textId="77777777" w:rsidR="00C1240E" w:rsidRPr="003F3A2B" w:rsidRDefault="00C1240E">
            <w:r>
              <w:t>June 2024</w:t>
            </w:r>
          </w:p>
        </w:tc>
        <w:tc>
          <w:tcPr>
            <w:tcW w:w="7063" w:type="dxa"/>
          </w:tcPr>
          <w:p w14:paraId="33577505" w14:textId="77777777" w:rsidR="007B3444" w:rsidRDefault="007B3444" w:rsidP="007B3444">
            <w:pPr>
              <w:pStyle w:val="ListParagraph"/>
              <w:numPr>
                <w:ilvl w:val="0"/>
                <w:numId w:val="24"/>
              </w:numPr>
            </w:pPr>
            <w:r>
              <w:t>Minor amendments to align with compliance activities transitioning to the NHVR.</w:t>
            </w:r>
          </w:p>
          <w:p w14:paraId="157D6C66" w14:textId="3D311543" w:rsidR="00E70CCB" w:rsidRPr="003F3A2B" w:rsidRDefault="007B3444" w:rsidP="007B3444">
            <w:pPr>
              <w:pStyle w:val="ListParagraph"/>
              <w:numPr>
                <w:ilvl w:val="0"/>
                <w:numId w:val="24"/>
              </w:numPr>
            </w:pPr>
            <w:r>
              <w:t>Format document to current style guide.</w:t>
            </w:r>
          </w:p>
        </w:tc>
      </w:tr>
    </w:tbl>
    <w:p w14:paraId="02F93362" w14:textId="77777777" w:rsidR="00BB406C" w:rsidRPr="00971CFE" w:rsidRDefault="00BB406C" w:rsidP="00DF6D52">
      <w:pPr>
        <w:rPr>
          <w:color w:val="FF0000"/>
        </w:rPr>
      </w:pPr>
    </w:p>
    <w:sectPr w:rsidR="00BB406C" w:rsidRPr="00971CFE" w:rsidSect="001D550C">
      <w:footerReference w:type="default" r:id="rId29"/>
      <w:footerReference w:type="first" r:id="rId30"/>
      <w:pgSz w:w="11906" w:h="16838" w:code="9"/>
      <w:pgMar w:top="720" w:right="720" w:bottom="720" w:left="720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C5E4" w14:textId="77777777" w:rsidR="00333D2D" w:rsidRDefault="00333D2D" w:rsidP="00A9280E">
      <w:pPr>
        <w:spacing w:line="240" w:lineRule="auto"/>
      </w:pPr>
      <w:r>
        <w:separator/>
      </w:r>
    </w:p>
  </w:endnote>
  <w:endnote w:type="continuationSeparator" w:id="0">
    <w:p w14:paraId="559BF963" w14:textId="77777777" w:rsidR="00333D2D" w:rsidRDefault="00333D2D" w:rsidP="00A9280E">
      <w:pPr>
        <w:spacing w:line="240" w:lineRule="auto"/>
      </w:pPr>
      <w:r>
        <w:continuationSeparator/>
      </w:r>
    </w:p>
  </w:endnote>
  <w:endnote w:type="continuationNotice" w:id="1">
    <w:p w14:paraId="382EC59A" w14:textId="77777777" w:rsidR="00333D2D" w:rsidRDefault="00333D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D907" w14:textId="37FE81C5" w:rsidR="004224C7" w:rsidRDefault="0027227A" w:rsidP="00135138">
    <w:pPr>
      <w:pStyle w:val="Footer"/>
      <w:jc w:val="right"/>
    </w:pPr>
    <w:r>
      <w:t>Queensland Sugar Mass Management Scheme Participation Guide</w:t>
    </w:r>
    <w:r w:rsidR="00735481">
      <w:tab/>
    </w:r>
    <w:r w:rsidR="00735481">
      <w:tab/>
    </w:r>
    <w:r w:rsidR="00735481">
      <w:tab/>
    </w:r>
    <w:r w:rsidR="00735481">
      <w:tab/>
    </w:r>
    <w:r w:rsidR="00735481">
      <w:tab/>
    </w:r>
    <w:r w:rsidR="000C68DC">
      <w:t xml:space="preserve"> </w:t>
    </w:r>
    <w:sdt>
      <w:sdtPr>
        <w:id w:val="-819888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24C7">
          <w:fldChar w:fldCharType="begin"/>
        </w:r>
        <w:r w:rsidR="004224C7">
          <w:instrText xml:space="preserve"> PAGE   \* MERGEFORMAT </w:instrText>
        </w:r>
        <w:r w:rsidR="004224C7">
          <w:fldChar w:fldCharType="separate"/>
        </w:r>
        <w:r w:rsidR="004224C7">
          <w:rPr>
            <w:noProof/>
          </w:rPr>
          <w:t>2</w:t>
        </w:r>
        <w:r w:rsidR="004224C7">
          <w:rPr>
            <w:noProof/>
          </w:rPr>
          <w:fldChar w:fldCharType="end"/>
        </w:r>
      </w:sdtContent>
    </w:sdt>
  </w:p>
  <w:p w14:paraId="58E3ED42" w14:textId="77777777" w:rsidR="0017476F" w:rsidRDefault="00174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05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C0346" w14:textId="77777777" w:rsidR="00357930" w:rsidRDefault="00357930" w:rsidP="00357930">
        <w:pPr>
          <w:pStyle w:val="Footer"/>
        </w:pPr>
        <w:r>
          <w:t xml:space="preserve">Queensland Sugar Mass Management Scheme Participation Guide </w:t>
        </w:r>
        <w:r>
          <w:tab/>
        </w:r>
        <w:r>
          <w:tab/>
        </w:r>
        <w:r>
          <w:tab/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rPr>
            <w:noProof/>
          </w:rPr>
          <w:fldChar w:fldCharType="end"/>
        </w:r>
      </w:p>
    </w:sdtContent>
  </w:sdt>
  <w:p w14:paraId="1A6881B7" w14:textId="77777777" w:rsidR="0017476F" w:rsidRDefault="00174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88E7" w14:textId="77777777" w:rsidR="00333D2D" w:rsidRDefault="00333D2D" w:rsidP="00A9280E">
      <w:pPr>
        <w:spacing w:line="240" w:lineRule="auto"/>
      </w:pPr>
      <w:r>
        <w:separator/>
      </w:r>
    </w:p>
  </w:footnote>
  <w:footnote w:type="continuationSeparator" w:id="0">
    <w:p w14:paraId="5B602FA0" w14:textId="77777777" w:rsidR="00333D2D" w:rsidRDefault="00333D2D" w:rsidP="00A9280E">
      <w:pPr>
        <w:spacing w:line="240" w:lineRule="auto"/>
      </w:pPr>
      <w:r>
        <w:continuationSeparator/>
      </w:r>
    </w:p>
  </w:footnote>
  <w:footnote w:type="continuationNotice" w:id="1">
    <w:p w14:paraId="44A01AEC" w14:textId="77777777" w:rsidR="00333D2D" w:rsidRDefault="00333D2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083"/>
    <w:multiLevelType w:val="hybridMultilevel"/>
    <w:tmpl w:val="14E88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2786"/>
    <w:multiLevelType w:val="hybridMultilevel"/>
    <w:tmpl w:val="158E2C80"/>
    <w:lvl w:ilvl="0" w:tplc="0C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6FF2364"/>
    <w:multiLevelType w:val="hybridMultilevel"/>
    <w:tmpl w:val="C98A4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2AFE"/>
    <w:multiLevelType w:val="hybridMultilevel"/>
    <w:tmpl w:val="FA7CF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51AA"/>
    <w:multiLevelType w:val="hybridMultilevel"/>
    <w:tmpl w:val="8C644F94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B302E"/>
    <w:multiLevelType w:val="hybridMultilevel"/>
    <w:tmpl w:val="E49CE30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4671"/>
    <w:multiLevelType w:val="hybridMultilevel"/>
    <w:tmpl w:val="1BD8B7B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631F7"/>
    <w:multiLevelType w:val="hybridMultilevel"/>
    <w:tmpl w:val="825201C4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5C6797"/>
    <w:multiLevelType w:val="hybridMultilevel"/>
    <w:tmpl w:val="0BF2B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C4BCD"/>
    <w:multiLevelType w:val="hybridMultilevel"/>
    <w:tmpl w:val="8646D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11DAC"/>
    <w:multiLevelType w:val="hybridMultilevel"/>
    <w:tmpl w:val="2FBA8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C42EC"/>
    <w:multiLevelType w:val="multilevel"/>
    <w:tmpl w:val="174E9194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34641B79"/>
    <w:multiLevelType w:val="hybridMultilevel"/>
    <w:tmpl w:val="786C6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90CF9"/>
    <w:multiLevelType w:val="hybridMultilevel"/>
    <w:tmpl w:val="AAC61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07A62"/>
    <w:multiLevelType w:val="multilevel"/>
    <w:tmpl w:val="402C3B7E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3C8E671A"/>
    <w:multiLevelType w:val="hybridMultilevel"/>
    <w:tmpl w:val="E866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162B8"/>
    <w:multiLevelType w:val="hybridMultilevel"/>
    <w:tmpl w:val="D3E80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C3787"/>
    <w:multiLevelType w:val="multilevel"/>
    <w:tmpl w:val="AD2863B2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43EC6C0F"/>
    <w:multiLevelType w:val="hybridMultilevel"/>
    <w:tmpl w:val="38404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558B9"/>
    <w:multiLevelType w:val="hybridMultilevel"/>
    <w:tmpl w:val="D068B28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3">
      <w:start w:val="1"/>
      <w:numFmt w:val="upperRoman"/>
      <w:lvlText w:val="%2."/>
      <w:lvlJc w:val="right"/>
      <w:pPr>
        <w:ind w:left="1260" w:hanging="18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E47C5"/>
    <w:multiLevelType w:val="multilevel"/>
    <w:tmpl w:val="37BC75FC"/>
    <w:lvl w:ilvl="0">
      <w:start w:val="2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771061B"/>
    <w:multiLevelType w:val="multilevel"/>
    <w:tmpl w:val="19E6EE3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48EF4C9B"/>
    <w:multiLevelType w:val="hybridMultilevel"/>
    <w:tmpl w:val="C0C28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03608"/>
    <w:multiLevelType w:val="hybridMultilevel"/>
    <w:tmpl w:val="801E7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490B"/>
    <w:multiLevelType w:val="hybridMultilevel"/>
    <w:tmpl w:val="1E22501E"/>
    <w:lvl w:ilvl="0" w:tplc="41B2DC08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D10E7"/>
    <w:multiLevelType w:val="hybridMultilevel"/>
    <w:tmpl w:val="635C35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66637"/>
    <w:multiLevelType w:val="hybridMultilevel"/>
    <w:tmpl w:val="3BE40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D0A49"/>
    <w:multiLevelType w:val="hybridMultilevel"/>
    <w:tmpl w:val="6AA84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033D5"/>
    <w:multiLevelType w:val="hybridMultilevel"/>
    <w:tmpl w:val="E9A87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C07D5"/>
    <w:multiLevelType w:val="hybridMultilevel"/>
    <w:tmpl w:val="34BEC70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A45A2"/>
    <w:multiLevelType w:val="hybridMultilevel"/>
    <w:tmpl w:val="5600A3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2" w15:restartNumberingAfterBreak="0">
    <w:nsid w:val="647A5B82"/>
    <w:multiLevelType w:val="hybridMultilevel"/>
    <w:tmpl w:val="8620DCFE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7655653"/>
    <w:multiLevelType w:val="singleLevel"/>
    <w:tmpl w:val="7876ED7E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4" w15:restartNumberingAfterBreak="0">
    <w:nsid w:val="69425A8E"/>
    <w:multiLevelType w:val="hybridMultilevel"/>
    <w:tmpl w:val="6262C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D7EA6"/>
    <w:multiLevelType w:val="hybridMultilevel"/>
    <w:tmpl w:val="2B8E6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137A1"/>
    <w:multiLevelType w:val="hybridMultilevel"/>
    <w:tmpl w:val="B498A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C365B"/>
    <w:multiLevelType w:val="hybridMultilevel"/>
    <w:tmpl w:val="56906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061E"/>
    <w:multiLevelType w:val="hybridMultilevel"/>
    <w:tmpl w:val="F81A9F18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537927"/>
    <w:multiLevelType w:val="hybridMultilevel"/>
    <w:tmpl w:val="F4003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1" w15:restartNumberingAfterBreak="0">
    <w:nsid w:val="7FB7528C"/>
    <w:multiLevelType w:val="singleLevel"/>
    <w:tmpl w:val="E3AE282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391341297">
    <w:abstractNumId w:val="31"/>
  </w:num>
  <w:num w:numId="2" w16cid:durableId="2008363094">
    <w:abstractNumId w:val="40"/>
  </w:num>
  <w:num w:numId="3" w16cid:durableId="1753040736">
    <w:abstractNumId w:val="41"/>
  </w:num>
  <w:num w:numId="4" w16cid:durableId="1182431768">
    <w:abstractNumId w:val="33"/>
  </w:num>
  <w:num w:numId="5" w16cid:durableId="2088263037">
    <w:abstractNumId w:val="22"/>
  </w:num>
  <w:num w:numId="6" w16cid:durableId="1708019083">
    <w:abstractNumId w:val="3"/>
  </w:num>
  <w:num w:numId="7" w16cid:durableId="1661958862">
    <w:abstractNumId w:val="0"/>
  </w:num>
  <w:num w:numId="8" w16cid:durableId="923534257">
    <w:abstractNumId w:val="18"/>
  </w:num>
  <w:num w:numId="9" w16cid:durableId="364597205">
    <w:abstractNumId w:val="29"/>
  </w:num>
  <w:num w:numId="10" w16cid:durableId="135883085">
    <w:abstractNumId w:val="4"/>
  </w:num>
  <w:num w:numId="11" w16cid:durableId="1174803343">
    <w:abstractNumId w:val="5"/>
  </w:num>
  <w:num w:numId="12" w16cid:durableId="79714959">
    <w:abstractNumId w:val="38"/>
  </w:num>
  <w:num w:numId="13" w16cid:durableId="49429418">
    <w:abstractNumId w:val="7"/>
  </w:num>
  <w:num w:numId="14" w16cid:durableId="1422799792">
    <w:abstractNumId w:val="12"/>
  </w:num>
  <w:num w:numId="15" w16cid:durableId="1342271287">
    <w:abstractNumId w:val="28"/>
  </w:num>
  <w:num w:numId="16" w16cid:durableId="1587573212">
    <w:abstractNumId w:val="27"/>
  </w:num>
  <w:num w:numId="17" w16cid:durableId="716706135">
    <w:abstractNumId w:val="39"/>
  </w:num>
  <w:num w:numId="18" w16cid:durableId="1582913483">
    <w:abstractNumId w:val="15"/>
  </w:num>
  <w:num w:numId="19" w16cid:durableId="1170607348">
    <w:abstractNumId w:val="9"/>
  </w:num>
  <w:num w:numId="20" w16cid:durableId="325282225">
    <w:abstractNumId w:val="35"/>
  </w:num>
  <w:num w:numId="21" w16cid:durableId="216670458">
    <w:abstractNumId w:val="23"/>
  </w:num>
  <w:num w:numId="22" w16cid:durableId="1144810389">
    <w:abstractNumId w:val="37"/>
  </w:num>
  <w:num w:numId="23" w16cid:durableId="866141048">
    <w:abstractNumId w:val="8"/>
  </w:num>
  <w:num w:numId="24" w16cid:durableId="662011807">
    <w:abstractNumId w:val="16"/>
  </w:num>
  <w:num w:numId="25" w16cid:durableId="1402173309">
    <w:abstractNumId w:val="17"/>
  </w:num>
  <w:num w:numId="26" w16cid:durableId="1149439581">
    <w:abstractNumId w:val="21"/>
  </w:num>
  <w:num w:numId="27" w16cid:durableId="1903439352">
    <w:abstractNumId w:val="14"/>
  </w:num>
  <w:num w:numId="28" w16cid:durableId="558902929">
    <w:abstractNumId w:val="11"/>
  </w:num>
  <w:num w:numId="29" w16cid:durableId="1310674960">
    <w:abstractNumId w:val="24"/>
  </w:num>
  <w:num w:numId="30" w16cid:durableId="2111076442">
    <w:abstractNumId w:val="32"/>
  </w:num>
  <w:num w:numId="31" w16cid:durableId="670523561">
    <w:abstractNumId w:val="1"/>
  </w:num>
  <w:num w:numId="32" w16cid:durableId="685642358">
    <w:abstractNumId w:val="30"/>
  </w:num>
  <w:num w:numId="33" w16cid:durableId="365839313">
    <w:abstractNumId w:val="6"/>
  </w:num>
  <w:num w:numId="34" w16cid:durableId="1491480883">
    <w:abstractNumId w:val="13"/>
  </w:num>
  <w:num w:numId="35" w16cid:durableId="1272014616">
    <w:abstractNumId w:val="25"/>
  </w:num>
  <w:num w:numId="36" w16cid:durableId="1843543714">
    <w:abstractNumId w:val="2"/>
  </w:num>
  <w:num w:numId="37" w16cid:durableId="513350840">
    <w:abstractNumId w:val="36"/>
  </w:num>
  <w:num w:numId="38" w16cid:durableId="1714574573">
    <w:abstractNumId w:val="20"/>
  </w:num>
  <w:num w:numId="39" w16cid:durableId="1127089534">
    <w:abstractNumId w:val="34"/>
  </w:num>
  <w:num w:numId="40" w16cid:durableId="1454448436">
    <w:abstractNumId w:val="19"/>
  </w:num>
  <w:num w:numId="41" w16cid:durableId="305162752">
    <w:abstractNumId w:val="26"/>
  </w:num>
  <w:num w:numId="42" w16cid:durableId="442723913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F4"/>
    <w:rsid w:val="00001581"/>
    <w:rsid w:val="000017CF"/>
    <w:rsid w:val="00002C9B"/>
    <w:rsid w:val="00003D0A"/>
    <w:rsid w:val="00004212"/>
    <w:rsid w:val="00004774"/>
    <w:rsid w:val="00004B15"/>
    <w:rsid w:val="00005E31"/>
    <w:rsid w:val="00005F9A"/>
    <w:rsid w:val="000061CD"/>
    <w:rsid w:val="000068B9"/>
    <w:rsid w:val="00006CF2"/>
    <w:rsid w:val="000118E0"/>
    <w:rsid w:val="00012CAD"/>
    <w:rsid w:val="0001356D"/>
    <w:rsid w:val="000145C2"/>
    <w:rsid w:val="00014E28"/>
    <w:rsid w:val="00014FC8"/>
    <w:rsid w:val="000156EC"/>
    <w:rsid w:val="00015B3F"/>
    <w:rsid w:val="0001677F"/>
    <w:rsid w:val="000170DB"/>
    <w:rsid w:val="00020B7D"/>
    <w:rsid w:val="00021081"/>
    <w:rsid w:val="0002177B"/>
    <w:rsid w:val="00021F96"/>
    <w:rsid w:val="00024C73"/>
    <w:rsid w:val="00024FAB"/>
    <w:rsid w:val="00030990"/>
    <w:rsid w:val="00030A76"/>
    <w:rsid w:val="0003137E"/>
    <w:rsid w:val="00033B07"/>
    <w:rsid w:val="0003487F"/>
    <w:rsid w:val="0003574C"/>
    <w:rsid w:val="00035CC9"/>
    <w:rsid w:val="00035F33"/>
    <w:rsid w:val="000362C4"/>
    <w:rsid w:val="00036A1E"/>
    <w:rsid w:val="00037882"/>
    <w:rsid w:val="00040D81"/>
    <w:rsid w:val="00041B39"/>
    <w:rsid w:val="00043160"/>
    <w:rsid w:val="00045BEC"/>
    <w:rsid w:val="000471A0"/>
    <w:rsid w:val="00047D8C"/>
    <w:rsid w:val="000516DF"/>
    <w:rsid w:val="000522F5"/>
    <w:rsid w:val="00063EC5"/>
    <w:rsid w:val="00064394"/>
    <w:rsid w:val="000663F1"/>
    <w:rsid w:val="0006670F"/>
    <w:rsid w:val="00067CCE"/>
    <w:rsid w:val="00072664"/>
    <w:rsid w:val="000732AB"/>
    <w:rsid w:val="00073B95"/>
    <w:rsid w:val="00074E2F"/>
    <w:rsid w:val="00075E43"/>
    <w:rsid w:val="00087821"/>
    <w:rsid w:val="00090B16"/>
    <w:rsid w:val="000919D4"/>
    <w:rsid w:val="00092CC8"/>
    <w:rsid w:val="00093014"/>
    <w:rsid w:val="00096DC0"/>
    <w:rsid w:val="00097BD7"/>
    <w:rsid w:val="000A0F80"/>
    <w:rsid w:val="000A21FE"/>
    <w:rsid w:val="000A4523"/>
    <w:rsid w:val="000A4D4E"/>
    <w:rsid w:val="000A730A"/>
    <w:rsid w:val="000A7BB3"/>
    <w:rsid w:val="000B15F2"/>
    <w:rsid w:val="000B283A"/>
    <w:rsid w:val="000B3C3E"/>
    <w:rsid w:val="000B4DDE"/>
    <w:rsid w:val="000B5775"/>
    <w:rsid w:val="000B62D3"/>
    <w:rsid w:val="000C0076"/>
    <w:rsid w:val="000C033F"/>
    <w:rsid w:val="000C0C5F"/>
    <w:rsid w:val="000C1749"/>
    <w:rsid w:val="000C20D5"/>
    <w:rsid w:val="000C38FF"/>
    <w:rsid w:val="000C68DC"/>
    <w:rsid w:val="000C6F5B"/>
    <w:rsid w:val="000C765B"/>
    <w:rsid w:val="000D0F2A"/>
    <w:rsid w:val="000D1187"/>
    <w:rsid w:val="000D40BA"/>
    <w:rsid w:val="000D5B19"/>
    <w:rsid w:val="000D73F6"/>
    <w:rsid w:val="000E0A3A"/>
    <w:rsid w:val="000E1F20"/>
    <w:rsid w:val="000E2E30"/>
    <w:rsid w:val="000E341A"/>
    <w:rsid w:val="000E387D"/>
    <w:rsid w:val="000E43DF"/>
    <w:rsid w:val="000E6451"/>
    <w:rsid w:val="000E6C14"/>
    <w:rsid w:val="000E72D2"/>
    <w:rsid w:val="000F1798"/>
    <w:rsid w:val="000F2516"/>
    <w:rsid w:val="000F252C"/>
    <w:rsid w:val="000F2988"/>
    <w:rsid w:val="000F4CEE"/>
    <w:rsid w:val="000F662F"/>
    <w:rsid w:val="000F6A2D"/>
    <w:rsid w:val="000F7002"/>
    <w:rsid w:val="000F7713"/>
    <w:rsid w:val="0010180F"/>
    <w:rsid w:val="00101A73"/>
    <w:rsid w:val="00104BF1"/>
    <w:rsid w:val="001057D0"/>
    <w:rsid w:val="00106185"/>
    <w:rsid w:val="00112985"/>
    <w:rsid w:val="001205CE"/>
    <w:rsid w:val="00121341"/>
    <w:rsid w:val="00122D28"/>
    <w:rsid w:val="001238BE"/>
    <w:rsid w:val="0012596D"/>
    <w:rsid w:val="00125CC2"/>
    <w:rsid w:val="00131469"/>
    <w:rsid w:val="00132518"/>
    <w:rsid w:val="00132D56"/>
    <w:rsid w:val="00132D96"/>
    <w:rsid w:val="00135138"/>
    <w:rsid w:val="00135BF8"/>
    <w:rsid w:val="001370A6"/>
    <w:rsid w:val="0013741C"/>
    <w:rsid w:val="001375E9"/>
    <w:rsid w:val="00137F22"/>
    <w:rsid w:val="00140CB2"/>
    <w:rsid w:val="00140EF6"/>
    <w:rsid w:val="00145AB5"/>
    <w:rsid w:val="00145F9C"/>
    <w:rsid w:val="0015324F"/>
    <w:rsid w:val="00154413"/>
    <w:rsid w:val="00154AB7"/>
    <w:rsid w:val="00156802"/>
    <w:rsid w:val="00157B09"/>
    <w:rsid w:val="001607B0"/>
    <w:rsid w:val="001608E1"/>
    <w:rsid w:val="001611A9"/>
    <w:rsid w:val="00162D33"/>
    <w:rsid w:val="00164717"/>
    <w:rsid w:val="001655A5"/>
    <w:rsid w:val="00165CE3"/>
    <w:rsid w:val="00166728"/>
    <w:rsid w:val="00171882"/>
    <w:rsid w:val="001726EF"/>
    <w:rsid w:val="00172F20"/>
    <w:rsid w:val="00173962"/>
    <w:rsid w:val="0017476F"/>
    <w:rsid w:val="00175962"/>
    <w:rsid w:val="0017693D"/>
    <w:rsid w:val="00176DBE"/>
    <w:rsid w:val="00182ADD"/>
    <w:rsid w:val="00183510"/>
    <w:rsid w:val="0018390F"/>
    <w:rsid w:val="00185D21"/>
    <w:rsid w:val="00185F66"/>
    <w:rsid w:val="00190A7C"/>
    <w:rsid w:val="00190D28"/>
    <w:rsid w:val="00191792"/>
    <w:rsid w:val="0019297F"/>
    <w:rsid w:val="0019362B"/>
    <w:rsid w:val="00194249"/>
    <w:rsid w:val="00194A3B"/>
    <w:rsid w:val="00194D3F"/>
    <w:rsid w:val="00194F62"/>
    <w:rsid w:val="00195889"/>
    <w:rsid w:val="00196A64"/>
    <w:rsid w:val="00196B87"/>
    <w:rsid w:val="00196E1F"/>
    <w:rsid w:val="00196F91"/>
    <w:rsid w:val="001A0F38"/>
    <w:rsid w:val="001A1D58"/>
    <w:rsid w:val="001A3AAC"/>
    <w:rsid w:val="001B1791"/>
    <w:rsid w:val="001B3861"/>
    <w:rsid w:val="001B56DB"/>
    <w:rsid w:val="001C0914"/>
    <w:rsid w:val="001C1903"/>
    <w:rsid w:val="001C3625"/>
    <w:rsid w:val="001C60AD"/>
    <w:rsid w:val="001C7E3E"/>
    <w:rsid w:val="001D217D"/>
    <w:rsid w:val="001D2884"/>
    <w:rsid w:val="001D30D8"/>
    <w:rsid w:val="001D415D"/>
    <w:rsid w:val="001D4171"/>
    <w:rsid w:val="001D480E"/>
    <w:rsid w:val="001D550C"/>
    <w:rsid w:val="001D5541"/>
    <w:rsid w:val="001D5A4A"/>
    <w:rsid w:val="001D65EE"/>
    <w:rsid w:val="001D6638"/>
    <w:rsid w:val="001D7DB7"/>
    <w:rsid w:val="001E21BC"/>
    <w:rsid w:val="001E288C"/>
    <w:rsid w:val="001E5348"/>
    <w:rsid w:val="001E5D9D"/>
    <w:rsid w:val="001E6889"/>
    <w:rsid w:val="001E78E1"/>
    <w:rsid w:val="001E7A17"/>
    <w:rsid w:val="001E7C0C"/>
    <w:rsid w:val="001F07B0"/>
    <w:rsid w:val="001F164A"/>
    <w:rsid w:val="001F7D8F"/>
    <w:rsid w:val="00200860"/>
    <w:rsid w:val="00203C8B"/>
    <w:rsid w:val="002045C0"/>
    <w:rsid w:val="00204A19"/>
    <w:rsid w:val="00205340"/>
    <w:rsid w:val="002078D5"/>
    <w:rsid w:val="002106D5"/>
    <w:rsid w:val="00213FD7"/>
    <w:rsid w:val="00214D5F"/>
    <w:rsid w:val="002158EE"/>
    <w:rsid w:val="00217BF1"/>
    <w:rsid w:val="00217FFA"/>
    <w:rsid w:val="00220B21"/>
    <w:rsid w:val="00223791"/>
    <w:rsid w:val="002279F0"/>
    <w:rsid w:val="0023075B"/>
    <w:rsid w:val="00233EFD"/>
    <w:rsid w:val="00234CB8"/>
    <w:rsid w:val="0023670F"/>
    <w:rsid w:val="00236D0F"/>
    <w:rsid w:val="00237A59"/>
    <w:rsid w:val="00242092"/>
    <w:rsid w:val="00244DF6"/>
    <w:rsid w:val="00245BD5"/>
    <w:rsid w:val="00247671"/>
    <w:rsid w:val="0025068E"/>
    <w:rsid w:val="0025071D"/>
    <w:rsid w:val="00251694"/>
    <w:rsid w:val="00251963"/>
    <w:rsid w:val="00251D17"/>
    <w:rsid w:val="00252CFF"/>
    <w:rsid w:val="002534CF"/>
    <w:rsid w:val="00255EA7"/>
    <w:rsid w:val="00256560"/>
    <w:rsid w:val="00264A8E"/>
    <w:rsid w:val="00267917"/>
    <w:rsid w:val="00267FDF"/>
    <w:rsid w:val="00270FA5"/>
    <w:rsid w:val="00270FA6"/>
    <w:rsid w:val="0027227A"/>
    <w:rsid w:val="0027260B"/>
    <w:rsid w:val="002737F6"/>
    <w:rsid w:val="0027557B"/>
    <w:rsid w:val="00275EDA"/>
    <w:rsid w:val="002773BE"/>
    <w:rsid w:val="002777CC"/>
    <w:rsid w:val="00280EC4"/>
    <w:rsid w:val="00282B3E"/>
    <w:rsid w:val="00282D1A"/>
    <w:rsid w:val="00282F7B"/>
    <w:rsid w:val="00287127"/>
    <w:rsid w:val="002909B5"/>
    <w:rsid w:val="002938F3"/>
    <w:rsid w:val="00293985"/>
    <w:rsid w:val="00296A83"/>
    <w:rsid w:val="00296EBE"/>
    <w:rsid w:val="002973BC"/>
    <w:rsid w:val="00297D99"/>
    <w:rsid w:val="002A19A7"/>
    <w:rsid w:val="002A1D8A"/>
    <w:rsid w:val="002A3194"/>
    <w:rsid w:val="002A38D0"/>
    <w:rsid w:val="002A4223"/>
    <w:rsid w:val="002A48D0"/>
    <w:rsid w:val="002A4E71"/>
    <w:rsid w:val="002A63C3"/>
    <w:rsid w:val="002A656B"/>
    <w:rsid w:val="002A7708"/>
    <w:rsid w:val="002A771C"/>
    <w:rsid w:val="002A7912"/>
    <w:rsid w:val="002B0820"/>
    <w:rsid w:val="002B4239"/>
    <w:rsid w:val="002B443B"/>
    <w:rsid w:val="002B5687"/>
    <w:rsid w:val="002B5956"/>
    <w:rsid w:val="002B697C"/>
    <w:rsid w:val="002C06F9"/>
    <w:rsid w:val="002C0FEC"/>
    <w:rsid w:val="002C1459"/>
    <w:rsid w:val="002C34C9"/>
    <w:rsid w:val="002C36D6"/>
    <w:rsid w:val="002C4AD8"/>
    <w:rsid w:val="002C4CBF"/>
    <w:rsid w:val="002C4F63"/>
    <w:rsid w:val="002C6AB5"/>
    <w:rsid w:val="002D2038"/>
    <w:rsid w:val="002D317D"/>
    <w:rsid w:val="002D33AC"/>
    <w:rsid w:val="002D713B"/>
    <w:rsid w:val="002D73B4"/>
    <w:rsid w:val="002D7780"/>
    <w:rsid w:val="002D792F"/>
    <w:rsid w:val="002D799D"/>
    <w:rsid w:val="002D7A90"/>
    <w:rsid w:val="002D7D2F"/>
    <w:rsid w:val="002E12AA"/>
    <w:rsid w:val="002E1E3E"/>
    <w:rsid w:val="002E210C"/>
    <w:rsid w:val="002E23B5"/>
    <w:rsid w:val="002F0BA6"/>
    <w:rsid w:val="002F1B7E"/>
    <w:rsid w:val="002F2FF2"/>
    <w:rsid w:val="002F300C"/>
    <w:rsid w:val="002F301A"/>
    <w:rsid w:val="002F3C5A"/>
    <w:rsid w:val="002F5692"/>
    <w:rsid w:val="00302F65"/>
    <w:rsid w:val="00304881"/>
    <w:rsid w:val="00310885"/>
    <w:rsid w:val="00310E33"/>
    <w:rsid w:val="00310E94"/>
    <w:rsid w:val="003124A1"/>
    <w:rsid w:val="00312B77"/>
    <w:rsid w:val="00312C59"/>
    <w:rsid w:val="003133E4"/>
    <w:rsid w:val="00314AA3"/>
    <w:rsid w:val="00315964"/>
    <w:rsid w:val="0032070D"/>
    <w:rsid w:val="00321BB9"/>
    <w:rsid w:val="00321D4B"/>
    <w:rsid w:val="00322A67"/>
    <w:rsid w:val="00322F74"/>
    <w:rsid w:val="00323274"/>
    <w:rsid w:val="00323D31"/>
    <w:rsid w:val="0032449F"/>
    <w:rsid w:val="003254A4"/>
    <w:rsid w:val="00330284"/>
    <w:rsid w:val="00332A59"/>
    <w:rsid w:val="003334B6"/>
    <w:rsid w:val="00333D2D"/>
    <w:rsid w:val="0033514B"/>
    <w:rsid w:val="003364F6"/>
    <w:rsid w:val="0034090D"/>
    <w:rsid w:val="0034209F"/>
    <w:rsid w:val="00343950"/>
    <w:rsid w:val="00346FB7"/>
    <w:rsid w:val="00347706"/>
    <w:rsid w:val="0034799C"/>
    <w:rsid w:val="00350C5E"/>
    <w:rsid w:val="003530E7"/>
    <w:rsid w:val="003533A6"/>
    <w:rsid w:val="00354FD8"/>
    <w:rsid w:val="00357930"/>
    <w:rsid w:val="003608D8"/>
    <w:rsid w:val="003616FB"/>
    <w:rsid w:val="003618B9"/>
    <w:rsid w:val="00364258"/>
    <w:rsid w:val="00365E3D"/>
    <w:rsid w:val="00367FEE"/>
    <w:rsid w:val="003701D4"/>
    <w:rsid w:val="00370C3D"/>
    <w:rsid w:val="00370F64"/>
    <w:rsid w:val="00370F6B"/>
    <w:rsid w:val="00371499"/>
    <w:rsid w:val="0037296F"/>
    <w:rsid w:val="003730A2"/>
    <w:rsid w:val="0037316E"/>
    <w:rsid w:val="003738F0"/>
    <w:rsid w:val="0037562D"/>
    <w:rsid w:val="0037578C"/>
    <w:rsid w:val="00375799"/>
    <w:rsid w:val="00380479"/>
    <w:rsid w:val="00381D42"/>
    <w:rsid w:val="00382BDA"/>
    <w:rsid w:val="00387BCF"/>
    <w:rsid w:val="003905B3"/>
    <w:rsid w:val="00390AB8"/>
    <w:rsid w:val="00391980"/>
    <w:rsid w:val="00391DE5"/>
    <w:rsid w:val="00392EA5"/>
    <w:rsid w:val="003930BE"/>
    <w:rsid w:val="00393FD1"/>
    <w:rsid w:val="00394461"/>
    <w:rsid w:val="00394C42"/>
    <w:rsid w:val="003962D3"/>
    <w:rsid w:val="0039725E"/>
    <w:rsid w:val="003A01E6"/>
    <w:rsid w:val="003A0A22"/>
    <w:rsid w:val="003A0C70"/>
    <w:rsid w:val="003A33AF"/>
    <w:rsid w:val="003A345E"/>
    <w:rsid w:val="003A3BD1"/>
    <w:rsid w:val="003A5F89"/>
    <w:rsid w:val="003B2A87"/>
    <w:rsid w:val="003B4322"/>
    <w:rsid w:val="003B44C5"/>
    <w:rsid w:val="003B4E4E"/>
    <w:rsid w:val="003C50AD"/>
    <w:rsid w:val="003C5916"/>
    <w:rsid w:val="003C73AE"/>
    <w:rsid w:val="003C7974"/>
    <w:rsid w:val="003D049E"/>
    <w:rsid w:val="003D079E"/>
    <w:rsid w:val="003D0AD0"/>
    <w:rsid w:val="003D20BA"/>
    <w:rsid w:val="003D2764"/>
    <w:rsid w:val="003D32F7"/>
    <w:rsid w:val="003D3DDE"/>
    <w:rsid w:val="003D5254"/>
    <w:rsid w:val="003D5D70"/>
    <w:rsid w:val="003D7388"/>
    <w:rsid w:val="003E0083"/>
    <w:rsid w:val="003E112E"/>
    <w:rsid w:val="003E136E"/>
    <w:rsid w:val="003E194B"/>
    <w:rsid w:val="003E5F6A"/>
    <w:rsid w:val="003E678D"/>
    <w:rsid w:val="003F021E"/>
    <w:rsid w:val="003F0478"/>
    <w:rsid w:val="003F117A"/>
    <w:rsid w:val="003F1E65"/>
    <w:rsid w:val="003F7745"/>
    <w:rsid w:val="004020DE"/>
    <w:rsid w:val="00403A99"/>
    <w:rsid w:val="00403D08"/>
    <w:rsid w:val="00405FC6"/>
    <w:rsid w:val="0040653F"/>
    <w:rsid w:val="0041065B"/>
    <w:rsid w:val="00413484"/>
    <w:rsid w:val="004145D7"/>
    <w:rsid w:val="0041498D"/>
    <w:rsid w:val="00415015"/>
    <w:rsid w:val="0042018F"/>
    <w:rsid w:val="00421F05"/>
    <w:rsid w:val="004224C7"/>
    <w:rsid w:val="00423A80"/>
    <w:rsid w:val="00424CF6"/>
    <w:rsid w:val="00431D70"/>
    <w:rsid w:val="00432D78"/>
    <w:rsid w:val="00435625"/>
    <w:rsid w:val="004405D7"/>
    <w:rsid w:val="00441494"/>
    <w:rsid w:val="0044348E"/>
    <w:rsid w:val="004435DC"/>
    <w:rsid w:val="00444CC9"/>
    <w:rsid w:val="00444D2D"/>
    <w:rsid w:val="0044611F"/>
    <w:rsid w:val="0044740C"/>
    <w:rsid w:val="00450238"/>
    <w:rsid w:val="004548C3"/>
    <w:rsid w:val="00454DCD"/>
    <w:rsid w:val="00460B77"/>
    <w:rsid w:val="00463C38"/>
    <w:rsid w:val="0046491B"/>
    <w:rsid w:val="0046592B"/>
    <w:rsid w:val="00465A8E"/>
    <w:rsid w:val="00466045"/>
    <w:rsid w:val="004670AA"/>
    <w:rsid w:val="0046729F"/>
    <w:rsid w:val="004703F8"/>
    <w:rsid w:val="00470F6A"/>
    <w:rsid w:val="004738CA"/>
    <w:rsid w:val="00473A1F"/>
    <w:rsid w:val="00473FD7"/>
    <w:rsid w:val="004814E9"/>
    <w:rsid w:val="00482035"/>
    <w:rsid w:val="004831E6"/>
    <w:rsid w:val="00487133"/>
    <w:rsid w:val="004875AD"/>
    <w:rsid w:val="00491A13"/>
    <w:rsid w:val="00492B82"/>
    <w:rsid w:val="00492FF4"/>
    <w:rsid w:val="00493B45"/>
    <w:rsid w:val="004966C6"/>
    <w:rsid w:val="00496C1C"/>
    <w:rsid w:val="004A0870"/>
    <w:rsid w:val="004A1407"/>
    <w:rsid w:val="004A320D"/>
    <w:rsid w:val="004A5593"/>
    <w:rsid w:val="004A6F32"/>
    <w:rsid w:val="004A7377"/>
    <w:rsid w:val="004B3FB4"/>
    <w:rsid w:val="004C0BB4"/>
    <w:rsid w:val="004C0F7A"/>
    <w:rsid w:val="004C1954"/>
    <w:rsid w:val="004C273B"/>
    <w:rsid w:val="004C41CE"/>
    <w:rsid w:val="004C4D05"/>
    <w:rsid w:val="004C6FAE"/>
    <w:rsid w:val="004C732A"/>
    <w:rsid w:val="004D02DB"/>
    <w:rsid w:val="004D3D13"/>
    <w:rsid w:val="004D56A9"/>
    <w:rsid w:val="004E1B6B"/>
    <w:rsid w:val="004E42E1"/>
    <w:rsid w:val="004E4353"/>
    <w:rsid w:val="004E46DF"/>
    <w:rsid w:val="004E7768"/>
    <w:rsid w:val="004E7880"/>
    <w:rsid w:val="004F0215"/>
    <w:rsid w:val="004F0510"/>
    <w:rsid w:val="004F06E9"/>
    <w:rsid w:val="004F108A"/>
    <w:rsid w:val="004F48B4"/>
    <w:rsid w:val="004F68DB"/>
    <w:rsid w:val="004F6A0D"/>
    <w:rsid w:val="00503585"/>
    <w:rsid w:val="00503AD7"/>
    <w:rsid w:val="005067C8"/>
    <w:rsid w:val="00506D2E"/>
    <w:rsid w:val="00506F2B"/>
    <w:rsid w:val="005075D9"/>
    <w:rsid w:val="00507C27"/>
    <w:rsid w:val="005100A1"/>
    <w:rsid w:val="005118B4"/>
    <w:rsid w:val="00511B5A"/>
    <w:rsid w:val="00511F74"/>
    <w:rsid w:val="00513A2A"/>
    <w:rsid w:val="00515694"/>
    <w:rsid w:val="00515BFB"/>
    <w:rsid w:val="005161AB"/>
    <w:rsid w:val="00523E21"/>
    <w:rsid w:val="00527708"/>
    <w:rsid w:val="0053049A"/>
    <w:rsid w:val="005309AA"/>
    <w:rsid w:val="00530A01"/>
    <w:rsid w:val="0053141A"/>
    <w:rsid w:val="00531983"/>
    <w:rsid w:val="005340FA"/>
    <w:rsid w:val="005356D0"/>
    <w:rsid w:val="00535926"/>
    <w:rsid w:val="00537894"/>
    <w:rsid w:val="00537AF2"/>
    <w:rsid w:val="005407C7"/>
    <w:rsid w:val="00541E68"/>
    <w:rsid w:val="00542F58"/>
    <w:rsid w:val="00543CC0"/>
    <w:rsid w:val="00545452"/>
    <w:rsid w:val="00546028"/>
    <w:rsid w:val="00546311"/>
    <w:rsid w:val="005476E8"/>
    <w:rsid w:val="00551C4B"/>
    <w:rsid w:val="00553204"/>
    <w:rsid w:val="0055379D"/>
    <w:rsid w:val="00554FB8"/>
    <w:rsid w:val="005550C3"/>
    <w:rsid w:val="00556181"/>
    <w:rsid w:val="0055749D"/>
    <w:rsid w:val="00557794"/>
    <w:rsid w:val="00560347"/>
    <w:rsid w:val="0056181F"/>
    <w:rsid w:val="00562E10"/>
    <w:rsid w:val="00567279"/>
    <w:rsid w:val="00570496"/>
    <w:rsid w:val="00570505"/>
    <w:rsid w:val="0057433F"/>
    <w:rsid w:val="00575A22"/>
    <w:rsid w:val="00575DE9"/>
    <w:rsid w:val="005770AF"/>
    <w:rsid w:val="0057777A"/>
    <w:rsid w:val="00583DBB"/>
    <w:rsid w:val="00591BE6"/>
    <w:rsid w:val="00592160"/>
    <w:rsid w:val="005963EF"/>
    <w:rsid w:val="00596882"/>
    <w:rsid w:val="00596985"/>
    <w:rsid w:val="005A03E7"/>
    <w:rsid w:val="005A2888"/>
    <w:rsid w:val="005A2C2D"/>
    <w:rsid w:val="005A3D3C"/>
    <w:rsid w:val="005A70B6"/>
    <w:rsid w:val="005B02D7"/>
    <w:rsid w:val="005B26FE"/>
    <w:rsid w:val="005B366A"/>
    <w:rsid w:val="005B457D"/>
    <w:rsid w:val="005B5D84"/>
    <w:rsid w:val="005B6607"/>
    <w:rsid w:val="005B705A"/>
    <w:rsid w:val="005B77A1"/>
    <w:rsid w:val="005C0463"/>
    <w:rsid w:val="005C07FD"/>
    <w:rsid w:val="005C21FA"/>
    <w:rsid w:val="005C3F30"/>
    <w:rsid w:val="005C435D"/>
    <w:rsid w:val="005C716D"/>
    <w:rsid w:val="005D063A"/>
    <w:rsid w:val="005D0DC5"/>
    <w:rsid w:val="005D3938"/>
    <w:rsid w:val="005D5C2A"/>
    <w:rsid w:val="005E4E39"/>
    <w:rsid w:val="005F01A7"/>
    <w:rsid w:val="005F07A0"/>
    <w:rsid w:val="005F2465"/>
    <w:rsid w:val="005F50E0"/>
    <w:rsid w:val="005F51C8"/>
    <w:rsid w:val="005F5562"/>
    <w:rsid w:val="005F66F0"/>
    <w:rsid w:val="005F67B4"/>
    <w:rsid w:val="00602459"/>
    <w:rsid w:val="006028DD"/>
    <w:rsid w:val="00602A3B"/>
    <w:rsid w:val="00602BE0"/>
    <w:rsid w:val="00605F19"/>
    <w:rsid w:val="00610606"/>
    <w:rsid w:val="00610A78"/>
    <w:rsid w:val="00611AB1"/>
    <w:rsid w:val="00611D19"/>
    <w:rsid w:val="00611D7E"/>
    <w:rsid w:val="006127DF"/>
    <w:rsid w:val="00612C0C"/>
    <w:rsid w:val="00613533"/>
    <w:rsid w:val="0061514E"/>
    <w:rsid w:val="00615291"/>
    <w:rsid w:val="0061589F"/>
    <w:rsid w:val="006206FA"/>
    <w:rsid w:val="006211CB"/>
    <w:rsid w:val="006214A7"/>
    <w:rsid w:val="00622A6B"/>
    <w:rsid w:val="00624EDC"/>
    <w:rsid w:val="0062591B"/>
    <w:rsid w:val="00626080"/>
    <w:rsid w:val="00627A0A"/>
    <w:rsid w:val="00630F1F"/>
    <w:rsid w:val="006327A0"/>
    <w:rsid w:val="00633675"/>
    <w:rsid w:val="006340E5"/>
    <w:rsid w:val="0063573D"/>
    <w:rsid w:val="006367D7"/>
    <w:rsid w:val="0063682C"/>
    <w:rsid w:val="00640747"/>
    <w:rsid w:val="00641039"/>
    <w:rsid w:val="00643BC7"/>
    <w:rsid w:val="00643CA5"/>
    <w:rsid w:val="00650290"/>
    <w:rsid w:val="00650A5D"/>
    <w:rsid w:val="006516F2"/>
    <w:rsid w:val="00652451"/>
    <w:rsid w:val="00654B8A"/>
    <w:rsid w:val="00656232"/>
    <w:rsid w:val="00661664"/>
    <w:rsid w:val="0066192C"/>
    <w:rsid w:val="00661FA0"/>
    <w:rsid w:val="006634ED"/>
    <w:rsid w:val="00664CB4"/>
    <w:rsid w:val="006652A5"/>
    <w:rsid w:val="00666247"/>
    <w:rsid w:val="00667AA8"/>
    <w:rsid w:val="00670D49"/>
    <w:rsid w:val="0067263C"/>
    <w:rsid w:val="00673556"/>
    <w:rsid w:val="0067596A"/>
    <w:rsid w:val="00676EFF"/>
    <w:rsid w:val="00677791"/>
    <w:rsid w:val="006778B1"/>
    <w:rsid w:val="0068164C"/>
    <w:rsid w:val="006821BB"/>
    <w:rsid w:val="0068293E"/>
    <w:rsid w:val="006833B4"/>
    <w:rsid w:val="00684D7B"/>
    <w:rsid w:val="0068573B"/>
    <w:rsid w:val="00687D6A"/>
    <w:rsid w:val="006902D2"/>
    <w:rsid w:val="00692EE8"/>
    <w:rsid w:val="00692EEA"/>
    <w:rsid w:val="00693097"/>
    <w:rsid w:val="006950A8"/>
    <w:rsid w:val="0069624A"/>
    <w:rsid w:val="0069769D"/>
    <w:rsid w:val="006A017F"/>
    <w:rsid w:val="006A257D"/>
    <w:rsid w:val="006A35ED"/>
    <w:rsid w:val="006A3BAA"/>
    <w:rsid w:val="006A3EFD"/>
    <w:rsid w:val="006A47EE"/>
    <w:rsid w:val="006A5E13"/>
    <w:rsid w:val="006B01D6"/>
    <w:rsid w:val="006B137E"/>
    <w:rsid w:val="006B1F96"/>
    <w:rsid w:val="006B260F"/>
    <w:rsid w:val="006B3056"/>
    <w:rsid w:val="006B5338"/>
    <w:rsid w:val="006B5EF4"/>
    <w:rsid w:val="006B5F28"/>
    <w:rsid w:val="006B65B0"/>
    <w:rsid w:val="006B65DB"/>
    <w:rsid w:val="006B7385"/>
    <w:rsid w:val="006C1D20"/>
    <w:rsid w:val="006C528E"/>
    <w:rsid w:val="006C5EBF"/>
    <w:rsid w:val="006D13F7"/>
    <w:rsid w:val="006D6EC6"/>
    <w:rsid w:val="006D743D"/>
    <w:rsid w:val="006D7E5C"/>
    <w:rsid w:val="006E03A1"/>
    <w:rsid w:val="006E16F5"/>
    <w:rsid w:val="006E411F"/>
    <w:rsid w:val="006E5951"/>
    <w:rsid w:val="006E6D9D"/>
    <w:rsid w:val="006E73F3"/>
    <w:rsid w:val="006E7CF0"/>
    <w:rsid w:val="006E7D25"/>
    <w:rsid w:val="006F074C"/>
    <w:rsid w:val="006F1DC2"/>
    <w:rsid w:val="006F1E16"/>
    <w:rsid w:val="006F44A2"/>
    <w:rsid w:val="006F4EE4"/>
    <w:rsid w:val="006F72B6"/>
    <w:rsid w:val="006F7B3D"/>
    <w:rsid w:val="00701489"/>
    <w:rsid w:val="007100B9"/>
    <w:rsid w:val="007102B4"/>
    <w:rsid w:val="0071249A"/>
    <w:rsid w:val="00712EB9"/>
    <w:rsid w:val="00712FBA"/>
    <w:rsid w:val="00715DBD"/>
    <w:rsid w:val="007162EA"/>
    <w:rsid w:val="007165DB"/>
    <w:rsid w:val="007177E3"/>
    <w:rsid w:val="00720DA6"/>
    <w:rsid w:val="00722174"/>
    <w:rsid w:val="00723604"/>
    <w:rsid w:val="00724A87"/>
    <w:rsid w:val="00726CBF"/>
    <w:rsid w:val="00727235"/>
    <w:rsid w:val="00730605"/>
    <w:rsid w:val="007311DF"/>
    <w:rsid w:val="00732FEA"/>
    <w:rsid w:val="00735481"/>
    <w:rsid w:val="00736F4E"/>
    <w:rsid w:val="00737246"/>
    <w:rsid w:val="00737BE9"/>
    <w:rsid w:val="00741187"/>
    <w:rsid w:val="00743261"/>
    <w:rsid w:val="00745A7E"/>
    <w:rsid w:val="00751786"/>
    <w:rsid w:val="00753EE5"/>
    <w:rsid w:val="0075479E"/>
    <w:rsid w:val="00755636"/>
    <w:rsid w:val="007610EE"/>
    <w:rsid w:val="00762CD8"/>
    <w:rsid w:val="00765BD1"/>
    <w:rsid w:val="0076605A"/>
    <w:rsid w:val="007671ED"/>
    <w:rsid w:val="007701CC"/>
    <w:rsid w:val="007712CB"/>
    <w:rsid w:val="0077157D"/>
    <w:rsid w:val="00772B8A"/>
    <w:rsid w:val="00774467"/>
    <w:rsid w:val="00774E59"/>
    <w:rsid w:val="00777065"/>
    <w:rsid w:val="007776D2"/>
    <w:rsid w:val="007777F6"/>
    <w:rsid w:val="00777DB0"/>
    <w:rsid w:val="00784491"/>
    <w:rsid w:val="00784C24"/>
    <w:rsid w:val="00786F47"/>
    <w:rsid w:val="0079012F"/>
    <w:rsid w:val="00792815"/>
    <w:rsid w:val="00793490"/>
    <w:rsid w:val="00793D88"/>
    <w:rsid w:val="00794CEF"/>
    <w:rsid w:val="0079595B"/>
    <w:rsid w:val="00795A5D"/>
    <w:rsid w:val="0079686D"/>
    <w:rsid w:val="00797E49"/>
    <w:rsid w:val="007A1B73"/>
    <w:rsid w:val="007A22C0"/>
    <w:rsid w:val="007A38D3"/>
    <w:rsid w:val="007A3F31"/>
    <w:rsid w:val="007A3F3E"/>
    <w:rsid w:val="007A72E7"/>
    <w:rsid w:val="007B15DB"/>
    <w:rsid w:val="007B1804"/>
    <w:rsid w:val="007B2B5B"/>
    <w:rsid w:val="007B3444"/>
    <w:rsid w:val="007B55B4"/>
    <w:rsid w:val="007B5787"/>
    <w:rsid w:val="007B66BB"/>
    <w:rsid w:val="007C0BDF"/>
    <w:rsid w:val="007C0BF6"/>
    <w:rsid w:val="007C1122"/>
    <w:rsid w:val="007C2BC3"/>
    <w:rsid w:val="007C45A7"/>
    <w:rsid w:val="007C5332"/>
    <w:rsid w:val="007C5E6F"/>
    <w:rsid w:val="007C7056"/>
    <w:rsid w:val="007C7551"/>
    <w:rsid w:val="007D41DA"/>
    <w:rsid w:val="007D44B3"/>
    <w:rsid w:val="007D4935"/>
    <w:rsid w:val="007D54BE"/>
    <w:rsid w:val="007D5B13"/>
    <w:rsid w:val="007D7125"/>
    <w:rsid w:val="007D7675"/>
    <w:rsid w:val="007E0CD4"/>
    <w:rsid w:val="007E295B"/>
    <w:rsid w:val="007E2B73"/>
    <w:rsid w:val="007E45D3"/>
    <w:rsid w:val="007E6613"/>
    <w:rsid w:val="007E74D7"/>
    <w:rsid w:val="007F28B8"/>
    <w:rsid w:val="007F2ABE"/>
    <w:rsid w:val="007F4ABD"/>
    <w:rsid w:val="007F4E6F"/>
    <w:rsid w:val="007F5981"/>
    <w:rsid w:val="00800D76"/>
    <w:rsid w:val="00801E54"/>
    <w:rsid w:val="0080357B"/>
    <w:rsid w:val="008053BE"/>
    <w:rsid w:val="00805CF7"/>
    <w:rsid w:val="00806913"/>
    <w:rsid w:val="008136A8"/>
    <w:rsid w:val="00815C9E"/>
    <w:rsid w:val="00817400"/>
    <w:rsid w:val="00817A1F"/>
    <w:rsid w:val="00821B91"/>
    <w:rsid w:val="00821C3B"/>
    <w:rsid w:val="00822D8E"/>
    <w:rsid w:val="00824324"/>
    <w:rsid w:val="00824427"/>
    <w:rsid w:val="00824E27"/>
    <w:rsid w:val="008273F5"/>
    <w:rsid w:val="008311B9"/>
    <w:rsid w:val="00831C87"/>
    <w:rsid w:val="00831DDA"/>
    <w:rsid w:val="00832E05"/>
    <w:rsid w:val="008337E4"/>
    <w:rsid w:val="00835EBC"/>
    <w:rsid w:val="00837339"/>
    <w:rsid w:val="00837F3B"/>
    <w:rsid w:val="008407B4"/>
    <w:rsid w:val="00840E2E"/>
    <w:rsid w:val="008419C0"/>
    <w:rsid w:val="00841A45"/>
    <w:rsid w:val="00841E2F"/>
    <w:rsid w:val="008422CA"/>
    <w:rsid w:val="0084258A"/>
    <w:rsid w:val="008428B7"/>
    <w:rsid w:val="00843720"/>
    <w:rsid w:val="0084404D"/>
    <w:rsid w:val="00845354"/>
    <w:rsid w:val="00845717"/>
    <w:rsid w:val="00850F61"/>
    <w:rsid w:val="0085375D"/>
    <w:rsid w:val="00853824"/>
    <w:rsid w:val="00854550"/>
    <w:rsid w:val="00855044"/>
    <w:rsid w:val="008554EB"/>
    <w:rsid w:val="008577BB"/>
    <w:rsid w:val="0086030A"/>
    <w:rsid w:val="00861DE8"/>
    <w:rsid w:val="0086530E"/>
    <w:rsid w:val="0086551E"/>
    <w:rsid w:val="00865968"/>
    <w:rsid w:val="00866077"/>
    <w:rsid w:val="00867AAA"/>
    <w:rsid w:val="008714A1"/>
    <w:rsid w:val="00871C62"/>
    <w:rsid w:val="00873922"/>
    <w:rsid w:val="00873D82"/>
    <w:rsid w:val="00874B37"/>
    <w:rsid w:val="00881EE3"/>
    <w:rsid w:val="008822B9"/>
    <w:rsid w:val="00882F73"/>
    <w:rsid w:val="00885846"/>
    <w:rsid w:val="00886ACE"/>
    <w:rsid w:val="00887453"/>
    <w:rsid w:val="0088793C"/>
    <w:rsid w:val="008900BA"/>
    <w:rsid w:val="00890A23"/>
    <w:rsid w:val="008918C7"/>
    <w:rsid w:val="008938DB"/>
    <w:rsid w:val="008949B9"/>
    <w:rsid w:val="00895810"/>
    <w:rsid w:val="008A05EE"/>
    <w:rsid w:val="008A3D73"/>
    <w:rsid w:val="008A458B"/>
    <w:rsid w:val="008B194C"/>
    <w:rsid w:val="008B76E2"/>
    <w:rsid w:val="008C0F00"/>
    <w:rsid w:val="008C28C3"/>
    <w:rsid w:val="008C475A"/>
    <w:rsid w:val="008C7BA8"/>
    <w:rsid w:val="008C7F8D"/>
    <w:rsid w:val="008D375B"/>
    <w:rsid w:val="008D3CED"/>
    <w:rsid w:val="008D3D80"/>
    <w:rsid w:val="008D3EDD"/>
    <w:rsid w:val="008D4473"/>
    <w:rsid w:val="008D45CD"/>
    <w:rsid w:val="008D48E6"/>
    <w:rsid w:val="008D5241"/>
    <w:rsid w:val="008E00D1"/>
    <w:rsid w:val="008E08B2"/>
    <w:rsid w:val="008E62B8"/>
    <w:rsid w:val="008E6A08"/>
    <w:rsid w:val="008E7A1D"/>
    <w:rsid w:val="008F1E77"/>
    <w:rsid w:val="008F77BF"/>
    <w:rsid w:val="00900B15"/>
    <w:rsid w:val="00900DEE"/>
    <w:rsid w:val="00901D09"/>
    <w:rsid w:val="0090282F"/>
    <w:rsid w:val="00903F8E"/>
    <w:rsid w:val="00910126"/>
    <w:rsid w:val="009219CC"/>
    <w:rsid w:val="00923EA4"/>
    <w:rsid w:val="00924579"/>
    <w:rsid w:val="00926727"/>
    <w:rsid w:val="00927124"/>
    <w:rsid w:val="009276F9"/>
    <w:rsid w:val="00927CF7"/>
    <w:rsid w:val="0093258D"/>
    <w:rsid w:val="00933F94"/>
    <w:rsid w:val="0093401B"/>
    <w:rsid w:val="00937D88"/>
    <w:rsid w:val="0094184C"/>
    <w:rsid w:val="00941EC8"/>
    <w:rsid w:val="00945CDD"/>
    <w:rsid w:val="009510F8"/>
    <w:rsid w:val="009549C7"/>
    <w:rsid w:val="00954EB3"/>
    <w:rsid w:val="00955CFE"/>
    <w:rsid w:val="0096308A"/>
    <w:rsid w:val="00964955"/>
    <w:rsid w:val="0096582B"/>
    <w:rsid w:val="00965AFC"/>
    <w:rsid w:val="00966A83"/>
    <w:rsid w:val="00966CEB"/>
    <w:rsid w:val="00967AA1"/>
    <w:rsid w:val="00970F7A"/>
    <w:rsid w:val="00971CFE"/>
    <w:rsid w:val="0097235B"/>
    <w:rsid w:val="00973D6B"/>
    <w:rsid w:val="009743C4"/>
    <w:rsid w:val="00982C0F"/>
    <w:rsid w:val="00984F2A"/>
    <w:rsid w:val="00984FA1"/>
    <w:rsid w:val="009857B2"/>
    <w:rsid w:val="00985A75"/>
    <w:rsid w:val="00985FB5"/>
    <w:rsid w:val="009868A8"/>
    <w:rsid w:val="00987401"/>
    <w:rsid w:val="009877E3"/>
    <w:rsid w:val="00990D97"/>
    <w:rsid w:val="00990E2F"/>
    <w:rsid w:val="009918D6"/>
    <w:rsid w:val="009930AA"/>
    <w:rsid w:val="00995631"/>
    <w:rsid w:val="009A0E1B"/>
    <w:rsid w:val="009A0FCC"/>
    <w:rsid w:val="009A127C"/>
    <w:rsid w:val="009A26D4"/>
    <w:rsid w:val="009A2752"/>
    <w:rsid w:val="009A3342"/>
    <w:rsid w:val="009A396C"/>
    <w:rsid w:val="009A40EC"/>
    <w:rsid w:val="009A4AED"/>
    <w:rsid w:val="009A4DFB"/>
    <w:rsid w:val="009A6DEB"/>
    <w:rsid w:val="009B024D"/>
    <w:rsid w:val="009B09A5"/>
    <w:rsid w:val="009B1555"/>
    <w:rsid w:val="009B2B21"/>
    <w:rsid w:val="009B3130"/>
    <w:rsid w:val="009B45F8"/>
    <w:rsid w:val="009B484B"/>
    <w:rsid w:val="009B4DCF"/>
    <w:rsid w:val="009B642D"/>
    <w:rsid w:val="009B72AA"/>
    <w:rsid w:val="009C004D"/>
    <w:rsid w:val="009C0161"/>
    <w:rsid w:val="009C03AA"/>
    <w:rsid w:val="009C07B1"/>
    <w:rsid w:val="009C07EF"/>
    <w:rsid w:val="009C0AEB"/>
    <w:rsid w:val="009C0B02"/>
    <w:rsid w:val="009C2C47"/>
    <w:rsid w:val="009C40B7"/>
    <w:rsid w:val="009C476A"/>
    <w:rsid w:val="009C4C4A"/>
    <w:rsid w:val="009C50E9"/>
    <w:rsid w:val="009C706B"/>
    <w:rsid w:val="009D062E"/>
    <w:rsid w:val="009D06D9"/>
    <w:rsid w:val="009D1631"/>
    <w:rsid w:val="009D370D"/>
    <w:rsid w:val="009D4827"/>
    <w:rsid w:val="009D573C"/>
    <w:rsid w:val="009E0073"/>
    <w:rsid w:val="009E147D"/>
    <w:rsid w:val="009E3813"/>
    <w:rsid w:val="009E42CC"/>
    <w:rsid w:val="009E774F"/>
    <w:rsid w:val="009E7909"/>
    <w:rsid w:val="009E7CE8"/>
    <w:rsid w:val="009F0137"/>
    <w:rsid w:val="009F0C78"/>
    <w:rsid w:val="009F327E"/>
    <w:rsid w:val="009F4975"/>
    <w:rsid w:val="009F56C2"/>
    <w:rsid w:val="009F5B77"/>
    <w:rsid w:val="009F74B8"/>
    <w:rsid w:val="00A0025A"/>
    <w:rsid w:val="00A00F5F"/>
    <w:rsid w:val="00A019CA"/>
    <w:rsid w:val="00A03E88"/>
    <w:rsid w:val="00A052D3"/>
    <w:rsid w:val="00A05C8A"/>
    <w:rsid w:val="00A062B1"/>
    <w:rsid w:val="00A065B9"/>
    <w:rsid w:val="00A07454"/>
    <w:rsid w:val="00A112E2"/>
    <w:rsid w:val="00A11328"/>
    <w:rsid w:val="00A12F0F"/>
    <w:rsid w:val="00A13321"/>
    <w:rsid w:val="00A15EC6"/>
    <w:rsid w:val="00A20418"/>
    <w:rsid w:val="00A21D26"/>
    <w:rsid w:val="00A224F5"/>
    <w:rsid w:val="00A250D6"/>
    <w:rsid w:val="00A2672B"/>
    <w:rsid w:val="00A26BE2"/>
    <w:rsid w:val="00A2762A"/>
    <w:rsid w:val="00A30396"/>
    <w:rsid w:val="00A321E7"/>
    <w:rsid w:val="00A34E6B"/>
    <w:rsid w:val="00A35B36"/>
    <w:rsid w:val="00A36F09"/>
    <w:rsid w:val="00A3787E"/>
    <w:rsid w:val="00A37D40"/>
    <w:rsid w:val="00A41C83"/>
    <w:rsid w:val="00A4281A"/>
    <w:rsid w:val="00A459A0"/>
    <w:rsid w:val="00A47345"/>
    <w:rsid w:val="00A505BF"/>
    <w:rsid w:val="00A51A12"/>
    <w:rsid w:val="00A521F9"/>
    <w:rsid w:val="00A52872"/>
    <w:rsid w:val="00A52FBA"/>
    <w:rsid w:val="00A56FF6"/>
    <w:rsid w:val="00A600A2"/>
    <w:rsid w:val="00A6299F"/>
    <w:rsid w:val="00A63DCB"/>
    <w:rsid w:val="00A63EDE"/>
    <w:rsid w:val="00A643D4"/>
    <w:rsid w:val="00A662BD"/>
    <w:rsid w:val="00A664E0"/>
    <w:rsid w:val="00A66AF6"/>
    <w:rsid w:val="00A66D0D"/>
    <w:rsid w:val="00A66D33"/>
    <w:rsid w:val="00A6789E"/>
    <w:rsid w:val="00A67B95"/>
    <w:rsid w:val="00A7019D"/>
    <w:rsid w:val="00A70667"/>
    <w:rsid w:val="00A7143E"/>
    <w:rsid w:val="00A72296"/>
    <w:rsid w:val="00A726E9"/>
    <w:rsid w:val="00A727FB"/>
    <w:rsid w:val="00A72F62"/>
    <w:rsid w:val="00A7325A"/>
    <w:rsid w:val="00A74583"/>
    <w:rsid w:val="00A765EB"/>
    <w:rsid w:val="00A77493"/>
    <w:rsid w:val="00A815A9"/>
    <w:rsid w:val="00A8170D"/>
    <w:rsid w:val="00A84820"/>
    <w:rsid w:val="00A8663E"/>
    <w:rsid w:val="00A87049"/>
    <w:rsid w:val="00A875C9"/>
    <w:rsid w:val="00A90272"/>
    <w:rsid w:val="00A906C2"/>
    <w:rsid w:val="00A9280E"/>
    <w:rsid w:val="00A9441B"/>
    <w:rsid w:val="00A94DF3"/>
    <w:rsid w:val="00A950AB"/>
    <w:rsid w:val="00A95141"/>
    <w:rsid w:val="00A95A4E"/>
    <w:rsid w:val="00A9716E"/>
    <w:rsid w:val="00AA00C6"/>
    <w:rsid w:val="00AA10C9"/>
    <w:rsid w:val="00AA1451"/>
    <w:rsid w:val="00AA246F"/>
    <w:rsid w:val="00AA4271"/>
    <w:rsid w:val="00AA4360"/>
    <w:rsid w:val="00AA4A6C"/>
    <w:rsid w:val="00AA76FA"/>
    <w:rsid w:val="00AA7C2F"/>
    <w:rsid w:val="00AB37D3"/>
    <w:rsid w:val="00AB534C"/>
    <w:rsid w:val="00AB63B0"/>
    <w:rsid w:val="00AC040C"/>
    <w:rsid w:val="00AC1296"/>
    <w:rsid w:val="00AC1E44"/>
    <w:rsid w:val="00AC3DBA"/>
    <w:rsid w:val="00AC52FA"/>
    <w:rsid w:val="00AC58D7"/>
    <w:rsid w:val="00AC5C45"/>
    <w:rsid w:val="00AC7FF2"/>
    <w:rsid w:val="00AD1E58"/>
    <w:rsid w:val="00AD58D8"/>
    <w:rsid w:val="00AD5B00"/>
    <w:rsid w:val="00AD6544"/>
    <w:rsid w:val="00AD6F81"/>
    <w:rsid w:val="00AD7FBC"/>
    <w:rsid w:val="00AE23C7"/>
    <w:rsid w:val="00AE2692"/>
    <w:rsid w:val="00AE28DA"/>
    <w:rsid w:val="00AE54B8"/>
    <w:rsid w:val="00AE55BB"/>
    <w:rsid w:val="00AE5A87"/>
    <w:rsid w:val="00AE713A"/>
    <w:rsid w:val="00AF4A6E"/>
    <w:rsid w:val="00AF500B"/>
    <w:rsid w:val="00AF550E"/>
    <w:rsid w:val="00AF5DC6"/>
    <w:rsid w:val="00AF6605"/>
    <w:rsid w:val="00B01571"/>
    <w:rsid w:val="00B02107"/>
    <w:rsid w:val="00B06A7C"/>
    <w:rsid w:val="00B07008"/>
    <w:rsid w:val="00B1179E"/>
    <w:rsid w:val="00B12A7B"/>
    <w:rsid w:val="00B16E1D"/>
    <w:rsid w:val="00B17433"/>
    <w:rsid w:val="00B1768C"/>
    <w:rsid w:val="00B2092E"/>
    <w:rsid w:val="00B20EB4"/>
    <w:rsid w:val="00B222A4"/>
    <w:rsid w:val="00B2297D"/>
    <w:rsid w:val="00B232EC"/>
    <w:rsid w:val="00B235E1"/>
    <w:rsid w:val="00B240AB"/>
    <w:rsid w:val="00B24C26"/>
    <w:rsid w:val="00B2554D"/>
    <w:rsid w:val="00B2632F"/>
    <w:rsid w:val="00B3145B"/>
    <w:rsid w:val="00B330D8"/>
    <w:rsid w:val="00B332F2"/>
    <w:rsid w:val="00B34B8D"/>
    <w:rsid w:val="00B34CB7"/>
    <w:rsid w:val="00B3770E"/>
    <w:rsid w:val="00B37E8E"/>
    <w:rsid w:val="00B40A18"/>
    <w:rsid w:val="00B44A61"/>
    <w:rsid w:val="00B45F19"/>
    <w:rsid w:val="00B474CE"/>
    <w:rsid w:val="00B509A1"/>
    <w:rsid w:val="00B54845"/>
    <w:rsid w:val="00B55AF9"/>
    <w:rsid w:val="00B56ABB"/>
    <w:rsid w:val="00B602A4"/>
    <w:rsid w:val="00B605C5"/>
    <w:rsid w:val="00B6267F"/>
    <w:rsid w:val="00B63988"/>
    <w:rsid w:val="00B63BC7"/>
    <w:rsid w:val="00B6489E"/>
    <w:rsid w:val="00B65437"/>
    <w:rsid w:val="00B6578C"/>
    <w:rsid w:val="00B65E75"/>
    <w:rsid w:val="00B6633D"/>
    <w:rsid w:val="00B675B7"/>
    <w:rsid w:val="00B70360"/>
    <w:rsid w:val="00B73BB0"/>
    <w:rsid w:val="00B73DBD"/>
    <w:rsid w:val="00B73DFE"/>
    <w:rsid w:val="00B73F2C"/>
    <w:rsid w:val="00B7406F"/>
    <w:rsid w:val="00B7561F"/>
    <w:rsid w:val="00B75C7E"/>
    <w:rsid w:val="00B770FD"/>
    <w:rsid w:val="00B779B6"/>
    <w:rsid w:val="00B800F6"/>
    <w:rsid w:val="00B82265"/>
    <w:rsid w:val="00B82A86"/>
    <w:rsid w:val="00B87A7D"/>
    <w:rsid w:val="00B9171F"/>
    <w:rsid w:val="00B930EE"/>
    <w:rsid w:val="00BA345D"/>
    <w:rsid w:val="00BA39B5"/>
    <w:rsid w:val="00BA5716"/>
    <w:rsid w:val="00BA6191"/>
    <w:rsid w:val="00BA6B54"/>
    <w:rsid w:val="00BB00B3"/>
    <w:rsid w:val="00BB084D"/>
    <w:rsid w:val="00BB0D20"/>
    <w:rsid w:val="00BB1C79"/>
    <w:rsid w:val="00BB29BA"/>
    <w:rsid w:val="00BB35E9"/>
    <w:rsid w:val="00BB3F1D"/>
    <w:rsid w:val="00BB406C"/>
    <w:rsid w:val="00BB4C16"/>
    <w:rsid w:val="00BB550B"/>
    <w:rsid w:val="00BB5C8F"/>
    <w:rsid w:val="00BB6D66"/>
    <w:rsid w:val="00BC1BAC"/>
    <w:rsid w:val="00BC1E73"/>
    <w:rsid w:val="00BC2E45"/>
    <w:rsid w:val="00BC3083"/>
    <w:rsid w:val="00BC4FD2"/>
    <w:rsid w:val="00BC5C83"/>
    <w:rsid w:val="00BD067E"/>
    <w:rsid w:val="00BD5D26"/>
    <w:rsid w:val="00BD6D23"/>
    <w:rsid w:val="00BE0CDC"/>
    <w:rsid w:val="00BE1F69"/>
    <w:rsid w:val="00BE410D"/>
    <w:rsid w:val="00BE7641"/>
    <w:rsid w:val="00BE7655"/>
    <w:rsid w:val="00BE7BB2"/>
    <w:rsid w:val="00BE7D3D"/>
    <w:rsid w:val="00BF0259"/>
    <w:rsid w:val="00BF3D1C"/>
    <w:rsid w:val="00BF47D2"/>
    <w:rsid w:val="00BF527E"/>
    <w:rsid w:val="00BF6283"/>
    <w:rsid w:val="00BF68F8"/>
    <w:rsid w:val="00BF71B9"/>
    <w:rsid w:val="00C00371"/>
    <w:rsid w:val="00C033B5"/>
    <w:rsid w:val="00C03A0D"/>
    <w:rsid w:val="00C05A68"/>
    <w:rsid w:val="00C121A9"/>
    <w:rsid w:val="00C1240E"/>
    <w:rsid w:val="00C14A00"/>
    <w:rsid w:val="00C14A43"/>
    <w:rsid w:val="00C15087"/>
    <w:rsid w:val="00C20E8D"/>
    <w:rsid w:val="00C21BF6"/>
    <w:rsid w:val="00C23D0B"/>
    <w:rsid w:val="00C308BB"/>
    <w:rsid w:val="00C31A8F"/>
    <w:rsid w:val="00C31C9E"/>
    <w:rsid w:val="00C33FBC"/>
    <w:rsid w:val="00C34F8F"/>
    <w:rsid w:val="00C358A6"/>
    <w:rsid w:val="00C37851"/>
    <w:rsid w:val="00C4330F"/>
    <w:rsid w:val="00C43488"/>
    <w:rsid w:val="00C4371E"/>
    <w:rsid w:val="00C448EC"/>
    <w:rsid w:val="00C44CA3"/>
    <w:rsid w:val="00C47CE8"/>
    <w:rsid w:val="00C50C52"/>
    <w:rsid w:val="00C5303C"/>
    <w:rsid w:val="00C55166"/>
    <w:rsid w:val="00C563B4"/>
    <w:rsid w:val="00C60559"/>
    <w:rsid w:val="00C60649"/>
    <w:rsid w:val="00C61E01"/>
    <w:rsid w:val="00C61F35"/>
    <w:rsid w:val="00C61F49"/>
    <w:rsid w:val="00C640D4"/>
    <w:rsid w:val="00C66EBE"/>
    <w:rsid w:val="00C73AB9"/>
    <w:rsid w:val="00C753E0"/>
    <w:rsid w:val="00C75E2C"/>
    <w:rsid w:val="00C802DD"/>
    <w:rsid w:val="00C821D8"/>
    <w:rsid w:val="00C84144"/>
    <w:rsid w:val="00C84BB5"/>
    <w:rsid w:val="00C85360"/>
    <w:rsid w:val="00C85DDE"/>
    <w:rsid w:val="00C85E24"/>
    <w:rsid w:val="00C86FD7"/>
    <w:rsid w:val="00C9026A"/>
    <w:rsid w:val="00C91474"/>
    <w:rsid w:val="00C92C2C"/>
    <w:rsid w:val="00C93342"/>
    <w:rsid w:val="00C970B6"/>
    <w:rsid w:val="00CA0F52"/>
    <w:rsid w:val="00CA3C98"/>
    <w:rsid w:val="00CA5C8D"/>
    <w:rsid w:val="00CA71D9"/>
    <w:rsid w:val="00CA763F"/>
    <w:rsid w:val="00CB0ACF"/>
    <w:rsid w:val="00CB2B51"/>
    <w:rsid w:val="00CB2D0E"/>
    <w:rsid w:val="00CB34DE"/>
    <w:rsid w:val="00CB3CD6"/>
    <w:rsid w:val="00CB4FFB"/>
    <w:rsid w:val="00CB5A04"/>
    <w:rsid w:val="00CB6F7C"/>
    <w:rsid w:val="00CC1E6E"/>
    <w:rsid w:val="00CC48AD"/>
    <w:rsid w:val="00CC58D5"/>
    <w:rsid w:val="00CC5F0D"/>
    <w:rsid w:val="00CC6971"/>
    <w:rsid w:val="00CC7D4F"/>
    <w:rsid w:val="00CD1C7A"/>
    <w:rsid w:val="00CD2A70"/>
    <w:rsid w:val="00CD4C47"/>
    <w:rsid w:val="00CD4F7A"/>
    <w:rsid w:val="00CD623E"/>
    <w:rsid w:val="00CD6460"/>
    <w:rsid w:val="00CE0CFA"/>
    <w:rsid w:val="00CE2BAC"/>
    <w:rsid w:val="00CE2E65"/>
    <w:rsid w:val="00CE2F83"/>
    <w:rsid w:val="00CE3448"/>
    <w:rsid w:val="00CE3BC0"/>
    <w:rsid w:val="00CE3EC0"/>
    <w:rsid w:val="00CE444F"/>
    <w:rsid w:val="00CF10E4"/>
    <w:rsid w:val="00CF2F01"/>
    <w:rsid w:val="00CF3680"/>
    <w:rsid w:val="00CF6206"/>
    <w:rsid w:val="00CF64CA"/>
    <w:rsid w:val="00D000AD"/>
    <w:rsid w:val="00D006F1"/>
    <w:rsid w:val="00D00A53"/>
    <w:rsid w:val="00D00AA6"/>
    <w:rsid w:val="00D00C03"/>
    <w:rsid w:val="00D04228"/>
    <w:rsid w:val="00D04452"/>
    <w:rsid w:val="00D047FE"/>
    <w:rsid w:val="00D04B0C"/>
    <w:rsid w:val="00D0589A"/>
    <w:rsid w:val="00D061EF"/>
    <w:rsid w:val="00D072C7"/>
    <w:rsid w:val="00D07B14"/>
    <w:rsid w:val="00D1121C"/>
    <w:rsid w:val="00D13CCC"/>
    <w:rsid w:val="00D149D9"/>
    <w:rsid w:val="00D21CE5"/>
    <w:rsid w:val="00D22A0F"/>
    <w:rsid w:val="00D242AE"/>
    <w:rsid w:val="00D26C4B"/>
    <w:rsid w:val="00D27CEE"/>
    <w:rsid w:val="00D27E4C"/>
    <w:rsid w:val="00D3156A"/>
    <w:rsid w:val="00D352F5"/>
    <w:rsid w:val="00D3561F"/>
    <w:rsid w:val="00D3562B"/>
    <w:rsid w:val="00D40AB0"/>
    <w:rsid w:val="00D4359F"/>
    <w:rsid w:val="00D43DE7"/>
    <w:rsid w:val="00D44BF5"/>
    <w:rsid w:val="00D46620"/>
    <w:rsid w:val="00D51A23"/>
    <w:rsid w:val="00D543D5"/>
    <w:rsid w:val="00D60766"/>
    <w:rsid w:val="00D62311"/>
    <w:rsid w:val="00D62542"/>
    <w:rsid w:val="00D62E54"/>
    <w:rsid w:val="00D63E4A"/>
    <w:rsid w:val="00D63F11"/>
    <w:rsid w:val="00D66B24"/>
    <w:rsid w:val="00D679B3"/>
    <w:rsid w:val="00D707A1"/>
    <w:rsid w:val="00D72786"/>
    <w:rsid w:val="00D73F19"/>
    <w:rsid w:val="00D749F9"/>
    <w:rsid w:val="00D76C02"/>
    <w:rsid w:val="00D7706E"/>
    <w:rsid w:val="00D7777D"/>
    <w:rsid w:val="00D77F76"/>
    <w:rsid w:val="00D8103A"/>
    <w:rsid w:val="00D82553"/>
    <w:rsid w:val="00D829BC"/>
    <w:rsid w:val="00D83E51"/>
    <w:rsid w:val="00D840FD"/>
    <w:rsid w:val="00D851E0"/>
    <w:rsid w:val="00D85B35"/>
    <w:rsid w:val="00D879CB"/>
    <w:rsid w:val="00D87B65"/>
    <w:rsid w:val="00D90B1D"/>
    <w:rsid w:val="00D91F41"/>
    <w:rsid w:val="00D93ED2"/>
    <w:rsid w:val="00D94058"/>
    <w:rsid w:val="00D961B4"/>
    <w:rsid w:val="00D96614"/>
    <w:rsid w:val="00DA14CB"/>
    <w:rsid w:val="00DA198D"/>
    <w:rsid w:val="00DA4E66"/>
    <w:rsid w:val="00DA4F30"/>
    <w:rsid w:val="00DA611C"/>
    <w:rsid w:val="00DA737D"/>
    <w:rsid w:val="00DA77A0"/>
    <w:rsid w:val="00DB20D5"/>
    <w:rsid w:val="00DB3916"/>
    <w:rsid w:val="00DB3A91"/>
    <w:rsid w:val="00DC0880"/>
    <w:rsid w:val="00DC17E8"/>
    <w:rsid w:val="00DC1E47"/>
    <w:rsid w:val="00DC209E"/>
    <w:rsid w:val="00DC22CA"/>
    <w:rsid w:val="00DC29E8"/>
    <w:rsid w:val="00DC3413"/>
    <w:rsid w:val="00DC3507"/>
    <w:rsid w:val="00DC568F"/>
    <w:rsid w:val="00DD1112"/>
    <w:rsid w:val="00DD1477"/>
    <w:rsid w:val="00DD1EBD"/>
    <w:rsid w:val="00DD3EEA"/>
    <w:rsid w:val="00DD4317"/>
    <w:rsid w:val="00DD55E9"/>
    <w:rsid w:val="00DD7EF1"/>
    <w:rsid w:val="00DE0712"/>
    <w:rsid w:val="00DE10C3"/>
    <w:rsid w:val="00DE26A2"/>
    <w:rsid w:val="00DE4010"/>
    <w:rsid w:val="00DE520E"/>
    <w:rsid w:val="00DE557A"/>
    <w:rsid w:val="00DE6264"/>
    <w:rsid w:val="00DE658A"/>
    <w:rsid w:val="00DF1489"/>
    <w:rsid w:val="00DF1C09"/>
    <w:rsid w:val="00DF21E4"/>
    <w:rsid w:val="00DF4BEF"/>
    <w:rsid w:val="00DF5959"/>
    <w:rsid w:val="00DF69CA"/>
    <w:rsid w:val="00DF6D52"/>
    <w:rsid w:val="00DF763D"/>
    <w:rsid w:val="00DF77B1"/>
    <w:rsid w:val="00DF7DA9"/>
    <w:rsid w:val="00DF7DEA"/>
    <w:rsid w:val="00E037BB"/>
    <w:rsid w:val="00E03A04"/>
    <w:rsid w:val="00E04929"/>
    <w:rsid w:val="00E05724"/>
    <w:rsid w:val="00E07E1C"/>
    <w:rsid w:val="00E10413"/>
    <w:rsid w:val="00E12C7C"/>
    <w:rsid w:val="00E13A5E"/>
    <w:rsid w:val="00E16930"/>
    <w:rsid w:val="00E20DF1"/>
    <w:rsid w:val="00E21A5C"/>
    <w:rsid w:val="00E222C3"/>
    <w:rsid w:val="00E25C50"/>
    <w:rsid w:val="00E263B3"/>
    <w:rsid w:val="00E27AC6"/>
    <w:rsid w:val="00E30661"/>
    <w:rsid w:val="00E31E72"/>
    <w:rsid w:val="00E336F8"/>
    <w:rsid w:val="00E33CC6"/>
    <w:rsid w:val="00E348B9"/>
    <w:rsid w:val="00E34C55"/>
    <w:rsid w:val="00E3671B"/>
    <w:rsid w:val="00E3709D"/>
    <w:rsid w:val="00E37D51"/>
    <w:rsid w:val="00E42A5E"/>
    <w:rsid w:val="00E4305A"/>
    <w:rsid w:val="00E43405"/>
    <w:rsid w:val="00E44E4E"/>
    <w:rsid w:val="00E455C1"/>
    <w:rsid w:val="00E457D8"/>
    <w:rsid w:val="00E461E2"/>
    <w:rsid w:val="00E55E3C"/>
    <w:rsid w:val="00E55EF8"/>
    <w:rsid w:val="00E55F7F"/>
    <w:rsid w:val="00E564A2"/>
    <w:rsid w:val="00E57897"/>
    <w:rsid w:val="00E611B7"/>
    <w:rsid w:val="00E6262E"/>
    <w:rsid w:val="00E62C25"/>
    <w:rsid w:val="00E63CFA"/>
    <w:rsid w:val="00E65FD4"/>
    <w:rsid w:val="00E663D3"/>
    <w:rsid w:val="00E7014C"/>
    <w:rsid w:val="00E70CCB"/>
    <w:rsid w:val="00E712EE"/>
    <w:rsid w:val="00E71CBD"/>
    <w:rsid w:val="00E7543F"/>
    <w:rsid w:val="00E76BF8"/>
    <w:rsid w:val="00E76F15"/>
    <w:rsid w:val="00E81B5C"/>
    <w:rsid w:val="00E84D83"/>
    <w:rsid w:val="00E86D8A"/>
    <w:rsid w:val="00E86F7F"/>
    <w:rsid w:val="00E92490"/>
    <w:rsid w:val="00E95BA2"/>
    <w:rsid w:val="00EA00FD"/>
    <w:rsid w:val="00EA25C5"/>
    <w:rsid w:val="00EA4455"/>
    <w:rsid w:val="00EA5174"/>
    <w:rsid w:val="00EB12B6"/>
    <w:rsid w:val="00EB21D5"/>
    <w:rsid w:val="00EB24D3"/>
    <w:rsid w:val="00EB2B08"/>
    <w:rsid w:val="00EB2B9C"/>
    <w:rsid w:val="00EB3C3D"/>
    <w:rsid w:val="00EB60FB"/>
    <w:rsid w:val="00EB6770"/>
    <w:rsid w:val="00EB7F95"/>
    <w:rsid w:val="00EC0C68"/>
    <w:rsid w:val="00EC0F37"/>
    <w:rsid w:val="00EC1258"/>
    <w:rsid w:val="00EC3BE7"/>
    <w:rsid w:val="00EC43A7"/>
    <w:rsid w:val="00EC56E4"/>
    <w:rsid w:val="00EC7E56"/>
    <w:rsid w:val="00ED0214"/>
    <w:rsid w:val="00ED0C63"/>
    <w:rsid w:val="00ED2010"/>
    <w:rsid w:val="00ED428F"/>
    <w:rsid w:val="00ED676B"/>
    <w:rsid w:val="00ED6D1D"/>
    <w:rsid w:val="00ED6DD5"/>
    <w:rsid w:val="00ED7338"/>
    <w:rsid w:val="00EE09E7"/>
    <w:rsid w:val="00EE2F44"/>
    <w:rsid w:val="00EE347A"/>
    <w:rsid w:val="00EE3CA9"/>
    <w:rsid w:val="00EE3DB5"/>
    <w:rsid w:val="00EE6B0F"/>
    <w:rsid w:val="00EE6E9C"/>
    <w:rsid w:val="00EE7A22"/>
    <w:rsid w:val="00EF08C6"/>
    <w:rsid w:val="00EF0EED"/>
    <w:rsid w:val="00EF1338"/>
    <w:rsid w:val="00EF142D"/>
    <w:rsid w:val="00EF2036"/>
    <w:rsid w:val="00EF2BA3"/>
    <w:rsid w:val="00EF3AD9"/>
    <w:rsid w:val="00EF5E35"/>
    <w:rsid w:val="00EF6479"/>
    <w:rsid w:val="00F006A8"/>
    <w:rsid w:val="00F0194D"/>
    <w:rsid w:val="00F0458E"/>
    <w:rsid w:val="00F05D4E"/>
    <w:rsid w:val="00F07882"/>
    <w:rsid w:val="00F07DB4"/>
    <w:rsid w:val="00F12B31"/>
    <w:rsid w:val="00F13AA4"/>
    <w:rsid w:val="00F1473D"/>
    <w:rsid w:val="00F14A6A"/>
    <w:rsid w:val="00F171E9"/>
    <w:rsid w:val="00F206CC"/>
    <w:rsid w:val="00F21C29"/>
    <w:rsid w:val="00F2267D"/>
    <w:rsid w:val="00F226DC"/>
    <w:rsid w:val="00F23A85"/>
    <w:rsid w:val="00F2465E"/>
    <w:rsid w:val="00F27D8A"/>
    <w:rsid w:val="00F311D6"/>
    <w:rsid w:val="00F31573"/>
    <w:rsid w:val="00F31A1E"/>
    <w:rsid w:val="00F3281F"/>
    <w:rsid w:val="00F33C5C"/>
    <w:rsid w:val="00F33F68"/>
    <w:rsid w:val="00F3649F"/>
    <w:rsid w:val="00F36EFF"/>
    <w:rsid w:val="00F4025D"/>
    <w:rsid w:val="00F424C5"/>
    <w:rsid w:val="00F466A1"/>
    <w:rsid w:val="00F47D28"/>
    <w:rsid w:val="00F5060B"/>
    <w:rsid w:val="00F50F6F"/>
    <w:rsid w:val="00F526D5"/>
    <w:rsid w:val="00F528BA"/>
    <w:rsid w:val="00F55A44"/>
    <w:rsid w:val="00F56D45"/>
    <w:rsid w:val="00F57473"/>
    <w:rsid w:val="00F615C0"/>
    <w:rsid w:val="00F63219"/>
    <w:rsid w:val="00F64D0D"/>
    <w:rsid w:val="00F65213"/>
    <w:rsid w:val="00F6664E"/>
    <w:rsid w:val="00F71098"/>
    <w:rsid w:val="00F724C5"/>
    <w:rsid w:val="00F72A8D"/>
    <w:rsid w:val="00F7380E"/>
    <w:rsid w:val="00F75C66"/>
    <w:rsid w:val="00F77909"/>
    <w:rsid w:val="00F77E5C"/>
    <w:rsid w:val="00F80638"/>
    <w:rsid w:val="00F8190E"/>
    <w:rsid w:val="00F8468B"/>
    <w:rsid w:val="00F869B7"/>
    <w:rsid w:val="00F92393"/>
    <w:rsid w:val="00F93E59"/>
    <w:rsid w:val="00F9489B"/>
    <w:rsid w:val="00F9563B"/>
    <w:rsid w:val="00F960A4"/>
    <w:rsid w:val="00F97F10"/>
    <w:rsid w:val="00FA0239"/>
    <w:rsid w:val="00FA2387"/>
    <w:rsid w:val="00FA5264"/>
    <w:rsid w:val="00FA6B5C"/>
    <w:rsid w:val="00FB05FD"/>
    <w:rsid w:val="00FB18C1"/>
    <w:rsid w:val="00FB24FA"/>
    <w:rsid w:val="00FB2885"/>
    <w:rsid w:val="00FB29BE"/>
    <w:rsid w:val="00FB3573"/>
    <w:rsid w:val="00FB4CD7"/>
    <w:rsid w:val="00FB62CF"/>
    <w:rsid w:val="00FB7AED"/>
    <w:rsid w:val="00FB7B96"/>
    <w:rsid w:val="00FC0313"/>
    <w:rsid w:val="00FC059B"/>
    <w:rsid w:val="00FC2AE9"/>
    <w:rsid w:val="00FC4C21"/>
    <w:rsid w:val="00FC5197"/>
    <w:rsid w:val="00FC5CD0"/>
    <w:rsid w:val="00FC76B9"/>
    <w:rsid w:val="00FC7C3F"/>
    <w:rsid w:val="00FD0817"/>
    <w:rsid w:val="00FD2420"/>
    <w:rsid w:val="00FD2487"/>
    <w:rsid w:val="00FD6A1A"/>
    <w:rsid w:val="00FD7347"/>
    <w:rsid w:val="00FE0019"/>
    <w:rsid w:val="00FE12D6"/>
    <w:rsid w:val="00FE25BB"/>
    <w:rsid w:val="00FE6423"/>
    <w:rsid w:val="00FE697A"/>
    <w:rsid w:val="00FE6BF1"/>
    <w:rsid w:val="00FE6FFF"/>
    <w:rsid w:val="00FE74D4"/>
    <w:rsid w:val="00FE7B29"/>
    <w:rsid w:val="00FF0757"/>
    <w:rsid w:val="00FF0A45"/>
    <w:rsid w:val="00FF14A8"/>
    <w:rsid w:val="00FF38F7"/>
    <w:rsid w:val="00FF3E69"/>
    <w:rsid w:val="00FF5A48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5B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71"/>
    <w:pPr>
      <w:spacing w:after="0"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D52"/>
    <w:pPr>
      <w:keepNext/>
      <w:keepLines/>
      <w:spacing w:line="680" w:lineRule="exact"/>
      <w:outlineLvl w:val="0"/>
    </w:pPr>
    <w:rPr>
      <w:rFonts w:eastAsiaTheme="majorEastAsia" w:cstheme="majorBidi"/>
      <w:b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6D52"/>
    <w:pPr>
      <w:spacing w:line="520" w:lineRule="atLeast"/>
      <w:outlineLvl w:val="1"/>
    </w:pPr>
    <w:rPr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F6D52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F6D52"/>
    <w:pPr>
      <w:spacing w:line="320" w:lineRule="atLeas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A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DF6D52"/>
  </w:style>
  <w:style w:type="character" w:customStyle="1" w:styleId="BodyTextChar">
    <w:name w:val="Body Text Char"/>
    <w:basedOn w:val="DefaultParagraphFont"/>
    <w:link w:val="BodyText"/>
    <w:rsid w:val="00DF6D52"/>
    <w:rPr>
      <w:rFonts w:ascii="Arial" w:hAnsi="Arial"/>
      <w:sz w:val="24"/>
    </w:rPr>
  </w:style>
  <w:style w:type="paragraph" w:styleId="Footer">
    <w:name w:val="footer"/>
    <w:basedOn w:val="BodyText"/>
    <w:link w:val="Foot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D56A9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4D56A9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4D56A9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7263C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7263C"/>
    <w:rPr>
      <w:rFonts w:ascii="Arial" w:hAnsi="Arial" w:cs="Arial"/>
      <w:color w:val="080C0F"/>
      <w:sz w:val="15"/>
    </w:rPr>
  </w:style>
  <w:style w:type="paragraph" w:customStyle="1" w:styleId="Footer2">
    <w:name w:val="Footer 2"/>
    <w:basedOn w:val="Footer"/>
    <w:link w:val="Footer2Char"/>
    <w:rsid w:val="00B70360"/>
    <w:rPr>
      <w:color w:val="080C0F"/>
      <w:sz w:val="18"/>
    </w:rPr>
  </w:style>
  <w:style w:type="character" w:customStyle="1" w:styleId="Footer2Char">
    <w:name w:val="Footer 2 Char"/>
    <w:basedOn w:val="DefaultParagraphFont"/>
    <w:link w:val="Footer2"/>
    <w:rsid w:val="00B70360"/>
    <w:rPr>
      <w:rFonts w:ascii="Arial" w:hAnsi="Arial"/>
      <w:color w:val="080C0F"/>
      <w:sz w:val="18"/>
    </w:rPr>
  </w:style>
  <w:style w:type="paragraph" w:styleId="ListNumber">
    <w:name w:val="List Number"/>
    <w:basedOn w:val="BodyText"/>
    <w:uiPriority w:val="99"/>
    <w:semiHidden/>
    <w:unhideWhenUsed/>
    <w:rsid w:val="004D56A9"/>
    <w:pPr>
      <w:numPr>
        <w:numId w:val="1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D56A9"/>
    <w:pPr>
      <w:numPr>
        <w:ilvl w:val="1"/>
        <w:numId w:val="1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D56A9"/>
    <w:pPr>
      <w:numPr>
        <w:ilvl w:val="2"/>
        <w:numId w:val="1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D56A9"/>
    <w:pPr>
      <w:numPr>
        <w:numId w:val="2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D56A9"/>
    <w:pPr>
      <w:numPr>
        <w:numId w:val="3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D56A9"/>
    <w:pPr>
      <w:numPr>
        <w:numId w:val="4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D56A9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D52"/>
    <w:rPr>
      <w:rFonts w:ascii="Arial" w:eastAsiaTheme="majorEastAsia" w:hAnsi="Arial" w:cstheme="majorBidi"/>
      <w:b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6D52"/>
    <w:rPr>
      <w:rFonts w:ascii="Arial" w:eastAsiaTheme="majorEastAsia" w:hAnsi="Arial" w:cstheme="majorBidi"/>
      <w:b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6D52"/>
    <w:rPr>
      <w:rFonts w:ascii="Arial" w:eastAsiaTheme="majorEastAsia" w:hAnsi="Arial" w:cstheme="majorBidi"/>
      <w:b/>
      <w:color w:val="003E6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ABB"/>
    <w:rPr>
      <w:rFonts w:asciiTheme="majorHAnsi" w:eastAsiaTheme="majorEastAsia" w:hAnsiTheme="majorHAnsi" w:cstheme="majorBidi"/>
      <w:color w:val="003E69" w:themeColor="text2"/>
      <w:spacing w:val="-6"/>
      <w:sz w:val="32"/>
      <w:szCs w:val="32"/>
    </w:rPr>
  </w:style>
  <w:style w:type="paragraph" w:styleId="ListParagraph">
    <w:name w:val="List Paragraph"/>
    <w:basedOn w:val="Normal"/>
    <w:uiPriority w:val="34"/>
    <w:qFormat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D52"/>
    <w:rPr>
      <w:rFonts w:ascii="Arial" w:eastAsiaTheme="majorEastAsia" w:hAnsi="Arial" w:cstheme="majorBidi"/>
      <w:b/>
      <w:color w:val="003E69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ABB"/>
    <w:rPr>
      <w:rFonts w:asciiTheme="majorHAnsi" w:eastAsiaTheme="majorEastAsia" w:hAnsiTheme="majorHAnsi" w:cstheme="majorBidi"/>
      <w:caps/>
      <w:color w:val="002E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B56ABB"/>
    <w:pPr>
      <w:spacing w:line="240" w:lineRule="auto"/>
    </w:pPr>
    <w:rPr>
      <w:b/>
      <w:bCs/>
      <w:smallCaps/>
      <w:color w:val="003E69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DF6D52"/>
    <w:pPr>
      <w:numPr>
        <w:ilvl w:val="1"/>
      </w:numPr>
      <w:spacing w:line="240" w:lineRule="atLeast"/>
    </w:pPr>
    <w:rPr>
      <w:rFonts w:eastAsiaTheme="majorEastAsia" w:cstheme="majorBidi"/>
      <w:color w:val="080C0F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DF6D52"/>
    <w:rPr>
      <w:rFonts w:ascii="Arial" w:eastAsiaTheme="majorEastAsia" w:hAnsi="Arial" w:cstheme="majorBidi"/>
      <w:color w:val="080C0F"/>
      <w:sz w:val="18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56ABB"/>
    <w:pPr>
      <w:spacing w:before="120" w:after="120"/>
      <w:ind w:left="720"/>
    </w:pPr>
    <w:rPr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6ABB"/>
    <w:rPr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6ABB"/>
    <w:rPr>
      <w:i/>
      <w:iCs/>
      <w:color w:val="43647D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6ABB"/>
    <w:rPr>
      <w:smallCaps/>
      <w:color w:val="43647D" w:themeColor="text1" w:themeTint="A6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56ABB"/>
    <w:rPr>
      <w:b/>
      <w:bCs/>
      <w:smallCaps/>
      <w:color w:val="003E69" w:themeColor="text2"/>
      <w:u w:val="singl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B56ABB"/>
    <w:pPr>
      <w:outlineLvl w:val="9"/>
    </w:pPr>
  </w:style>
  <w:style w:type="table" w:styleId="TableGrid">
    <w:name w:val="Table Grid"/>
    <w:basedOn w:val="TableNormal"/>
    <w:uiPriority w:val="39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Normal"/>
    <w:next w:val="Normal"/>
    <w:link w:val="TitleChar"/>
    <w:uiPriority w:val="9"/>
    <w:qFormat/>
    <w:locked/>
    <w:rsid w:val="003B432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3B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locked/>
    <w:rsid w:val="00A928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Normal"/>
    <w:next w:val="BodyText"/>
    <w:qFormat/>
    <w:rsid w:val="0042018F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/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paragraph" w:styleId="Revision">
    <w:name w:val="Revision"/>
    <w:hidden/>
    <w:uiPriority w:val="99"/>
    <w:semiHidden/>
    <w:rsid w:val="004D3D13"/>
    <w:pPr>
      <w:spacing w:after="0" w:line="240" w:lineRule="auto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A765EB"/>
    <w:pPr>
      <w:tabs>
        <w:tab w:val="right" w:leader="dot" w:pos="9062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71CF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71CFE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3F8E"/>
    <w:pPr>
      <w:tabs>
        <w:tab w:val="left" w:pos="880"/>
        <w:tab w:val="right" w:leader="dot" w:pos="9062"/>
      </w:tabs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A971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6F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6F9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662F"/>
    <w:rPr>
      <w:color w:val="0563C1" w:themeColor="followedHyperlink"/>
      <w:u w:val="single"/>
    </w:rPr>
  </w:style>
  <w:style w:type="paragraph" w:customStyle="1" w:styleId="pf0">
    <w:name w:val="pf0"/>
    <w:basedOn w:val="Normal"/>
    <w:rsid w:val="00B8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B87A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service.nhvr.gov.au/?_gl=1*45dj*_ga*MTUxOTk1NTEwMS4xNjY3Nzk3NDMx*_ga_6LLVWX3LFE*MTY5Mjc3MDkzNy4xNjYuMC4xNjkyNzcwOTM3LjAuMC4w" TargetMode="External"/><Relationship Id="rId26" Type="http://schemas.openxmlformats.org/officeDocument/2006/relationships/hyperlink" Target="https://www.legislation.qld.gov.au/view/whole/html/inforce/current/act-2012-hvnl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hvr.gov.au/law-policies/heavy-vehicle-national-law-and-regulation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aps.nhvr.gov.au/" TargetMode="External"/><Relationship Id="rId25" Type="http://schemas.openxmlformats.org/officeDocument/2006/relationships/hyperlink" Target="https://www.nhvr.gov.au/safety-accreditation-compliance/chain-of-responsibil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qldglobe.information.qld.gov.au/?topic=heavy-vehicle-routes-and-restrictions" TargetMode="External"/><Relationship Id="rId20" Type="http://schemas.openxmlformats.org/officeDocument/2006/relationships/hyperlink" Target="https://www.nhvr.gov.au/safety-accreditation-compliance/chain-of-responsibilit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hv.policy@tmr.qld.gov.a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hvr.gov.au/law-policies/heavy-vehicle-national-law-and-regulations" TargetMode="External"/><Relationship Id="rId23" Type="http://schemas.openxmlformats.org/officeDocument/2006/relationships/hyperlink" Target="mailto:Sugarcane_Concessions@tmr.qld.gov.au" TargetMode="External"/><Relationship Id="rId28" Type="http://schemas.openxmlformats.org/officeDocument/2006/relationships/hyperlink" Target="https://www.nhvr.gov.a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qldtraffic.qld.gov.a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nhvr.gov.au/safety-accreditation-compliance/safety-management-systems" TargetMode="External"/><Relationship Id="rId22" Type="http://schemas.openxmlformats.org/officeDocument/2006/relationships/hyperlink" Target="mailto:Sugarcane_Concessions@tmr.qld.gov.au" TargetMode="External"/><Relationship Id="rId27" Type="http://schemas.openxmlformats.org/officeDocument/2006/relationships/hyperlink" Target="https://www.legislation.qld.gov.au/view/html/inforce/current/sl-2013-0077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20590</CharactersWithSpaces>
  <SharedDoc>false</SharedDoc>
  <HLinks>
    <vt:vector size="336" baseType="variant">
      <vt:variant>
        <vt:i4>852034</vt:i4>
      </vt:variant>
      <vt:variant>
        <vt:i4>279</vt:i4>
      </vt:variant>
      <vt:variant>
        <vt:i4>0</vt:i4>
      </vt:variant>
      <vt:variant>
        <vt:i4>5</vt:i4>
      </vt:variant>
      <vt:variant>
        <vt:lpwstr>https://www.nhvr.gov.au/</vt:lpwstr>
      </vt:variant>
      <vt:variant>
        <vt:lpwstr/>
      </vt:variant>
      <vt:variant>
        <vt:i4>852057</vt:i4>
      </vt:variant>
      <vt:variant>
        <vt:i4>276</vt:i4>
      </vt:variant>
      <vt:variant>
        <vt:i4>0</vt:i4>
      </vt:variant>
      <vt:variant>
        <vt:i4>5</vt:i4>
      </vt:variant>
      <vt:variant>
        <vt:lpwstr>https://www.legislation.qld.gov.au/view/html/inforce/current/sl-2013-0077</vt:lpwstr>
      </vt:variant>
      <vt:variant>
        <vt:lpwstr/>
      </vt:variant>
      <vt:variant>
        <vt:i4>6094876</vt:i4>
      </vt:variant>
      <vt:variant>
        <vt:i4>273</vt:i4>
      </vt:variant>
      <vt:variant>
        <vt:i4>0</vt:i4>
      </vt:variant>
      <vt:variant>
        <vt:i4>5</vt:i4>
      </vt:variant>
      <vt:variant>
        <vt:lpwstr>https://www.legislation.qld.gov.au/view/whole/html/inforce/current/act-2012-hvnlq</vt:lpwstr>
      </vt:variant>
      <vt:variant>
        <vt:lpwstr/>
      </vt:variant>
      <vt:variant>
        <vt:i4>7995512</vt:i4>
      </vt:variant>
      <vt:variant>
        <vt:i4>270</vt:i4>
      </vt:variant>
      <vt:variant>
        <vt:i4>0</vt:i4>
      </vt:variant>
      <vt:variant>
        <vt:i4>5</vt:i4>
      </vt:variant>
      <vt:variant>
        <vt:lpwstr>https://www.nhvr.gov.au/safety-accreditation-compliance/chain-of-responsibility</vt:lpwstr>
      </vt:variant>
      <vt:variant>
        <vt:lpwstr/>
      </vt:variant>
      <vt:variant>
        <vt:i4>3670083</vt:i4>
      </vt:variant>
      <vt:variant>
        <vt:i4>264</vt:i4>
      </vt:variant>
      <vt:variant>
        <vt:i4>0</vt:i4>
      </vt:variant>
      <vt:variant>
        <vt:i4>5</vt:i4>
      </vt:variant>
      <vt:variant>
        <vt:lpwstr>mailto:hv.policy@tmr.qld.gov.au</vt:lpwstr>
      </vt:variant>
      <vt:variant>
        <vt:lpwstr/>
      </vt:variant>
      <vt:variant>
        <vt:i4>6553716</vt:i4>
      </vt:variant>
      <vt:variant>
        <vt:i4>261</vt:i4>
      </vt:variant>
      <vt:variant>
        <vt:i4>0</vt:i4>
      </vt:variant>
      <vt:variant>
        <vt:i4>5</vt:i4>
      </vt:variant>
      <vt:variant>
        <vt:lpwstr>mailto:Sugarcane_Concessions@tmr.qld.gov.au</vt:lpwstr>
      </vt:variant>
      <vt:variant>
        <vt:lpwstr/>
      </vt:variant>
      <vt:variant>
        <vt:i4>5374067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Table_2</vt:lpwstr>
      </vt:variant>
      <vt:variant>
        <vt:i4>5374067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Table_1</vt:lpwstr>
      </vt:variant>
      <vt:variant>
        <vt:i4>6553716</vt:i4>
      </vt:variant>
      <vt:variant>
        <vt:i4>249</vt:i4>
      </vt:variant>
      <vt:variant>
        <vt:i4>0</vt:i4>
      </vt:variant>
      <vt:variant>
        <vt:i4>5</vt:i4>
      </vt:variant>
      <vt:variant>
        <vt:lpwstr>mailto:Sugarcane_Concessions@tmr.qld.gov.au</vt:lpwstr>
      </vt:variant>
      <vt:variant>
        <vt:lpwstr/>
      </vt:variant>
      <vt:variant>
        <vt:i4>7667817</vt:i4>
      </vt:variant>
      <vt:variant>
        <vt:i4>246</vt:i4>
      </vt:variant>
      <vt:variant>
        <vt:i4>0</vt:i4>
      </vt:variant>
      <vt:variant>
        <vt:i4>5</vt:i4>
      </vt:variant>
      <vt:variant>
        <vt:lpwstr>https://www.nhvr.gov.au/law-policies/heavy-vehicle-national-law-and-regulations</vt:lpwstr>
      </vt:variant>
      <vt:variant>
        <vt:lpwstr/>
      </vt:variant>
      <vt:variant>
        <vt:i4>1179751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_Part_4_Reporting</vt:lpwstr>
      </vt:variant>
      <vt:variant>
        <vt:i4>7995512</vt:i4>
      </vt:variant>
      <vt:variant>
        <vt:i4>240</vt:i4>
      </vt:variant>
      <vt:variant>
        <vt:i4>0</vt:i4>
      </vt:variant>
      <vt:variant>
        <vt:i4>5</vt:i4>
      </vt:variant>
      <vt:variant>
        <vt:lpwstr>https://www.nhvr.gov.au/safety-accreditation-compliance/chain-of-responsibility</vt:lpwstr>
      </vt:variant>
      <vt:variant>
        <vt:lpwstr/>
      </vt:variant>
      <vt:variant>
        <vt:i4>2556016</vt:i4>
      </vt:variant>
      <vt:variant>
        <vt:i4>237</vt:i4>
      </vt:variant>
      <vt:variant>
        <vt:i4>0</vt:i4>
      </vt:variant>
      <vt:variant>
        <vt:i4>5</vt:i4>
      </vt:variant>
      <vt:variant>
        <vt:lpwstr>https://qldtraffic.qld.gov.au/</vt:lpwstr>
      </vt:variant>
      <vt:variant>
        <vt:lpwstr/>
      </vt:variant>
      <vt:variant>
        <vt:i4>1441809</vt:i4>
      </vt:variant>
      <vt:variant>
        <vt:i4>234</vt:i4>
      </vt:variant>
      <vt:variant>
        <vt:i4>0</vt:i4>
      </vt:variant>
      <vt:variant>
        <vt:i4>5</vt:i4>
      </vt:variant>
      <vt:variant>
        <vt:lpwstr>https://www.service.nhvr.gov.au/?_gl=1*45dj*_ga*MTUxOTk1NTEwMS4xNjY3Nzk3NDMx*_ga_6LLVWX3LFE*MTY5Mjc3MDkzNy4xNjYuMC4xNjkyNzcwOTM3LjAuMC4w</vt:lpwstr>
      </vt:variant>
      <vt:variant>
        <vt:lpwstr/>
      </vt:variant>
      <vt:variant>
        <vt:i4>65561</vt:i4>
      </vt:variant>
      <vt:variant>
        <vt:i4>231</vt:i4>
      </vt:variant>
      <vt:variant>
        <vt:i4>0</vt:i4>
      </vt:variant>
      <vt:variant>
        <vt:i4>5</vt:i4>
      </vt:variant>
      <vt:variant>
        <vt:lpwstr>https://maps.nhvr.gov.au/</vt:lpwstr>
      </vt:variant>
      <vt:variant>
        <vt:lpwstr/>
      </vt:variant>
      <vt:variant>
        <vt:i4>5374039</vt:i4>
      </vt:variant>
      <vt:variant>
        <vt:i4>228</vt:i4>
      </vt:variant>
      <vt:variant>
        <vt:i4>0</vt:i4>
      </vt:variant>
      <vt:variant>
        <vt:i4>5</vt:i4>
      </vt:variant>
      <vt:variant>
        <vt:lpwstr>https://qldglobe.information.qld.gov.au/?topic=heavy-vehicle-routes-and-restrictions</vt:lpwstr>
      </vt:variant>
      <vt:variant>
        <vt:lpwstr/>
      </vt:variant>
      <vt:variant>
        <vt:i4>5374067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Table_2</vt:lpwstr>
      </vt:variant>
      <vt:variant>
        <vt:i4>5374067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Table_1</vt:lpwstr>
      </vt:variant>
      <vt:variant>
        <vt:i4>5374067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Table_2</vt:lpwstr>
      </vt:variant>
      <vt:variant>
        <vt:i4>5374067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Table_1</vt:lpwstr>
      </vt:variant>
      <vt:variant>
        <vt:i4>7667817</vt:i4>
      </vt:variant>
      <vt:variant>
        <vt:i4>210</vt:i4>
      </vt:variant>
      <vt:variant>
        <vt:i4>0</vt:i4>
      </vt:variant>
      <vt:variant>
        <vt:i4>5</vt:i4>
      </vt:variant>
      <vt:variant>
        <vt:lpwstr>https://www.nhvr.gov.au/law-policies/heavy-vehicle-national-law-and-regulations</vt:lpwstr>
      </vt:variant>
      <vt:variant>
        <vt:lpwstr/>
      </vt:variant>
      <vt:variant>
        <vt:i4>25</vt:i4>
      </vt:variant>
      <vt:variant>
        <vt:i4>207</vt:i4>
      </vt:variant>
      <vt:variant>
        <vt:i4>0</vt:i4>
      </vt:variant>
      <vt:variant>
        <vt:i4>5</vt:i4>
      </vt:variant>
      <vt:variant>
        <vt:lpwstr>https://www.nhvr.gov.au/safety-accreditation-compliance/safety-management-systems</vt:lpwstr>
      </vt:variant>
      <vt:variant>
        <vt:lpwstr/>
      </vt:variant>
      <vt:variant>
        <vt:i4>5374067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Table_2</vt:lpwstr>
      </vt:variant>
      <vt:variant>
        <vt:i4>5374067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Table_1</vt:lpwstr>
      </vt:variant>
      <vt:variant>
        <vt:i4>1179751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_Part_4_Reporting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_Toc169609007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_Toc169609006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_Toc169609005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_Toc169609004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_Toc169609003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_Toc169609002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_Toc169609001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_Toc169609000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_Toc169608999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_Toc169608998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_Toc169608997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_Toc169608996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_Toc169608995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_Toc169608994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_Toc169608993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_Toc169608992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_Toc169608991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_Toc169608990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_Toc169608989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_Toc169608988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_Toc169608987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_Toc169608986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_Toc169608985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_Toc169608984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_Toc169608983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_Toc169608982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_Toc169608981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_Toc169608980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_Toc169608979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_Toc169608978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_Toc169608977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Sugar Mass Management Scheme</dc:title>
  <dc:subject/>
  <dc:creator/>
  <cp:keywords/>
  <dc:description/>
  <cp:lastModifiedBy/>
  <cp:revision>1</cp:revision>
  <dcterms:created xsi:type="dcterms:W3CDTF">2025-05-02T05:15:00Z</dcterms:created>
  <dcterms:modified xsi:type="dcterms:W3CDTF">2025-05-02T05:15:00Z</dcterms:modified>
</cp:coreProperties>
</file>