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3F7E" w14:textId="2ACA90BE" w:rsidR="00CD30F9" w:rsidRPr="000A738D" w:rsidRDefault="00EC2AA7" w:rsidP="000A738D">
      <w:pPr>
        <w:pStyle w:val="HeadingPartChapter"/>
      </w:pPr>
      <w:r w:rsidRPr="000A738D">
        <w:t>Checklist</w:t>
      </w:r>
      <w:r w:rsidR="00A77521" w:rsidRPr="000A738D">
        <w:t xml:space="preserve"> </w:t>
      </w:r>
      <w:r w:rsidRPr="000A738D">
        <w:t>–</w:t>
      </w:r>
      <w:r w:rsidR="00A77521" w:rsidRPr="000A738D">
        <w:t xml:space="preserve"> </w:t>
      </w:r>
      <w:r w:rsidR="004F0714" w:rsidRPr="000A738D">
        <w:t>CAC041M</w:t>
      </w:r>
      <w:r w:rsidRPr="000A738D">
        <w:br/>
      </w:r>
      <w:r w:rsidR="004F0714" w:rsidRPr="000A738D">
        <w:t>Review</w:t>
      </w:r>
      <w:r w:rsidR="00A77521" w:rsidRPr="000A738D">
        <w:t xml:space="preserve"> </w:t>
      </w:r>
      <w:r w:rsidR="004F0714" w:rsidRPr="000A738D">
        <w:t>of</w:t>
      </w:r>
      <w:r w:rsidR="00A77521" w:rsidRPr="000A738D">
        <w:t xml:space="preserve"> </w:t>
      </w:r>
      <w:r w:rsidR="004F0714" w:rsidRPr="000A738D">
        <w:t>Side</w:t>
      </w:r>
      <w:r w:rsidR="00A77521" w:rsidRPr="000A738D">
        <w:t>-</w:t>
      </w:r>
      <w:r w:rsidR="004F0714" w:rsidRPr="000A738D">
        <w:t>track,</w:t>
      </w:r>
      <w:r w:rsidR="00A77521" w:rsidRPr="000A738D">
        <w:t xml:space="preserve"> </w:t>
      </w:r>
      <w:r w:rsidR="004F0714" w:rsidRPr="000A738D">
        <w:t>Detour</w:t>
      </w:r>
      <w:r w:rsidR="00A77521" w:rsidRPr="000A738D">
        <w:t xml:space="preserve"> </w:t>
      </w:r>
      <w:r w:rsidR="004F0714" w:rsidRPr="000A738D">
        <w:t>and</w:t>
      </w:r>
      <w:r w:rsidR="00A77521" w:rsidRPr="000A738D">
        <w:t xml:space="preserve"> </w:t>
      </w:r>
      <w:r w:rsidR="004F0714" w:rsidRPr="000A738D">
        <w:t>Crossover</w:t>
      </w:r>
      <w:r w:rsidR="00A77521" w:rsidRPr="000A738D">
        <w:t xml:space="preserve"> </w:t>
      </w:r>
      <w:r w:rsidR="004F0714" w:rsidRPr="000A738D">
        <w:t>(MRTS02,</w:t>
      </w:r>
      <w:r w:rsidR="00A77521" w:rsidRPr="000A738D">
        <w:t xml:space="preserve"> </w:t>
      </w:r>
      <w:r w:rsidR="004F0714" w:rsidRPr="000A738D">
        <w:t>MUTCD</w:t>
      </w:r>
      <w:r w:rsidR="00A77521" w:rsidRPr="000A738D">
        <w:t xml:space="preserve"> </w:t>
      </w:r>
      <w:r w:rsidR="004C128B" w:rsidRPr="000A738D">
        <w:t>Part </w:t>
      </w:r>
      <w:r w:rsidR="004F0714" w:rsidRPr="000A738D">
        <w:t>3</w:t>
      </w:r>
      <w:r w:rsidR="00A77521" w:rsidRPr="000A738D">
        <w:t xml:space="preserve"> </w:t>
      </w:r>
      <w:r w:rsidR="00E35BB8" w:rsidRPr="000A738D">
        <w:t>and</w:t>
      </w:r>
      <w:r w:rsidR="00A77521" w:rsidRPr="000A738D">
        <w:t xml:space="preserve"> </w:t>
      </w:r>
      <w:r w:rsidR="00E35BB8" w:rsidRPr="000A738D">
        <w:t>QGTTM</w:t>
      </w:r>
      <w:r w:rsidR="004F0714" w:rsidRPr="000A738D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0"/>
        <w:gridCol w:w="3204"/>
        <w:gridCol w:w="1615"/>
        <w:gridCol w:w="2686"/>
        <w:gridCol w:w="1848"/>
        <w:gridCol w:w="3933"/>
      </w:tblGrid>
      <w:tr w:rsidR="00825E2A" w14:paraId="4D4A6A05" w14:textId="77777777" w:rsidTr="00A77521">
        <w:tc>
          <w:tcPr>
            <w:tcW w:w="608" w:type="pct"/>
          </w:tcPr>
          <w:p w14:paraId="5ECB897B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1059" w:type="pct"/>
          </w:tcPr>
          <w:p w14:paraId="4166232D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534" w:type="pct"/>
          </w:tcPr>
          <w:p w14:paraId="066059FB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888" w:type="pct"/>
          </w:tcPr>
          <w:p w14:paraId="3968A37D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611" w:type="pct"/>
          </w:tcPr>
          <w:p w14:paraId="7E54B9D0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1300" w:type="pct"/>
          </w:tcPr>
          <w:p w14:paraId="136964BD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785592F9" w14:textId="77777777" w:rsidTr="00A77521">
        <w:tc>
          <w:tcPr>
            <w:tcW w:w="608" w:type="pct"/>
          </w:tcPr>
          <w:p w14:paraId="3AD226F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1059" w:type="pct"/>
          </w:tcPr>
          <w:p w14:paraId="2B2DDA2D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534" w:type="pct"/>
          </w:tcPr>
          <w:p w14:paraId="1917C1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888" w:type="pct"/>
          </w:tcPr>
          <w:p w14:paraId="3F5E5480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611" w:type="pct"/>
          </w:tcPr>
          <w:p w14:paraId="20DC839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1300" w:type="pct"/>
          </w:tcPr>
          <w:p w14:paraId="46B0666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05F44994" w14:textId="77777777" w:rsidR="00627391" w:rsidRPr="00A77521" w:rsidRDefault="00627391" w:rsidP="00A77521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7"/>
        <w:gridCol w:w="5866"/>
        <w:gridCol w:w="1779"/>
        <w:gridCol w:w="5784"/>
      </w:tblGrid>
      <w:tr w:rsidR="00107514" w14:paraId="66934029" w14:textId="77777777" w:rsidTr="00A77521">
        <w:trPr>
          <w:cantSplit/>
          <w:tblHeader/>
        </w:trPr>
        <w:tc>
          <w:tcPr>
            <w:tcW w:w="561" w:type="pct"/>
          </w:tcPr>
          <w:p w14:paraId="07B774A2" w14:textId="77777777" w:rsidR="00107514" w:rsidRDefault="00107514" w:rsidP="00A77521">
            <w:pPr>
              <w:pStyle w:val="TableHeading"/>
              <w:keepNext w:val="0"/>
              <w:keepLines w:val="0"/>
              <w:widowControl w:val="0"/>
            </w:pPr>
            <w:r>
              <w:t>Reference</w:t>
            </w:r>
          </w:p>
        </w:tc>
        <w:tc>
          <w:tcPr>
            <w:tcW w:w="1939" w:type="pct"/>
          </w:tcPr>
          <w:p w14:paraId="2402115E" w14:textId="77777777" w:rsidR="00107514" w:rsidRDefault="00107514" w:rsidP="00A77521">
            <w:pPr>
              <w:pStyle w:val="TableHeading"/>
              <w:keepNext w:val="0"/>
              <w:keepLines w:val="0"/>
              <w:widowControl w:val="0"/>
            </w:pPr>
            <w:r>
              <w:t>Requirements</w:t>
            </w:r>
          </w:p>
        </w:tc>
        <w:tc>
          <w:tcPr>
            <w:tcW w:w="588" w:type="pct"/>
          </w:tcPr>
          <w:p w14:paraId="7E61048F" w14:textId="77777777" w:rsidR="00107514" w:rsidRDefault="00107514" w:rsidP="00A77521">
            <w:pPr>
              <w:pStyle w:val="TableHeading"/>
              <w:keepNext w:val="0"/>
              <w:keepLines w:val="0"/>
              <w:widowControl w:val="0"/>
            </w:pPr>
            <w:r>
              <w:t>Addressed</w:t>
            </w:r>
          </w:p>
        </w:tc>
        <w:tc>
          <w:tcPr>
            <w:tcW w:w="1912" w:type="pct"/>
          </w:tcPr>
          <w:p w14:paraId="6AF8D1BD" w14:textId="5E95F94E" w:rsidR="00107514" w:rsidRDefault="00107514" w:rsidP="00A77521">
            <w:pPr>
              <w:pStyle w:val="TableHeading"/>
              <w:keepNext w:val="0"/>
              <w:keepLines w:val="0"/>
              <w:widowControl w:val="0"/>
            </w:pPr>
            <w:r>
              <w:t>Comments</w:t>
            </w:r>
            <w:r w:rsidR="007732E8">
              <w:t> </w:t>
            </w:r>
            <w:r>
              <w:t>/</w:t>
            </w:r>
            <w:r w:rsidR="007732E8">
              <w:t> </w:t>
            </w:r>
            <w:r>
              <w:t>Observations</w:t>
            </w:r>
          </w:p>
        </w:tc>
      </w:tr>
      <w:tr w:rsidR="00132FEE" w14:paraId="52A2185A" w14:textId="77777777" w:rsidTr="00A77521">
        <w:tc>
          <w:tcPr>
            <w:tcW w:w="561" w:type="pct"/>
            <w:vAlign w:val="top"/>
          </w:tcPr>
          <w:p w14:paraId="3A115284" w14:textId="77777777" w:rsidR="00132FEE" w:rsidRDefault="00132FEE" w:rsidP="00A77521">
            <w:pPr>
              <w:pStyle w:val="TableBodyText"/>
              <w:keepNext w:val="0"/>
              <w:keepLines w:val="0"/>
              <w:widowControl w:val="0"/>
            </w:pPr>
            <w:r>
              <w:t>MRTS02</w:t>
            </w:r>
          </w:p>
          <w:p w14:paraId="459761D4" w14:textId="334F5DFD" w:rsidR="00132FEE" w:rsidRPr="00560926" w:rsidRDefault="004C128B" w:rsidP="00A77521">
            <w:pPr>
              <w:pStyle w:val="TableBodyText"/>
              <w:keepNext w:val="0"/>
              <w:keepLines w:val="0"/>
              <w:widowControl w:val="0"/>
            </w:pPr>
            <w:r>
              <w:t>Clause </w:t>
            </w:r>
            <w:r w:rsidR="00132FEE">
              <w:t>6.5.3.1</w:t>
            </w:r>
          </w:p>
        </w:tc>
        <w:tc>
          <w:tcPr>
            <w:tcW w:w="1939" w:type="pct"/>
            <w:vAlign w:val="top"/>
          </w:tcPr>
          <w:p w14:paraId="5B90CD9E" w14:textId="3FA4E62A" w:rsidR="00132FEE" w:rsidRPr="00050A5F" w:rsidRDefault="00132FEE" w:rsidP="00A77521">
            <w:pPr>
              <w:pStyle w:val="TableBodyText"/>
              <w:keepNext w:val="0"/>
              <w:keepLines w:val="0"/>
              <w:widowControl w:val="0"/>
            </w:pPr>
            <w:r w:rsidRPr="00050A5F">
              <w:t xml:space="preserve">Has the Contractor arranged its construction program and </w:t>
            </w:r>
            <w:r w:rsidR="001172E6" w:rsidRPr="00050A5F">
              <w:t>sequencing,</w:t>
            </w:r>
            <w:r w:rsidRPr="00050A5F">
              <w:t xml:space="preserve"> so traffic flow is maintained through the </w:t>
            </w:r>
            <w:r w:rsidR="00E24D49">
              <w:t>w</w:t>
            </w:r>
            <w:r w:rsidR="00E24D49" w:rsidRPr="00050A5F">
              <w:t>ork</w:t>
            </w:r>
            <w:r w:rsidR="00E24D49">
              <w:t xml:space="preserve">s </w:t>
            </w:r>
            <w:r>
              <w:t xml:space="preserve">in accordance with </w:t>
            </w:r>
            <w:r w:rsidR="00E35BB8">
              <w:t>QGTTM</w:t>
            </w:r>
            <w:r w:rsidR="007732E8">
              <w:t> </w:t>
            </w:r>
            <w:r w:rsidR="004C128B">
              <w:t>Part</w:t>
            </w:r>
            <w:r w:rsidR="00E35BB8">
              <w:t> 2 and Part</w:t>
            </w:r>
            <w:r w:rsidR="004C128B">
              <w:t> </w:t>
            </w:r>
            <w:r w:rsidRPr="00050A5F">
              <w:t>3, as supplemented or am</w:t>
            </w:r>
            <w:r>
              <w:t xml:space="preserve">ended by </w:t>
            </w:r>
            <w:r w:rsidR="004C128B">
              <w:t>Clause </w:t>
            </w:r>
            <w:r>
              <w:t>5.</w:t>
            </w:r>
            <w:r w:rsidR="000C5F43">
              <w:t>6</w:t>
            </w:r>
            <w:r>
              <w:t xml:space="preserve"> of Annexure </w:t>
            </w:r>
            <w:r w:rsidRPr="00050A5F">
              <w:t>MRTS02.1?</w:t>
            </w:r>
          </w:p>
        </w:tc>
        <w:tc>
          <w:tcPr>
            <w:tcW w:w="588" w:type="pct"/>
            <w:vAlign w:val="top"/>
          </w:tcPr>
          <w:p w14:paraId="5D2D0ACD" w14:textId="77777777" w:rsidR="00132FEE" w:rsidRDefault="00132FEE" w:rsidP="00A77521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24044399" w14:textId="77777777" w:rsidR="00132FEE" w:rsidRDefault="00132FEE" w:rsidP="00A77521">
            <w:pPr>
              <w:pStyle w:val="TableBodyText"/>
              <w:keepNext w:val="0"/>
              <w:keepLines w:val="0"/>
              <w:widowControl w:val="0"/>
              <w:ind w:left="322" w:hanging="283"/>
            </w:pPr>
          </w:p>
        </w:tc>
      </w:tr>
      <w:tr w:rsidR="00132FEE" w14:paraId="24418243" w14:textId="77777777" w:rsidTr="00A77521">
        <w:tc>
          <w:tcPr>
            <w:tcW w:w="561" w:type="pct"/>
            <w:vMerge w:val="restart"/>
            <w:vAlign w:val="top"/>
          </w:tcPr>
          <w:p w14:paraId="62EAF448" w14:textId="77777777" w:rsidR="00132FEE" w:rsidRDefault="00132FEE" w:rsidP="00A77521">
            <w:pPr>
              <w:pStyle w:val="TableBodyText"/>
              <w:keepNext w:val="0"/>
              <w:keepLines w:val="0"/>
              <w:widowControl w:val="0"/>
            </w:pPr>
            <w:r>
              <w:t>MRTS02</w:t>
            </w:r>
          </w:p>
          <w:p w14:paraId="6AAA497E" w14:textId="4851E142" w:rsidR="00132FEE" w:rsidRDefault="004C128B" w:rsidP="00A77521">
            <w:pPr>
              <w:pStyle w:val="TableBodyText"/>
              <w:keepNext w:val="0"/>
              <w:keepLines w:val="0"/>
              <w:widowControl w:val="0"/>
            </w:pPr>
            <w:r>
              <w:t>Clause </w:t>
            </w:r>
            <w:r w:rsidR="00132FEE">
              <w:t>6.5.3.2</w:t>
            </w:r>
          </w:p>
        </w:tc>
        <w:tc>
          <w:tcPr>
            <w:tcW w:w="1939" w:type="pct"/>
            <w:vAlign w:val="top"/>
          </w:tcPr>
          <w:p w14:paraId="21D250B9" w14:textId="159DA6A0" w:rsidR="00132FEE" w:rsidRPr="003A6D3D" w:rsidRDefault="00132FEE" w:rsidP="00A77521">
            <w:pPr>
              <w:pStyle w:val="TableBodyText"/>
              <w:keepNext w:val="0"/>
              <w:keepLines w:val="0"/>
              <w:widowControl w:val="0"/>
            </w:pPr>
            <w:r w:rsidRPr="003A6D3D">
              <w:t xml:space="preserve">Has the Contractor liaised and made all necessary arrangements with the relevant </w:t>
            </w:r>
            <w:r w:rsidR="00CF60AA">
              <w:t>l</w:t>
            </w:r>
            <w:r w:rsidRPr="003A6D3D">
              <w:t xml:space="preserve">ocal </w:t>
            </w:r>
            <w:r w:rsidR="00CF60AA">
              <w:t>g</w:t>
            </w:r>
            <w:r w:rsidRPr="003A6D3D">
              <w:t>overnment and/or other authorities concerned when implementing a detour on to existing roads?</w:t>
            </w:r>
          </w:p>
        </w:tc>
        <w:tc>
          <w:tcPr>
            <w:tcW w:w="588" w:type="pct"/>
            <w:vAlign w:val="top"/>
          </w:tcPr>
          <w:p w14:paraId="1C6F9CE8" w14:textId="77777777" w:rsidR="00132FEE" w:rsidRDefault="00132FEE" w:rsidP="00A77521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00E31FA4" w14:textId="77777777" w:rsidR="00132FEE" w:rsidRDefault="00132FEE" w:rsidP="00A77521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32FEE" w14:paraId="3B270CFC" w14:textId="77777777" w:rsidTr="00A77521">
        <w:tc>
          <w:tcPr>
            <w:tcW w:w="561" w:type="pct"/>
            <w:vMerge/>
            <w:vAlign w:val="top"/>
          </w:tcPr>
          <w:p w14:paraId="057ED1A3" w14:textId="77777777" w:rsidR="00132FEE" w:rsidRPr="00417B48" w:rsidRDefault="00132FEE" w:rsidP="00A77521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939" w:type="pct"/>
            <w:vAlign w:val="top"/>
          </w:tcPr>
          <w:p w14:paraId="6D3D0C90" w14:textId="583FEE13" w:rsidR="00132FEE" w:rsidRDefault="00132FEE" w:rsidP="00A77521">
            <w:pPr>
              <w:pStyle w:val="TableBodyText"/>
              <w:widowControl w:val="0"/>
            </w:pPr>
            <w:r>
              <w:t>Has the Contractor</w:t>
            </w:r>
            <w:r w:rsidR="005F037F">
              <w:t>:</w:t>
            </w:r>
          </w:p>
          <w:p w14:paraId="5A17F2E9" w14:textId="5BA7B2CA" w:rsidR="00132FEE" w:rsidRDefault="00132FEE" w:rsidP="001C1968">
            <w:pPr>
              <w:pStyle w:val="TableBodyText"/>
              <w:widowControl w:val="0"/>
              <w:numPr>
                <w:ilvl w:val="0"/>
                <w:numId w:val="11"/>
              </w:numPr>
            </w:pPr>
            <w:r>
              <w:t>inspect</w:t>
            </w:r>
            <w:r w:rsidR="005F037F">
              <w:t>ed</w:t>
            </w:r>
            <w:r>
              <w:t xml:space="preserve"> the route for adequacy for the entire length of the detour</w:t>
            </w:r>
            <w:r w:rsidR="00E35BB8">
              <w:t>?</w:t>
            </w:r>
          </w:p>
          <w:p w14:paraId="63CEC58F" w14:textId="469558F9" w:rsidR="00132FEE" w:rsidRDefault="00132FEE" w:rsidP="001C1968">
            <w:pPr>
              <w:pStyle w:val="TableBodyText"/>
              <w:widowControl w:val="0"/>
              <w:numPr>
                <w:ilvl w:val="0"/>
                <w:numId w:val="14"/>
              </w:numPr>
            </w:pPr>
            <w:r>
              <w:t>implement</w:t>
            </w:r>
            <w:r w:rsidR="00BE09CA">
              <w:t>ed</w:t>
            </w:r>
            <w:r>
              <w:t xml:space="preserve"> any parking</w:t>
            </w:r>
            <w:r w:rsidR="00CB2A98">
              <w:t>,</w:t>
            </w:r>
            <w:r>
              <w:t xml:space="preserve"> o</w:t>
            </w:r>
            <w:r w:rsidR="00BE09CA">
              <w:t>r</w:t>
            </w:r>
            <w:r>
              <w:t xml:space="preserve"> other restrictions</w:t>
            </w:r>
            <w:r w:rsidR="00CB2A98">
              <w:t>,</w:t>
            </w:r>
            <w:r>
              <w:t xml:space="preserve"> to allow the suitable flow of detoured traffic</w:t>
            </w:r>
            <w:r w:rsidR="00E35BB8">
              <w:t>?</w:t>
            </w:r>
          </w:p>
          <w:p w14:paraId="0E7DF4E4" w14:textId="6805064F" w:rsidR="00132FEE" w:rsidRDefault="00132FEE" w:rsidP="001C1968">
            <w:pPr>
              <w:pStyle w:val="TableBodyText"/>
              <w:widowControl w:val="0"/>
              <w:numPr>
                <w:ilvl w:val="0"/>
                <w:numId w:val="14"/>
              </w:numPr>
            </w:pPr>
            <w:r>
              <w:t>provide</w:t>
            </w:r>
            <w:r w:rsidR="0057649B">
              <w:t>d</w:t>
            </w:r>
            <w:r>
              <w:t xml:space="preserve"> suitable directional signage and other infrastructure to guide motorists</w:t>
            </w:r>
            <w:r w:rsidR="00E35BB8">
              <w:t>?</w:t>
            </w:r>
          </w:p>
          <w:p w14:paraId="11287E90" w14:textId="39781272" w:rsidR="00132FEE" w:rsidRPr="00417B48" w:rsidRDefault="00132FEE" w:rsidP="001C1968">
            <w:pPr>
              <w:pStyle w:val="TableBodyText"/>
              <w:widowControl w:val="0"/>
              <w:numPr>
                <w:ilvl w:val="0"/>
                <w:numId w:val="14"/>
              </w:numPr>
            </w:pPr>
            <w:r>
              <w:t>performed any necessary restoration work following cessation of the detour</w:t>
            </w:r>
            <w:r w:rsidR="0057649B">
              <w:t xml:space="preserve"> to the approval of the relevant Authorities</w:t>
            </w:r>
            <w:r>
              <w:t>?</w:t>
            </w:r>
          </w:p>
        </w:tc>
        <w:tc>
          <w:tcPr>
            <w:tcW w:w="588" w:type="pct"/>
            <w:vAlign w:val="top"/>
          </w:tcPr>
          <w:p w14:paraId="598C0279" w14:textId="77777777" w:rsidR="00132FEE" w:rsidRDefault="00132FEE" w:rsidP="00A77521">
            <w:pPr>
              <w:pStyle w:val="TableBodyText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6B47C395" w14:textId="77777777" w:rsidR="00132FEE" w:rsidRDefault="00132FEE" w:rsidP="00A77521">
            <w:pPr>
              <w:pStyle w:val="TableBodyText"/>
              <w:widowControl w:val="0"/>
            </w:pPr>
          </w:p>
        </w:tc>
      </w:tr>
      <w:tr w:rsidR="00107514" w14:paraId="2E1E5876" w14:textId="77777777" w:rsidTr="00A77521">
        <w:tc>
          <w:tcPr>
            <w:tcW w:w="561" w:type="pct"/>
            <w:vAlign w:val="top"/>
          </w:tcPr>
          <w:p w14:paraId="642A0213" w14:textId="77777777" w:rsidR="00132FEE" w:rsidRDefault="00132FEE" w:rsidP="00A77521">
            <w:pPr>
              <w:pStyle w:val="TableBodyText"/>
              <w:keepNext w:val="0"/>
              <w:keepLines w:val="0"/>
              <w:widowControl w:val="0"/>
            </w:pPr>
            <w:r>
              <w:t>MRTS02</w:t>
            </w:r>
          </w:p>
          <w:p w14:paraId="3A9E8DA3" w14:textId="083B8D54" w:rsidR="00132FEE" w:rsidRDefault="004C128B" w:rsidP="00A77521">
            <w:pPr>
              <w:pStyle w:val="TableBodyText"/>
              <w:keepNext w:val="0"/>
              <w:keepLines w:val="0"/>
              <w:widowControl w:val="0"/>
            </w:pPr>
            <w:r>
              <w:t>Clause </w:t>
            </w:r>
            <w:r w:rsidR="00132FEE">
              <w:t>6.5.3.3</w:t>
            </w:r>
          </w:p>
          <w:p w14:paraId="6FAC6DEB" w14:textId="1DE3F813" w:rsidR="00107514" w:rsidRPr="00417B48" w:rsidRDefault="00132FEE" w:rsidP="00A77521">
            <w:pPr>
              <w:pStyle w:val="TableBodyText"/>
              <w:keepNext w:val="0"/>
              <w:keepLines w:val="0"/>
              <w:widowControl w:val="0"/>
            </w:pPr>
            <w:r>
              <w:t>Side</w:t>
            </w:r>
            <w:r w:rsidR="00A77521">
              <w:t>-</w:t>
            </w:r>
            <w:r>
              <w:t>tracks</w:t>
            </w:r>
          </w:p>
        </w:tc>
        <w:tc>
          <w:tcPr>
            <w:tcW w:w="1939" w:type="pct"/>
            <w:vAlign w:val="top"/>
          </w:tcPr>
          <w:p w14:paraId="4501CA0E" w14:textId="77777777" w:rsidR="00132FEE" w:rsidRDefault="00132FEE" w:rsidP="00A77521">
            <w:pPr>
              <w:pStyle w:val="TableBodyText"/>
              <w:keepNext w:val="0"/>
              <w:keepLines w:val="0"/>
              <w:widowControl w:val="0"/>
            </w:pPr>
            <w:r>
              <w:t>Have all the following items been addressed:</w:t>
            </w:r>
          </w:p>
          <w:p w14:paraId="70B15453" w14:textId="4CB5D3AB" w:rsidR="00132FEE" w:rsidRDefault="00124CA8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2"/>
              </w:numPr>
            </w:pPr>
            <w:r>
              <w:t>d</w:t>
            </w:r>
            <w:r w:rsidR="00132FEE">
              <w:t xml:space="preserve">esign and </w:t>
            </w:r>
            <w:r>
              <w:t>c</w:t>
            </w:r>
            <w:r w:rsidR="00132FEE">
              <w:t>onstructio</w:t>
            </w:r>
            <w:r>
              <w:t>n in accordance with</w:t>
            </w:r>
            <w:r w:rsidR="007732E8">
              <w:t> </w:t>
            </w:r>
            <w:r>
              <w:t xml:space="preserve">MUTCD </w:t>
            </w:r>
            <w:r w:rsidR="004C128B">
              <w:t>Part </w:t>
            </w:r>
            <w:r w:rsidR="00132FEE">
              <w:t>3</w:t>
            </w:r>
            <w:r w:rsidR="00E35BB8">
              <w:t>, the</w:t>
            </w:r>
            <w:r w:rsidR="007732E8">
              <w:t> </w:t>
            </w:r>
            <w:r w:rsidR="00E35BB8">
              <w:t>QGTTM</w:t>
            </w:r>
            <w:r w:rsidR="00132FEE">
              <w:t xml:space="preserve"> and </w:t>
            </w:r>
            <w:r w:rsidR="00C27635">
              <w:t>comply with</w:t>
            </w:r>
            <w:r w:rsidR="00132FEE">
              <w:t xml:space="preserve"> relevant Technical Specifications</w:t>
            </w:r>
          </w:p>
          <w:p w14:paraId="5DFCDACD" w14:textId="040D2986" w:rsidR="00132FEE" w:rsidRDefault="00124CA8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l</w:t>
            </w:r>
            <w:r w:rsidR="00132FEE">
              <w:t xml:space="preserve">ocation </w:t>
            </w:r>
            <w:r w:rsidR="00C27635">
              <w:t xml:space="preserve">and route </w:t>
            </w:r>
            <w:r w:rsidR="00132FEE">
              <w:t xml:space="preserve">in accordance with </w:t>
            </w:r>
            <w:r w:rsidR="004C128B">
              <w:t>Clause </w:t>
            </w:r>
            <w:r w:rsidR="00132FEE">
              <w:t>5.</w:t>
            </w:r>
            <w:r w:rsidR="00527ADD">
              <w:t>7</w:t>
            </w:r>
            <w:r w:rsidR="00132FEE">
              <w:t xml:space="preserve"> of Annexure </w:t>
            </w:r>
            <w:r>
              <w:t>MRTS02.1</w:t>
            </w:r>
            <w:r w:rsidR="00C27635">
              <w:t xml:space="preserve"> and/or shown on the drawings</w:t>
            </w:r>
          </w:p>
          <w:p w14:paraId="4862E4FB" w14:textId="7ACD5139" w:rsidR="00132FEE" w:rsidRDefault="00124CA8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s</w:t>
            </w:r>
            <w:r w:rsidR="00132FEE">
              <w:t xml:space="preserve">urface </w:t>
            </w:r>
            <w:r w:rsidR="00BC3489">
              <w:t xml:space="preserve">to be </w:t>
            </w:r>
            <w:r w:rsidR="00132FEE">
              <w:t>clear</w:t>
            </w:r>
            <w:r w:rsidR="00BC3489">
              <w:t>ed, grubbed and strip</w:t>
            </w:r>
            <w:r w:rsidR="003676DD">
              <w:t>p</w:t>
            </w:r>
            <w:r w:rsidR="00BC3489">
              <w:t>ed</w:t>
            </w:r>
            <w:r w:rsidR="00132FEE">
              <w:t xml:space="preserve"> for surface f</w:t>
            </w:r>
            <w:r>
              <w:t xml:space="preserve">ormation and </w:t>
            </w:r>
            <w:r w:rsidR="00AD2603">
              <w:t xml:space="preserve">objects within </w:t>
            </w:r>
            <w:r w:rsidR="00BC3489">
              <w:t>three</w:t>
            </w:r>
            <w:r w:rsidR="003676DD">
              <w:t> </w:t>
            </w:r>
            <w:r w:rsidR="00BC3489">
              <w:t>metres removed, shielded or delineated</w:t>
            </w:r>
          </w:p>
          <w:p w14:paraId="14F74A5A" w14:textId="1248A777" w:rsidR="00132FEE" w:rsidRDefault="00124CA8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a</w:t>
            </w:r>
            <w:r w:rsidR="00132FEE">
              <w:t xml:space="preserve">lignment to </w:t>
            </w:r>
            <w:r w:rsidR="0047048E">
              <w:t xml:space="preserve">be aligned, formed, graded, drained and maintained to </w:t>
            </w:r>
            <w:r w:rsidR="00132FEE">
              <w:t xml:space="preserve">provide for safe and </w:t>
            </w:r>
            <w:r>
              <w:t>comfortable passage of vehicles</w:t>
            </w:r>
          </w:p>
          <w:p w14:paraId="6DEC1803" w14:textId="2CCE1A44" w:rsidR="00132FEE" w:rsidRDefault="00124CA8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crossfall</w:t>
            </w:r>
            <w:r w:rsidR="006725EA">
              <w:t xml:space="preserve"> not more than 4%</w:t>
            </w:r>
          </w:p>
          <w:p w14:paraId="15622992" w14:textId="50A484EF" w:rsidR="00132FEE" w:rsidRDefault="00124CA8" w:rsidP="001C1968">
            <w:pPr>
              <w:pStyle w:val="TableBodyText"/>
              <w:widowControl w:val="0"/>
              <w:numPr>
                <w:ilvl w:val="0"/>
                <w:numId w:val="13"/>
              </w:numPr>
            </w:pPr>
            <w:r>
              <w:lastRenderedPageBreak/>
              <w:t>s</w:t>
            </w:r>
            <w:r w:rsidR="00132FEE">
              <w:t xml:space="preserve">urface as stated in </w:t>
            </w:r>
            <w:r w:rsidR="004C128B">
              <w:t>Clause </w:t>
            </w:r>
            <w:r w:rsidR="00132FEE">
              <w:t>5.</w:t>
            </w:r>
            <w:r w:rsidR="00527ADD">
              <w:t>7</w:t>
            </w:r>
            <w:r w:rsidR="00132FEE">
              <w:t xml:space="preserve"> of Annexure </w:t>
            </w:r>
            <w:r>
              <w:t>MRTS02.1</w:t>
            </w:r>
            <w:r w:rsidR="00275212">
              <w:t>,</w:t>
            </w:r>
            <w:r w:rsidR="00815C80">
              <w:t xml:space="preserve"> or the </w:t>
            </w:r>
            <w:r w:rsidR="00E35BB8">
              <w:t>QGTTM</w:t>
            </w:r>
            <w:r w:rsidR="007732E8">
              <w:t> </w:t>
            </w:r>
            <w:r w:rsidR="004C128B">
              <w:t>Part </w:t>
            </w:r>
            <w:r w:rsidR="00815C80">
              <w:t>3</w:t>
            </w:r>
          </w:p>
          <w:p w14:paraId="71E190E4" w14:textId="7A3C3412" w:rsidR="00132FEE" w:rsidRDefault="00124CA8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g</w:t>
            </w:r>
            <w:r w:rsidR="00132FEE">
              <w:t xml:space="preserve">eometric requirements as stated in </w:t>
            </w:r>
            <w:r w:rsidR="004C128B">
              <w:t>Clause </w:t>
            </w:r>
            <w:r w:rsidR="00132FEE">
              <w:t>5.</w:t>
            </w:r>
            <w:r w:rsidR="00527ADD">
              <w:t>7</w:t>
            </w:r>
            <w:r w:rsidR="00132FEE">
              <w:t xml:space="preserve"> of Annexure </w:t>
            </w:r>
            <w:r>
              <w:t>MRTS02.1</w:t>
            </w:r>
          </w:p>
          <w:p w14:paraId="75806646" w14:textId="79AA42F2" w:rsidR="00132FEE" w:rsidRDefault="00124CA8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w</w:t>
            </w:r>
            <w:r w:rsidR="00132FEE">
              <w:t xml:space="preserve">idth as stated in </w:t>
            </w:r>
            <w:r w:rsidR="004C128B">
              <w:t>Clause </w:t>
            </w:r>
            <w:r w:rsidR="00132FEE">
              <w:t>5.</w:t>
            </w:r>
            <w:r w:rsidR="00527ADD">
              <w:t>7</w:t>
            </w:r>
            <w:r w:rsidR="00132FEE">
              <w:t xml:space="preserve"> of Annexure </w:t>
            </w:r>
            <w:r>
              <w:t>MRTS02.1</w:t>
            </w:r>
          </w:p>
          <w:p w14:paraId="59E0778D" w14:textId="23D61F6F" w:rsidR="00132FEE" w:rsidRDefault="00E35BB8" w:rsidP="001C1968">
            <w:pPr>
              <w:pStyle w:val="TableBodyText"/>
              <w:widowControl w:val="0"/>
              <w:numPr>
                <w:ilvl w:val="0"/>
                <w:numId w:val="13"/>
              </w:numPr>
            </w:pPr>
            <w:r>
              <w:t>i</w:t>
            </w:r>
            <w:r w:rsidR="004848FD">
              <w:t xml:space="preserve">f required and not provided elsewhere in the </w:t>
            </w:r>
            <w:r w:rsidR="00275212">
              <w:t>C</w:t>
            </w:r>
            <w:r w:rsidR="004848FD">
              <w:t>ontract, the w</w:t>
            </w:r>
            <w:r w:rsidR="00D45762">
              <w:t xml:space="preserve">aterway </w:t>
            </w:r>
            <w:r w:rsidR="004848FD">
              <w:t>c</w:t>
            </w:r>
            <w:r w:rsidR="00D45762">
              <w:t xml:space="preserve">rossings </w:t>
            </w:r>
            <w:r w:rsidR="004848FD">
              <w:t>formed and designed through appropriate</w:t>
            </w:r>
            <w:r w:rsidR="00D45762">
              <w:t xml:space="preserve"> r</w:t>
            </w:r>
            <w:r w:rsidR="00132FEE">
              <w:t>isk assessment</w:t>
            </w:r>
            <w:r w:rsidR="004848FD">
              <w:t xml:space="preserve"> </w:t>
            </w:r>
            <w:r>
              <w:t>a</w:t>
            </w:r>
            <w:r w:rsidR="004848FD">
              <w:t>nd approved by the Principal.</w:t>
            </w:r>
          </w:p>
          <w:p w14:paraId="13573A43" w14:textId="41E59BFE" w:rsidR="00132FEE" w:rsidRDefault="00275212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s</w:t>
            </w:r>
            <w:r w:rsidR="00124CA8">
              <w:t>ide</w:t>
            </w:r>
            <w:r>
              <w:noBreakHyphen/>
            </w:r>
            <w:r w:rsidR="00124CA8">
              <w:t>track</w:t>
            </w:r>
            <w:r w:rsidR="004848FD">
              <w:t>s</w:t>
            </w:r>
            <w:r w:rsidR="00124CA8">
              <w:t xml:space="preserve"> signed and delineated</w:t>
            </w:r>
            <w:r w:rsidR="00FC16E7">
              <w:t xml:space="preserve"> to ensure clarity of the route</w:t>
            </w:r>
          </w:p>
          <w:p w14:paraId="1462CE3F" w14:textId="424BE418" w:rsidR="00132FEE" w:rsidRDefault="00124CA8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l</w:t>
            </w:r>
            <w:r w:rsidR="00132FEE">
              <w:t>ighting</w:t>
            </w:r>
            <w:r w:rsidR="00B477C1">
              <w:t xml:space="preserve"> to</w:t>
            </w:r>
            <w:r w:rsidR="00132FEE">
              <w:t xml:space="preserve"> comply with </w:t>
            </w:r>
            <w:r w:rsidR="004476FF">
              <w:t xml:space="preserve">MRTS02.1 </w:t>
            </w:r>
            <w:r w:rsidR="004C128B">
              <w:t>Clause </w:t>
            </w:r>
            <w:r>
              <w:t>5.</w:t>
            </w:r>
            <w:r w:rsidR="00527ADD">
              <w:t>7</w:t>
            </w:r>
          </w:p>
          <w:p w14:paraId="1158A7ED" w14:textId="298448CD" w:rsidR="00B477C1" w:rsidRDefault="00B477C1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where reused, temporary pavement marking to be updated and/or removed</w:t>
            </w:r>
          </w:p>
          <w:p w14:paraId="2D8EF951" w14:textId="6547DF91" w:rsidR="00132FEE" w:rsidRDefault="00132FEE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 xml:space="preserve">maintained to </w:t>
            </w:r>
            <w:r w:rsidR="00124CA8">
              <w:t>the</w:t>
            </w:r>
            <w:r>
              <w:t xml:space="preserve"> st</w:t>
            </w:r>
            <w:r w:rsidR="00124CA8">
              <w:t>andard to which they were built</w:t>
            </w:r>
          </w:p>
          <w:p w14:paraId="60FF5544" w14:textId="6F91EFC2" w:rsidR="00107514" w:rsidRDefault="00124CA8" w:rsidP="001C196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3"/>
              </w:numPr>
            </w:pPr>
            <w:r>
              <w:t>d</w:t>
            </w:r>
            <w:r w:rsidR="00132FEE">
              <w:t>ecommissioning, completely removed and rehabilitated to a state equivalent to that existing before the side</w:t>
            </w:r>
            <w:r w:rsidR="00275212">
              <w:noBreakHyphen/>
            </w:r>
            <w:r w:rsidR="00132FEE">
              <w:t>track was constructed.</w:t>
            </w:r>
          </w:p>
        </w:tc>
        <w:tc>
          <w:tcPr>
            <w:tcW w:w="588" w:type="pct"/>
            <w:vAlign w:val="top"/>
          </w:tcPr>
          <w:p w14:paraId="3E76FE6D" w14:textId="77777777" w:rsidR="00107514" w:rsidRPr="00107514" w:rsidRDefault="00107514" w:rsidP="00A77521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912" w:type="pct"/>
            <w:vAlign w:val="top"/>
          </w:tcPr>
          <w:p w14:paraId="760B6493" w14:textId="77777777" w:rsidR="00107514" w:rsidRPr="00107514" w:rsidRDefault="00107514" w:rsidP="00A77521">
            <w:pPr>
              <w:pStyle w:val="TableBodyText"/>
              <w:keepNext w:val="0"/>
              <w:keepLines w:val="0"/>
              <w:widowControl w:val="0"/>
            </w:pPr>
          </w:p>
        </w:tc>
      </w:tr>
    </w:tbl>
    <w:p w14:paraId="1CD85F01" w14:textId="77777777" w:rsidR="00663E10" w:rsidRPr="00663E10" w:rsidRDefault="00663E10" w:rsidP="00663E10">
      <w:pPr>
        <w:pStyle w:val="BodyText"/>
        <w:keepNext/>
        <w:rPr>
          <w:rStyle w:val="BodyTextbold"/>
        </w:rPr>
      </w:pPr>
      <w:r w:rsidRPr="00663E10">
        <w:rPr>
          <w:rStyle w:val="BodyTextbold"/>
        </w:rPr>
        <w:lastRenderedPageBreak/>
        <w:t>Additional issues for consideration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146"/>
      </w:tblGrid>
      <w:tr w:rsidR="00663E10" w:rsidRPr="00663E10" w14:paraId="09BDA6CE" w14:textId="77777777" w:rsidTr="00663E10">
        <w:tc>
          <w:tcPr>
            <w:tcW w:w="846" w:type="dxa"/>
          </w:tcPr>
          <w:p w14:paraId="33C16FF2" w14:textId="77777777" w:rsidR="00663E10" w:rsidRPr="00663E10" w:rsidRDefault="00663E10" w:rsidP="00663E10">
            <w:pPr>
              <w:pStyle w:val="TableBodyText"/>
              <w:jc w:val="center"/>
            </w:pPr>
            <w:r w:rsidRPr="00663E10">
              <w:t>1</w:t>
            </w:r>
          </w:p>
        </w:tc>
        <w:tc>
          <w:tcPr>
            <w:tcW w:w="13146" w:type="dxa"/>
          </w:tcPr>
          <w:p w14:paraId="1EF074CD" w14:textId="67525544" w:rsidR="00663E10" w:rsidRPr="00663E10" w:rsidRDefault="00527ADD" w:rsidP="00663E10">
            <w:pPr>
              <w:pStyle w:val="TableBodyText"/>
            </w:pPr>
            <w:r>
              <w:t>Temporary</w:t>
            </w:r>
            <w:r w:rsidR="00790741">
              <w:t xml:space="preserve"> </w:t>
            </w:r>
            <w:r w:rsidR="00663E10" w:rsidRPr="00663E10">
              <w:t>speed limit</w:t>
            </w:r>
            <w:r w:rsidR="00790741">
              <w:t>s</w:t>
            </w:r>
            <w:r w:rsidR="00663E10" w:rsidRPr="00663E10">
              <w:t xml:space="preserve"> shall</w:t>
            </w:r>
            <w:r w:rsidR="00790741">
              <w:t xml:space="preserve"> </w:t>
            </w:r>
            <w:r w:rsidR="00663E10">
              <w:t xml:space="preserve">be as per </w:t>
            </w:r>
            <w:r w:rsidR="00E35BB8">
              <w:t>the QGTTM</w:t>
            </w:r>
            <w:r w:rsidR="007732E8">
              <w:t> </w:t>
            </w:r>
            <w:r w:rsidR="00E35BB8">
              <w:t>Part</w:t>
            </w:r>
            <w:r w:rsidR="00663E10">
              <w:t> </w:t>
            </w:r>
            <w:r w:rsidR="00E35BB8">
              <w:t>3 Clause 5.5.1.</w:t>
            </w:r>
          </w:p>
        </w:tc>
      </w:tr>
      <w:tr w:rsidR="00663E10" w:rsidRPr="00663E10" w14:paraId="168B7131" w14:textId="77777777" w:rsidTr="00663E10">
        <w:tc>
          <w:tcPr>
            <w:tcW w:w="846" w:type="dxa"/>
          </w:tcPr>
          <w:p w14:paraId="4BB4E781" w14:textId="77777777" w:rsidR="00663E10" w:rsidRPr="00663E10" w:rsidRDefault="00663E10" w:rsidP="00663E10">
            <w:pPr>
              <w:pStyle w:val="TableBodyText"/>
              <w:jc w:val="center"/>
            </w:pPr>
            <w:r w:rsidRPr="00663E10">
              <w:t>2</w:t>
            </w:r>
          </w:p>
        </w:tc>
        <w:tc>
          <w:tcPr>
            <w:tcW w:w="13146" w:type="dxa"/>
          </w:tcPr>
          <w:p w14:paraId="76222251" w14:textId="5EA1E749" w:rsidR="00663E10" w:rsidRPr="00663E10" w:rsidRDefault="00663E10" w:rsidP="00663E10">
            <w:pPr>
              <w:pStyle w:val="TableBodyText"/>
            </w:pPr>
            <w:r w:rsidRPr="00663E10">
              <w:t>Side</w:t>
            </w:r>
            <w:r w:rsidR="00275212">
              <w:noBreakHyphen/>
            </w:r>
            <w:r w:rsidRPr="00663E10">
              <w:t>track should be inspected periodically at night to check effectiveness of delineation and retro-reflectivity of signage</w:t>
            </w:r>
            <w:r w:rsidR="00404800">
              <w:t>.</w:t>
            </w:r>
          </w:p>
        </w:tc>
      </w:tr>
    </w:tbl>
    <w:p w14:paraId="34BD7E80" w14:textId="133C5A25" w:rsidR="00527ADD" w:rsidRPr="00A77521" w:rsidRDefault="00527ADD" w:rsidP="00A77521">
      <w:pPr>
        <w:pStyle w:val="BodyText"/>
        <w:spacing w:before="240"/>
      </w:pPr>
      <w:r w:rsidRPr="00A77521">
        <w:t>Note:</w:t>
      </w:r>
      <w:r w:rsidRPr="00A77521">
        <w:br/>
        <w:t>MRTS02 and MRTS02.1 contain references to other technical documents published by the department. Ensure that the TMD has referenced these documents in the preparation of the TMP and associated TGS.</w:t>
      </w:r>
    </w:p>
    <w:p w14:paraId="6393434D" w14:textId="77777777" w:rsidR="00151978" w:rsidRPr="0034456A" w:rsidRDefault="00151978" w:rsidP="00A77521">
      <w:pPr>
        <w:pStyle w:val="BodyText"/>
        <w:keepNext/>
        <w:rPr>
          <w:i/>
          <w:iCs/>
          <w:color w:val="0053A5"/>
        </w:rPr>
      </w:pPr>
      <w:r w:rsidRPr="0034456A">
        <w:rPr>
          <w:i/>
          <w:iCs/>
          <w:color w:val="0053A5"/>
        </w:rPr>
        <w:t>Delete below section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2793A968" w14:textId="77777777" w:rsidTr="007E0155">
        <w:tc>
          <w:tcPr>
            <w:tcW w:w="1696" w:type="dxa"/>
            <w:vMerge w:val="restart"/>
          </w:tcPr>
          <w:p w14:paraId="2389DFFA" w14:textId="512F4C4C" w:rsidR="00151978" w:rsidRDefault="00790741" w:rsidP="007E0155">
            <w:pPr>
              <w:pStyle w:val="BodyText"/>
            </w:pPr>
            <w:r>
              <w:t>Reviewed</w:t>
            </w:r>
            <w:r w:rsidR="00151978">
              <w:t xml:space="preserve"> by:</w:t>
            </w:r>
          </w:p>
        </w:tc>
        <w:tc>
          <w:tcPr>
            <w:tcW w:w="5300" w:type="dxa"/>
            <w:gridSpan w:val="2"/>
          </w:tcPr>
          <w:p w14:paraId="7B624F16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0580F3F6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3F1BC64F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003E11E7" w14:textId="77777777" w:rsidTr="007E0155">
        <w:tc>
          <w:tcPr>
            <w:tcW w:w="1696" w:type="dxa"/>
            <w:vMerge/>
          </w:tcPr>
          <w:p w14:paraId="66D6B30D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559FE35F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71E291B2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1BFC3FDE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372AF832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06807A1F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09D9B694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68417EFE" w14:textId="77777777" w:rsidR="00151978" w:rsidRPr="00CE6618" w:rsidRDefault="00151978" w:rsidP="00C957B5">
      <w:pPr>
        <w:pStyle w:val="BodyText"/>
      </w:pPr>
    </w:p>
    <w:sectPr w:rsidR="00151978" w:rsidRPr="00CE6618" w:rsidSect="000A738D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985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2304" w14:textId="77777777" w:rsidR="00EF2FDD" w:rsidRDefault="00EF2FDD">
      <w:r>
        <w:separator/>
      </w:r>
    </w:p>
    <w:p w14:paraId="6D72FE28" w14:textId="77777777" w:rsidR="00EF2FDD" w:rsidRDefault="00EF2FDD"/>
  </w:endnote>
  <w:endnote w:type="continuationSeparator" w:id="0">
    <w:p w14:paraId="186D8AC7" w14:textId="77777777" w:rsidR="00EF2FDD" w:rsidRDefault="00EF2FDD">
      <w:r>
        <w:continuationSeparator/>
      </w:r>
    </w:p>
    <w:p w14:paraId="3D71ABAA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48B8" w14:textId="78161CCB" w:rsidR="00BF7B37" w:rsidRPr="00391457" w:rsidRDefault="00CC14FD" w:rsidP="00212E37">
    <w:pPr>
      <w:pStyle w:val="Footer"/>
      <w:tabs>
        <w:tab w:val="clear" w:pos="4153"/>
        <w:tab w:val="clear" w:pos="10064"/>
        <w:tab w:val="left" w:pos="1488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75D2A7B" wp14:editId="5C337E28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 w:rsidR="00124CA8" w:rsidRPr="00124CA8">
      <w:rPr>
        <w:noProof/>
      </w:rPr>
      <w:t xml:space="preserve">Contract Administration System, Transport and Main Roads, </w:t>
    </w:r>
    <w:r w:rsidR="00E27CC6">
      <w:rPr>
        <w:noProof/>
      </w:rPr>
      <w:t>November 2025</w:t>
    </w:r>
    <w:r w:rsidR="001507BF"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D45762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BC57" w14:textId="77777777" w:rsidR="001507BF" w:rsidRPr="000A738D" w:rsidRDefault="001507BF" w:rsidP="000A738D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4BC0" w14:textId="77777777" w:rsidR="00EF2FDD" w:rsidRDefault="00EF2FDD">
      <w:r>
        <w:separator/>
      </w:r>
    </w:p>
    <w:p w14:paraId="367BC3FE" w14:textId="77777777" w:rsidR="00EF2FDD" w:rsidRDefault="00EF2FDD"/>
  </w:footnote>
  <w:footnote w:type="continuationSeparator" w:id="0">
    <w:p w14:paraId="2A6FF540" w14:textId="77777777" w:rsidR="00EF2FDD" w:rsidRDefault="00EF2FDD">
      <w:r>
        <w:continuationSeparator/>
      </w:r>
    </w:p>
    <w:p w14:paraId="24205492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39DD" w14:textId="2AAB6883" w:rsidR="00C957B5" w:rsidRDefault="00124CA8" w:rsidP="00C957B5">
    <w:pPr>
      <w:pStyle w:val="HeaderChapterpart"/>
    </w:pPr>
    <w:r w:rsidRPr="00124CA8">
      <w:t>Checklist CAC041M, Review of Side</w:t>
    </w:r>
    <w:r w:rsidR="00275212">
      <w:noBreakHyphen/>
    </w:r>
    <w:r w:rsidRPr="00124CA8">
      <w:t xml:space="preserve">track, Detour and Crossover (MRTS02, MUTCD </w:t>
    </w:r>
    <w:r w:rsidR="004C128B">
      <w:t>Part </w:t>
    </w:r>
    <w:r w:rsidRPr="00124CA8">
      <w:t>3</w:t>
    </w:r>
    <w:r w:rsidR="00E35BB8">
      <w:t xml:space="preserve"> and QGTTM</w:t>
    </w:r>
    <w:r w:rsidRPr="00124C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8284" w14:textId="400EEBCB" w:rsidR="002F7622" w:rsidRDefault="00A7752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78AE1B" wp14:editId="6E58F494">
          <wp:simplePos x="0" y="0"/>
          <wp:positionH relativeFrom="page">
            <wp:align>left</wp:align>
          </wp:positionH>
          <wp:positionV relativeFrom="paragraph">
            <wp:posOffset>-290346</wp:posOffset>
          </wp:positionV>
          <wp:extent cx="10675633" cy="7543800"/>
          <wp:effectExtent l="0" t="0" r="0" b="0"/>
          <wp:wrapNone/>
          <wp:docPr id="2954393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6165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5633" cy="754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BC1CA9"/>
    <w:multiLevelType w:val="singleLevel"/>
    <w:tmpl w:val="BB32E9D8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3" w15:restartNumberingAfterBreak="0">
    <w:nsid w:val="134D317D"/>
    <w:multiLevelType w:val="multilevel"/>
    <w:tmpl w:val="DC821EBC"/>
    <w:numStyleLink w:val="TableListAllBullets3Level"/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784EE6"/>
    <w:multiLevelType w:val="multilevel"/>
    <w:tmpl w:val="DC821EBC"/>
    <w:numStyleLink w:val="TableListAllBullets3Level"/>
  </w:abstractNum>
  <w:abstractNum w:abstractNumId="6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55370E1"/>
    <w:multiLevelType w:val="singleLevel"/>
    <w:tmpl w:val="3640959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1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2" w15:restartNumberingAfterBreak="0">
    <w:nsid w:val="3E5170CC"/>
    <w:multiLevelType w:val="multilevel"/>
    <w:tmpl w:val="DC821EBC"/>
    <w:numStyleLink w:val="TableListAllBullets3Level"/>
  </w:abstractNum>
  <w:abstractNum w:abstractNumId="13" w15:restartNumberingAfterBreak="0">
    <w:nsid w:val="3E877B7B"/>
    <w:multiLevelType w:val="multilevel"/>
    <w:tmpl w:val="B1CEB856"/>
    <w:numStyleLink w:val="ListAllBullets3Level"/>
  </w:abstractNum>
  <w:abstractNum w:abstractNumId="14" w15:restartNumberingAfterBreak="0">
    <w:nsid w:val="3F7A76F3"/>
    <w:multiLevelType w:val="multilevel"/>
    <w:tmpl w:val="DC821EBC"/>
    <w:numStyleLink w:val="TableListAllBullets3Level"/>
  </w:abstractNum>
  <w:abstractNum w:abstractNumId="1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4FA7ABE"/>
    <w:multiLevelType w:val="singleLevel"/>
    <w:tmpl w:val="C8C499CC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7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514148895">
    <w:abstractNumId w:val="6"/>
  </w:num>
  <w:num w:numId="2" w16cid:durableId="1996952807">
    <w:abstractNumId w:val="11"/>
  </w:num>
  <w:num w:numId="3" w16cid:durableId="1063061566">
    <w:abstractNumId w:val="17"/>
  </w:num>
  <w:num w:numId="4" w16cid:durableId="1700354461">
    <w:abstractNumId w:val="0"/>
  </w:num>
  <w:num w:numId="5" w16cid:durableId="2028946599">
    <w:abstractNumId w:val="8"/>
  </w:num>
  <w:num w:numId="6" w16cid:durableId="924070725">
    <w:abstractNumId w:val="7"/>
  </w:num>
  <w:num w:numId="7" w16cid:durableId="1118720856">
    <w:abstractNumId w:val="1"/>
  </w:num>
  <w:num w:numId="8" w16cid:durableId="1684555606">
    <w:abstractNumId w:val="4"/>
  </w:num>
  <w:num w:numId="9" w16cid:durableId="1479684399">
    <w:abstractNumId w:val="15"/>
  </w:num>
  <w:num w:numId="10" w16cid:durableId="562519497">
    <w:abstractNumId w:val="18"/>
  </w:num>
  <w:num w:numId="11" w16cid:durableId="1241983157">
    <w:abstractNumId w:val="5"/>
  </w:num>
  <w:num w:numId="12" w16cid:durableId="1525481644">
    <w:abstractNumId w:val="12"/>
  </w:num>
  <w:num w:numId="13" w16cid:durableId="861164254">
    <w:abstractNumId w:val="14"/>
  </w:num>
  <w:num w:numId="14" w16cid:durableId="222260188">
    <w:abstractNumId w:val="3"/>
  </w:num>
  <w:num w:numId="15" w16cid:durableId="822233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3621096">
    <w:abstractNumId w:val="9"/>
  </w:num>
  <w:num w:numId="17" w16cid:durableId="1946423515">
    <w:abstractNumId w:val="16"/>
  </w:num>
  <w:num w:numId="18" w16cid:durableId="92203334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A738D"/>
    <w:rsid w:val="000B047B"/>
    <w:rsid w:val="000B71E8"/>
    <w:rsid w:val="000C5F43"/>
    <w:rsid w:val="000E1CE3"/>
    <w:rsid w:val="00101382"/>
    <w:rsid w:val="0010528D"/>
    <w:rsid w:val="00107514"/>
    <w:rsid w:val="001156A2"/>
    <w:rsid w:val="00115E98"/>
    <w:rsid w:val="001172E6"/>
    <w:rsid w:val="00124CA8"/>
    <w:rsid w:val="00125B5A"/>
    <w:rsid w:val="00132FEE"/>
    <w:rsid w:val="001507BF"/>
    <w:rsid w:val="00151978"/>
    <w:rsid w:val="00167BC5"/>
    <w:rsid w:val="00172FEB"/>
    <w:rsid w:val="0017686C"/>
    <w:rsid w:val="00176CC5"/>
    <w:rsid w:val="001A4752"/>
    <w:rsid w:val="001A697D"/>
    <w:rsid w:val="001B1393"/>
    <w:rsid w:val="001C1968"/>
    <w:rsid w:val="001C6957"/>
    <w:rsid w:val="001C6D5F"/>
    <w:rsid w:val="001D3780"/>
    <w:rsid w:val="001E3E78"/>
    <w:rsid w:val="001E6893"/>
    <w:rsid w:val="001F2035"/>
    <w:rsid w:val="00202CCB"/>
    <w:rsid w:val="00212E37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212"/>
    <w:rsid w:val="00275DDB"/>
    <w:rsid w:val="00277E0F"/>
    <w:rsid w:val="00287680"/>
    <w:rsid w:val="002A27B9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4456A"/>
    <w:rsid w:val="00350E10"/>
    <w:rsid w:val="00361264"/>
    <w:rsid w:val="00363C04"/>
    <w:rsid w:val="003676DD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04800"/>
    <w:rsid w:val="0041645F"/>
    <w:rsid w:val="004476FF"/>
    <w:rsid w:val="004525EA"/>
    <w:rsid w:val="00456933"/>
    <w:rsid w:val="00456A07"/>
    <w:rsid w:val="0047048E"/>
    <w:rsid w:val="00477792"/>
    <w:rsid w:val="004848FD"/>
    <w:rsid w:val="004B1058"/>
    <w:rsid w:val="004B22D1"/>
    <w:rsid w:val="004B4000"/>
    <w:rsid w:val="004C128B"/>
    <w:rsid w:val="004D2E76"/>
    <w:rsid w:val="004D36A2"/>
    <w:rsid w:val="004E3F40"/>
    <w:rsid w:val="004E49B7"/>
    <w:rsid w:val="004E7A9D"/>
    <w:rsid w:val="004F0714"/>
    <w:rsid w:val="004F4085"/>
    <w:rsid w:val="00501027"/>
    <w:rsid w:val="00521D18"/>
    <w:rsid w:val="005233EF"/>
    <w:rsid w:val="00526282"/>
    <w:rsid w:val="00527ADD"/>
    <w:rsid w:val="00530265"/>
    <w:rsid w:val="005424A4"/>
    <w:rsid w:val="00545007"/>
    <w:rsid w:val="00554B3A"/>
    <w:rsid w:val="00556E72"/>
    <w:rsid w:val="005740FC"/>
    <w:rsid w:val="005748A5"/>
    <w:rsid w:val="00575CE8"/>
    <w:rsid w:val="0057649B"/>
    <w:rsid w:val="005815CB"/>
    <w:rsid w:val="00582599"/>
    <w:rsid w:val="00582E91"/>
    <w:rsid w:val="00583E28"/>
    <w:rsid w:val="0059511F"/>
    <w:rsid w:val="005C1DF1"/>
    <w:rsid w:val="005D3973"/>
    <w:rsid w:val="005D59C0"/>
    <w:rsid w:val="005F037F"/>
    <w:rsid w:val="0060080E"/>
    <w:rsid w:val="0061185E"/>
    <w:rsid w:val="00622BC5"/>
    <w:rsid w:val="00627391"/>
    <w:rsid w:val="00627EC8"/>
    <w:rsid w:val="00635475"/>
    <w:rsid w:val="00641639"/>
    <w:rsid w:val="00641BD6"/>
    <w:rsid w:val="00645A39"/>
    <w:rsid w:val="00663E10"/>
    <w:rsid w:val="00666E20"/>
    <w:rsid w:val="006725EA"/>
    <w:rsid w:val="00674999"/>
    <w:rsid w:val="00676214"/>
    <w:rsid w:val="00686875"/>
    <w:rsid w:val="006A6908"/>
    <w:rsid w:val="006C2B1A"/>
    <w:rsid w:val="006D2668"/>
    <w:rsid w:val="006D2FDF"/>
    <w:rsid w:val="006D52CB"/>
    <w:rsid w:val="006D553A"/>
    <w:rsid w:val="0072078E"/>
    <w:rsid w:val="00723F1A"/>
    <w:rsid w:val="00730C95"/>
    <w:rsid w:val="007462A6"/>
    <w:rsid w:val="007672DC"/>
    <w:rsid w:val="0077261D"/>
    <w:rsid w:val="007732E8"/>
    <w:rsid w:val="00773D1D"/>
    <w:rsid w:val="00785550"/>
    <w:rsid w:val="00790741"/>
    <w:rsid w:val="00793FA9"/>
    <w:rsid w:val="00796D7D"/>
    <w:rsid w:val="007B669A"/>
    <w:rsid w:val="007C4319"/>
    <w:rsid w:val="007D0963"/>
    <w:rsid w:val="007D76AC"/>
    <w:rsid w:val="007F56CD"/>
    <w:rsid w:val="008117EB"/>
    <w:rsid w:val="00811807"/>
    <w:rsid w:val="00815C80"/>
    <w:rsid w:val="00825E2A"/>
    <w:rsid w:val="008316C0"/>
    <w:rsid w:val="008807C8"/>
    <w:rsid w:val="008843E8"/>
    <w:rsid w:val="00894E5E"/>
    <w:rsid w:val="008A1136"/>
    <w:rsid w:val="008A19A0"/>
    <w:rsid w:val="008B3748"/>
    <w:rsid w:val="008B61BF"/>
    <w:rsid w:val="008D02E2"/>
    <w:rsid w:val="008F36D9"/>
    <w:rsid w:val="008F47F2"/>
    <w:rsid w:val="00904118"/>
    <w:rsid w:val="0091452E"/>
    <w:rsid w:val="009158B4"/>
    <w:rsid w:val="00926AFF"/>
    <w:rsid w:val="00940C46"/>
    <w:rsid w:val="00944A3A"/>
    <w:rsid w:val="00945942"/>
    <w:rsid w:val="0094724E"/>
    <w:rsid w:val="00966BCA"/>
    <w:rsid w:val="0098641F"/>
    <w:rsid w:val="00996C59"/>
    <w:rsid w:val="009A28E4"/>
    <w:rsid w:val="009A54DC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2AB4"/>
    <w:rsid w:val="00A77521"/>
    <w:rsid w:val="00A832D7"/>
    <w:rsid w:val="00A94C08"/>
    <w:rsid w:val="00A9555C"/>
    <w:rsid w:val="00AA18F5"/>
    <w:rsid w:val="00AA6B2F"/>
    <w:rsid w:val="00AA7630"/>
    <w:rsid w:val="00AA7C6C"/>
    <w:rsid w:val="00AB5329"/>
    <w:rsid w:val="00AC154D"/>
    <w:rsid w:val="00AC354F"/>
    <w:rsid w:val="00AC4DD9"/>
    <w:rsid w:val="00AC5414"/>
    <w:rsid w:val="00AD2603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13A2C"/>
    <w:rsid w:val="00B249E6"/>
    <w:rsid w:val="00B4064C"/>
    <w:rsid w:val="00B477C1"/>
    <w:rsid w:val="00B705E6"/>
    <w:rsid w:val="00B712C5"/>
    <w:rsid w:val="00B8333F"/>
    <w:rsid w:val="00B8519F"/>
    <w:rsid w:val="00BB09C2"/>
    <w:rsid w:val="00BB468F"/>
    <w:rsid w:val="00BC17C8"/>
    <w:rsid w:val="00BC3489"/>
    <w:rsid w:val="00BC3ED2"/>
    <w:rsid w:val="00BC68B8"/>
    <w:rsid w:val="00BD257C"/>
    <w:rsid w:val="00BD26EA"/>
    <w:rsid w:val="00BD5378"/>
    <w:rsid w:val="00BE09CA"/>
    <w:rsid w:val="00BE327E"/>
    <w:rsid w:val="00BE6F04"/>
    <w:rsid w:val="00BF0295"/>
    <w:rsid w:val="00BF2FA5"/>
    <w:rsid w:val="00BF373B"/>
    <w:rsid w:val="00BF7B37"/>
    <w:rsid w:val="00C150DB"/>
    <w:rsid w:val="00C27635"/>
    <w:rsid w:val="00C33EEE"/>
    <w:rsid w:val="00C34106"/>
    <w:rsid w:val="00C352F9"/>
    <w:rsid w:val="00C47E5B"/>
    <w:rsid w:val="00C50278"/>
    <w:rsid w:val="00C76378"/>
    <w:rsid w:val="00C77E31"/>
    <w:rsid w:val="00C81006"/>
    <w:rsid w:val="00C94103"/>
    <w:rsid w:val="00C957B5"/>
    <w:rsid w:val="00C965C0"/>
    <w:rsid w:val="00C97D93"/>
    <w:rsid w:val="00C97F79"/>
    <w:rsid w:val="00CA107F"/>
    <w:rsid w:val="00CA3157"/>
    <w:rsid w:val="00CA4B9D"/>
    <w:rsid w:val="00CB2A98"/>
    <w:rsid w:val="00CC14FD"/>
    <w:rsid w:val="00CD2724"/>
    <w:rsid w:val="00CD30F9"/>
    <w:rsid w:val="00CE2BE9"/>
    <w:rsid w:val="00CE6618"/>
    <w:rsid w:val="00CF60AA"/>
    <w:rsid w:val="00D00DAB"/>
    <w:rsid w:val="00D00ECB"/>
    <w:rsid w:val="00D01D6F"/>
    <w:rsid w:val="00D0624C"/>
    <w:rsid w:val="00D12160"/>
    <w:rsid w:val="00D124FD"/>
    <w:rsid w:val="00D137DA"/>
    <w:rsid w:val="00D15248"/>
    <w:rsid w:val="00D40AC1"/>
    <w:rsid w:val="00D43240"/>
    <w:rsid w:val="00D435F2"/>
    <w:rsid w:val="00D45762"/>
    <w:rsid w:val="00D56593"/>
    <w:rsid w:val="00D67F00"/>
    <w:rsid w:val="00D8447C"/>
    <w:rsid w:val="00D86598"/>
    <w:rsid w:val="00DA20DD"/>
    <w:rsid w:val="00DA5B13"/>
    <w:rsid w:val="00DC076F"/>
    <w:rsid w:val="00DC376C"/>
    <w:rsid w:val="00DC4D81"/>
    <w:rsid w:val="00DD2F5B"/>
    <w:rsid w:val="00DE56ED"/>
    <w:rsid w:val="00DF1C54"/>
    <w:rsid w:val="00DF27E0"/>
    <w:rsid w:val="00DF40B1"/>
    <w:rsid w:val="00E17437"/>
    <w:rsid w:val="00E24D49"/>
    <w:rsid w:val="00E27CC6"/>
    <w:rsid w:val="00E33961"/>
    <w:rsid w:val="00E35BB8"/>
    <w:rsid w:val="00E57C45"/>
    <w:rsid w:val="00E70EA9"/>
    <w:rsid w:val="00E8162F"/>
    <w:rsid w:val="00E84619"/>
    <w:rsid w:val="00E87E87"/>
    <w:rsid w:val="00E96F32"/>
    <w:rsid w:val="00EA1208"/>
    <w:rsid w:val="00EA319A"/>
    <w:rsid w:val="00EC0517"/>
    <w:rsid w:val="00EC2AA7"/>
    <w:rsid w:val="00ED06E5"/>
    <w:rsid w:val="00ED5C9C"/>
    <w:rsid w:val="00EE2EDB"/>
    <w:rsid w:val="00EE3AA3"/>
    <w:rsid w:val="00EF2FDD"/>
    <w:rsid w:val="00F15554"/>
    <w:rsid w:val="00F30D7C"/>
    <w:rsid w:val="00F322FA"/>
    <w:rsid w:val="00F44BA4"/>
    <w:rsid w:val="00F45A8D"/>
    <w:rsid w:val="00F55EC8"/>
    <w:rsid w:val="00F64B7F"/>
    <w:rsid w:val="00F70E96"/>
    <w:rsid w:val="00F7625E"/>
    <w:rsid w:val="00F87D4E"/>
    <w:rsid w:val="00FA5570"/>
    <w:rsid w:val="00FA752B"/>
    <w:rsid w:val="00FB1E71"/>
    <w:rsid w:val="00FB66C6"/>
    <w:rsid w:val="00FC16E7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15F87B80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968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1C1968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1C1968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1C1968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1C1968"/>
    <w:pPr>
      <w:keepNext/>
      <w:numPr>
        <w:ilvl w:val="3"/>
        <w:numId w:val="1"/>
      </w:numPr>
      <w:tabs>
        <w:tab w:val="left" w:pos="567"/>
        <w:tab w:val="left" w:pos="907"/>
      </w:tabs>
      <w:spacing w:before="240" w:line="360" w:lineRule="atLeast"/>
      <w:ind w:left="862" w:hanging="86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1C1968"/>
    <w:pPr>
      <w:numPr>
        <w:ilvl w:val="4"/>
      </w:numPr>
      <w:ind w:left="1009" w:hanging="1009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1C19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C1968"/>
  </w:style>
  <w:style w:type="paragraph" w:styleId="Header">
    <w:name w:val="header"/>
    <w:basedOn w:val="Normal"/>
    <w:link w:val="HeaderChar"/>
    <w:rsid w:val="001C1968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1C1968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1C1968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1C1968"/>
  </w:style>
  <w:style w:type="paragraph" w:styleId="DocumentMap">
    <w:name w:val="Document Map"/>
    <w:basedOn w:val="Normal"/>
    <w:link w:val="DocumentMapChar"/>
    <w:semiHidden/>
    <w:rsid w:val="001C19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C19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C1968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1C1968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1C1968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1C1968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1C1968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1C1968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1C1968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1C1968"/>
    <w:rPr>
      <w:sz w:val="32"/>
    </w:rPr>
  </w:style>
  <w:style w:type="paragraph" w:customStyle="1" w:styleId="Cover2subtitle">
    <w:name w:val="Cover 2 (subtitle)"/>
    <w:basedOn w:val="BodyText"/>
    <w:autoRedefine/>
    <w:rsid w:val="001C1968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1C1968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C1968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1C1968"/>
    <w:pPr>
      <w:numPr>
        <w:numId w:val="8"/>
      </w:numPr>
    </w:pPr>
  </w:style>
  <w:style w:type="numbering" w:customStyle="1" w:styleId="ListAllBullets3Level">
    <w:name w:val="List All Bullets (3 Level)"/>
    <w:rsid w:val="001C1968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1C1968"/>
  </w:style>
  <w:style w:type="paragraph" w:customStyle="1" w:styleId="TableHeading">
    <w:name w:val="Table * Heading"/>
    <w:basedOn w:val="BodyText"/>
    <w:rsid w:val="001C1968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1C1968"/>
    <w:pPr>
      <w:spacing w:before="60" w:after="60" w:line="240" w:lineRule="atLeast"/>
      <w:ind w:left="28"/>
    </w:pPr>
    <w:rPr>
      <w:color w:val="000000"/>
      <w:sz w:val="22"/>
      <w:szCs w:val="20"/>
    </w:rPr>
  </w:style>
  <w:style w:type="table" w:styleId="TableGrid">
    <w:name w:val="Table Grid"/>
    <w:basedOn w:val="TableNormal"/>
    <w:semiHidden/>
    <w:rsid w:val="001C1968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1C1968"/>
    <w:pPr>
      <w:numPr>
        <w:numId w:val="6"/>
      </w:numPr>
    </w:pPr>
  </w:style>
  <w:style w:type="character" w:customStyle="1" w:styleId="BodyTextbold">
    <w:name w:val="Body Text (bold)"/>
    <w:rsid w:val="001C1968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1C1968"/>
    <w:pPr>
      <w:tabs>
        <w:tab w:val="left" w:pos="480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1C1968"/>
    <w:pPr>
      <w:tabs>
        <w:tab w:val="left" w:pos="482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C1968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1C1968"/>
    <w:pPr>
      <w:ind w:left="600"/>
    </w:pPr>
  </w:style>
  <w:style w:type="paragraph" w:customStyle="1" w:styleId="HeaderChapterpart">
    <w:name w:val="Header (Chapter/part #)"/>
    <w:basedOn w:val="Normal"/>
    <w:rsid w:val="001C1968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1C1968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1C1968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1C1968"/>
  </w:style>
  <w:style w:type="paragraph" w:customStyle="1" w:styleId="ListB3squareonly">
    <w:name w:val="List B3 (square) only"/>
    <w:basedOn w:val="Normal"/>
    <w:semiHidden/>
    <w:rsid w:val="001C1968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1C1968"/>
    <w:pPr>
      <w:numPr>
        <w:numId w:val="9"/>
      </w:numPr>
    </w:pPr>
  </w:style>
  <w:style w:type="numbering" w:customStyle="1" w:styleId="TableListAllBullets3Level">
    <w:name w:val="Table List All Bullets (3 Level)"/>
    <w:rsid w:val="001C1968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1C1968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1C1968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1C1968"/>
    <w:rPr>
      <w:sz w:val="20"/>
    </w:rPr>
  </w:style>
  <w:style w:type="numbering" w:customStyle="1" w:styleId="ListAllLetter3Level">
    <w:name w:val="List All Letter (3 Level)"/>
    <w:basedOn w:val="NoList"/>
    <w:rsid w:val="001C1968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1C1968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1C1968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1C1968"/>
    <w:pPr>
      <w:numPr>
        <w:numId w:val="7"/>
      </w:numPr>
    </w:pPr>
  </w:style>
  <w:style w:type="character" w:customStyle="1" w:styleId="BodyTextitalic">
    <w:name w:val="Body Text (italic)"/>
    <w:rsid w:val="001C1968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1C1968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rsid w:val="001C1968"/>
  </w:style>
  <w:style w:type="character" w:customStyle="1" w:styleId="HeaderChar">
    <w:name w:val="Header Char"/>
    <w:basedOn w:val="DefaultParagraphFont"/>
    <w:link w:val="Header"/>
    <w:rsid w:val="001C1968"/>
    <w:rPr>
      <w:rFonts w:ascii="Noto Sans" w:hAnsi="Noto Sans"/>
      <w:sz w:val="24"/>
      <w:szCs w:val="24"/>
    </w:rPr>
  </w:style>
  <w:style w:type="paragraph" w:customStyle="1" w:styleId="Numberedlist">
    <w:name w:val="Numbered list"/>
    <w:basedOn w:val="TableBodyText"/>
    <w:qFormat/>
    <w:rsid w:val="00D00DAB"/>
    <w:pPr>
      <w:numPr>
        <w:numId w:val="10"/>
      </w:numPr>
      <w:ind w:left="323" w:right="-198" w:hanging="323"/>
    </w:pPr>
  </w:style>
  <w:style w:type="paragraph" w:styleId="Revision">
    <w:name w:val="Revision"/>
    <w:hidden/>
    <w:uiPriority w:val="99"/>
    <w:semiHidden/>
    <w:rsid w:val="00773D1D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rsid w:val="001C1968"/>
    <w:rPr>
      <w:rFonts w:ascii="Noto Sans" w:hAnsi="Noto Sans" w:cs="Arial"/>
      <w:color w:val="001224"/>
      <w:szCs w:val="18"/>
    </w:rPr>
  </w:style>
  <w:style w:type="paragraph" w:customStyle="1" w:styleId="Header2">
    <w:name w:val="Header 2"/>
    <w:basedOn w:val="Header"/>
    <w:link w:val="Header2Char"/>
    <w:rsid w:val="001C1968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1C1968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1C1968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1C1968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styleId="ListNumber">
    <w:name w:val="List Number"/>
    <w:basedOn w:val="BodyText"/>
    <w:rsid w:val="001C1968"/>
  </w:style>
  <w:style w:type="paragraph" w:styleId="ListNumber2">
    <w:name w:val="List Number 2"/>
    <w:basedOn w:val="BodyText"/>
    <w:rsid w:val="001C1968"/>
  </w:style>
  <w:style w:type="paragraph" w:styleId="ListNumber3">
    <w:name w:val="List Number 3"/>
    <w:basedOn w:val="BodyText"/>
    <w:rsid w:val="001C1968"/>
  </w:style>
  <w:style w:type="paragraph" w:styleId="ListBullet">
    <w:name w:val="List Bullet"/>
    <w:basedOn w:val="BodyText"/>
    <w:uiPriority w:val="99"/>
    <w:unhideWhenUsed/>
    <w:rsid w:val="001C1968"/>
    <w:pPr>
      <w:numPr>
        <w:numId w:val="16"/>
      </w:numPr>
      <w:contextualSpacing/>
    </w:pPr>
  </w:style>
  <w:style w:type="paragraph" w:styleId="ListBullet2">
    <w:name w:val="List Bullet 2"/>
    <w:basedOn w:val="BodyText"/>
    <w:uiPriority w:val="99"/>
    <w:unhideWhenUsed/>
    <w:rsid w:val="001C1968"/>
    <w:pPr>
      <w:numPr>
        <w:numId w:val="17"/>
      </w:numPr>
      <w:contextualSpacing/>
    </w:pPr>
  </w:style>
  <w:style w:type="paragraph" w:styleId="ListBullet3">
    <w:name w:val="List Bullet 3"/>
    <w:basedOn w:val="BodyText"/>
    <w:uiPriority w:val="99"/>
    <w:unhideWhenUsed/>
    <w:rsid w:val="001C1968"/>
    <w:pPr>
      <w:numPr>
        <w:numId w:val="18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1C1968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D75A1-96BA-4F83-9428-90EA428082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schemas.microsoft.com/office/infopath/2007/PartnerControls"/>
    <ds:schemaRef ds:uri="ec972935-d489-4a83-af2a-c34816ed2832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99</TotalTime>
  <Pages>4</Pages>
  <Words>427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CAC041M.TIC</vt:lpstr>
    </vt:vector>
  </TitlesOfParts>
  <Company>Department of Transport and Main Roads</Company>
  <LinksUpToDate>false</LinksUpToDate>
  <CharactersWithSpaces>2891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CAC041M.TIC</dc:title>
  <dc:subject>Review of Sidetrack, Detour and Crossover (MRTS02, MUTCD Part 3)</dc:subject>
  <dc:creator>Department of Transport and Main Roads</dc:creator>
  <cp:keywords>Contract; CAS; Checklist</cp:keywords>
  <dc:description/>
  <cp:lastModifiedBy>Lucas F Tong</cp:lastModifiedBy>
  <cp:revision>37</cp:revision>
  <cp:lastPrinted>2013-06-20T03:17:00Z</cp:lastPrinted>
  <dcterms:created xsi:type="dcterms:W3CDTF">2020-06-15T03:33:00Z</dcterms:created>
  <dcterms:modified xsi:type="dcterms:W3CDTF">2025-11-12T22:10:00Z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