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80ECC" w14:textId="56F1973F" w:rsidR="00AE72A9" w:rsidRPr="00CE6618" w:rsidRDefault="000E3419" w:rsidP="00AE72A9">
      <w:pPr>
        <w:pStyle w:val="Cover2subtitle"/>
      </w:pPr>
      <w:bookmarkStart w:id="0" w:name="_Toc359423352"/>
      <w:bookmarkStart w:id="1" w:name="_Toc359424807"/>
      <w:bookmarkStart w:id="2" w:name="_GoBack"/>
      <w:bookmarkEnd w:id="2"/>
      <w:r>
        <w:t xml:space="preserve">Job Number </w:t>
      </w:r>
      <w:r w:rsidR="009D7987">
        <w:fldChar w:fldCharType="begin">
          <w:ffData>
            <w:name w:val="Text1"/>
            <w:enabled/>
            <w:calcOnExit w:val="0"/>
            <w:textInput>
              <w:default w:val="@ Type here"/>
            </w:textInput>
          </w:ffData>
        </w:fldChar>
      </w:r>
      <w:r w:rsidR="009D7987">
        <w:instrText xml:space="preserve"> FORMTEXT </w:instrText>
      </w:r>
      <w:r w:rsidR="009D7987">
        <w:fldChar w:fldCharType="separate"/>
      </w:r>
      <w:r w:rsidR="009D7987">
        <w:rPr>
          <w:noProof/>
        </w:rPr>
        <w:t>@ Type here</w:t>
      </w:r>
      <w:r w:rsidR="009D7987">
        <w:fldChar w:fldCharType="end"/>
      </w:r>
    </w:p>
    <w:p w14:paraId="376C68C6" w14:textId="77777777" w:rsidR="00CA3157" w:rsidRPr="00CE6618" w:rsidRDefault="00CA3157" w:rsidP="00AE72A9">
      <w:pPr>
        <w:pStyle w:val="Cover2subtitle"/>
      </w:pPr>
    </w:p>
    <w:p w14:paraId="54FC4467" w14:textId="155325DA" w:rsidR="00CA3157" w:rsidRDefault="000E3419" w:rsidP="00FC2AE6">
      <w:pPr>
        <w:pStyle w:val="Cover1title"/>
      </w:pPr>
      <w:r>
        <w:t>Functional Specification Template</w:t>
      </w:r>
      <w:bookmarkEnd w:id="0"/>
      <w:bookmarkEnd w:id="1"/>
    </w:p>
    <w:p w14:paraId="6CD90067" w14:textId="77777777" w:rsidR="000E3419" w:rsidRDefault="000E3419" w:rsidP="00FC2AE6">
      <w:pPr>
        <w:pStyle w:val="Cover1title"/>
      </w:pPr>
    </w:p>
    <w:p w14:paraId="5BF15937" w14:textId="37933840" w:rsidR="000E3419" w:rsidRPr="00CE6618" w:rsidRDefault="00AA2BC5" w:rsidP="00FC2AE6">
      <w:pPr>
        <w:pStyle w:val="Cover1title"/>
      </w:pPr>
      <w:r>
        <w:t>C752</w:t>
      </w:r>
      <w:r w:rsidR="00572680">
        <w:t>6</w:t>
      </w:r>
      <w:r>
        <w:t xml:space="preserve"> </w:t>
      </w:r>
      <w:r w:rsidR="00572680">
        <w:t>–</w:t>
      </w:r>
      <w:r>
        <w:t xml:space="preserve"> </w:t>
      </w:r>
      <w:r w:rsidR="00572680">
        <w:t>Economic Analysis (Deliverables and Reporting)</w:t>
      </w:r>
    </w:p>
    <w:p w14:paraId="54F87F1A" w14:textId="77777777" w:rsidR="00CA3157" w:rsidRPr="00CE6618" w:rsidRDefault="000E3419" w:rsidP="00376A0A">
      <w:pPr>
        <w:pStyle w:val="Cover2subtitle"/>
      </w:pPr>
      <w:r>
        <w:rPr>
          <w:noProof/>
        </w:rPr>
        <mc:AlternateContent>
          <mc:Choice Requires="wps">
            <w:drawing>
              <wp:anchor distT="45720" distB="45720" distL="114300" distR="114300" simplePos="0" relativeHeight="251659264" behindDoc="0" locked="0" layoutInCell="1" allowOverlap="1" wp14:anchorId="3101FD15" wp14:editId="3456D6C9">
                <wp:simplePos x="0" y="0"/>
                <wp:positionH relativeFrom="margin">
                  <wp:align>right</wp:align>
                </wp:positionH>
                <wp:positionV relativeFrom="paragraph">
                  <wp:posOffset>391795</wp:posOffset>
                </wp:positionV>
                <wp:extent cx="6143625" cy="1552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552575"/>
                        </a:xfrm>
                        <a:prstGeom prst="rect">
                          <a:avLst/>
                        </a:prstGeom>
                        <a:solidFill>
                          <a:srgbClr val="FFFFFF"/>
                        </a:solidFill>
                        <a:ln w="9525">
                          <a:solidFill>
                            <a:srgbClr val="000000"/>
                          </a:solidFill>
                          <a:miter lim="800000"/>
                          <a:headEnd/>
                          <a:tailEnd/>
                        </a:ln>
                      </wps:spPr>
                      <wps:txbx>
                        <w:txbxContent>
                          <w:p w14:paraId="60117D1A" w14:textId="3700A2C3" w:rsidR="008D0CCF" w:rsidRPr="000E3419" w:rsidRDefault="008D0CCF" w:rsidP="00101B8E">
                            <w:pPr>
                              <w:pStyle w:val="Cover2subtitle"/>
                              <w:numPr>
                                <w:ilvl w:val="0"/>
                                <w:numId w:val="10"/>
                              </w:numPr>
                              <w:spacing w:before="120" w:after="120"/>
                              <w:ind w:left="284" w:hanging="284"/>
                              <w:rPr>
                                <w:rStyle w:val="BodyTextbold"/>
                                <w:color w:val="FF0000"/>
                              </w:rPr>
                            </w:pPr>
                            <w:r w:rsidRPr="000E3419">
                              <w:rPr>
                                <w:rStyle w:val="BodyTextbold"/>
                                <w:color w:val="FF0000"/>
                              </w:rPr>
                              <w:t>To be used as a guide when compiling project-specific specifications.</w:t>
                            </w:r>
                          </w:p>
                          <w:p w14:paraId="19F93FBD" w14:textId="77777777" w:rsidR="008D0CCF" w:rsidRPr="000E3419" w:rsidRDefault="008D0CCF" w:rsidP="00101B8E">
                            <w:pPr>
                              <w:pStyle w:val="Cover2subtitle"/>
                              <w:numPr>
                                <w:ilvl w:val="0"/>
                                <w:numId w:val="10"/>
                              </w:numPr>
                              <w:spacing w:before="120" w:after="120"/>
                              <w:ind w:left="284" w:hanging="284"/>
                              <w:rPr>
                                <w:rStyle w:val="BodyTextbold"/>
                                <w:color w:val="FF0000"/>
                              </w:rPr>
                            </w:pPr>
                            <w:r w:rsidRPr="000E3419">
                              <w:rPr>
                                <w:rStyle w:val="BodyTextbold"/>
                                <w:color w:val="FF0000"/>
                              </w:rPr>
                              <w:t>@ = project-specific detail required.</w:t>
                            </w:r>
                          </w:p>
                          <w:p w14:paraId="0A0F01B7" w14:textId="77777777" w:rsidR="008D0CCF" w:rsidRPr="000E3419" w:rsidRDefault="008D0CCF" w:rsidP="00101B8E">
                            <w:pPr>
                              <w:pStyle w:val="Cover2subtitle"/>
                              <w:numPr>
                                <w:ilvl w:val="0"/>
                                <w:numId w:val="10"/>
                              </w:numPr>
                              <w:spacing w:before="120" w:after="120"/>
                              <w:ind w:left="284" w:hanging="284"/>
                              <w:rPr>
                                <w:rStyle w:val="BodyTextbold"/>
                                <w:color w:val="FF0000"/>
                              </w:rPr>
                            </w:pPr>
                            <w:r w:rsidRPr="000E3419">
                              <w:rPr>
                                <w:rStyle w:val="BodyTextbold"/>
                                <w:color w:val="FF0000"/>
                              </w:rPr>
                              <w:t>For clauses/items not required – insert text “Not Required” in clause heading, do not delete clause.</w:t>
                            </w:r>
                          </w:p>
                          <w:p w14:paraId="7CC18AF7" w14:textId="77777777" w:rsidR="008D0CCF" w:rsidRPr="000E3419" w:rsidRDefault="008D0CCF" w:rsidP="00101B8E">
                            <w:pPr>
                              <w:pStyle w:val="Cover2subtitle"/>
                              <w:numPr>
                                <w:ilvl w:val="0"/>
                                <w:numId w:val="10"/>
                              </w:numPr>
                              <w:spacing w:before="120" w:after="120"/>
                              <w:ind w:left="284" w:hanging="284"/>
                              <w:rPr>
                                <w:rStyle w:val="BodyTextbold"/>
                                <w:color w:val="FF0000"/>
                              </w:rPr>
                            </w:pPr>
                            <w:r w:rsidRPr="000E3419">
                              <w:rPr>
                                <w:rStyle w:val="BodyTextbold"/>
                                <w:color w:val="FF0000"/>
                              </w:rPr>
                              <w:t>Delete this table when document finalised.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1FD15" id="_x0000_t202" coordsize="21600,21600" o:spt="202" path="m,l,21600r21600,l21600,xe">
                <v:stroke joinstyle="miter"/>
                <v:path gradientshapeok="t" o:connecttype="rect"/>
              </v:shapetype>
              <v:shape id="Text Box 2" o:spid="_x0000_s1026" type="#_x0000_t202" style="position:absolute;margin-left:432.55pt;margin-top:30.85pt;width:483.75pt;height:12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">
                <v:textbox>
                  <w:txbxContent>
                    <w:p w14:paraId="60117D1A" w14:textId="3700A2C3" w:rsidR="008D0CCF" w:rsidRPr="000E3419" w:rsidRDefault="008D0CCF" w:rsidP="00101B8E">
                      <w:pPr>
                        <w:pStyle w:val="Cover2subtitle"/>
                        <w:numPr>
                          <w:ilvl w:val="0"/>
                          <w:numId w:val="10"/>
                        </w:numPr>
                        <w:spacing w:before="120" w:after="120"/>
                        <w:ind w:left="284" w:hanging="284"/>
                        <w:rPr>
                          <w:rStyle w:val="BodyTextbold"/>
                          <w:color w:val="FF0000"/>
                        </w:rPr>
                      </w:pPr>
                      <w:r w:rsidRPr="000E3419">
                        <w:rPr>
                          <w:rStyle w:val="BodyTextbold"/>
                          <w:color w:val="FF0000"/>
                        </w:rPr>
                        <w:t>To be used as a guide when compiling project-specific specifications.</w:t>
                      </w:r>
                    </w:p>
                    <w:p w14:paraId="19F93FBD" w14:textId="77777777" w:rsidR="008D0CCF" w:rsidRPr="000E3419" w:rsidRDefault="008D0CCF" w:rsidP="00101B8E">
                      <w:pPr>
                        <w:pStyle w:val="Cover2subtitle"/>
                        <w:numPr>
                          <w:ilvl w:val="0"/>
                          <w:numId w:val="10"/>
                        </w:numPr>
                        <w:spacing w:before="120" w:after="120"/>
                        <w:ind w:left="284" w:hanging="284"/>
                        <w:rPr>
                          <w:rStyle w:val="BodyTextbold"/>
                          <w:color w:val="FF0000"/>
                        </w:rPr>
                      </w:pPr>
                      <w:r w:rsidRPr="000E3419">
                        <w:rPr>
                          <w:rStyle w:val="BodyTextbold"/>
                          <w:color w:val="FF0000"/>
                        </w:rPr>
                        <w:t>@ = project-specific detail required.</w:t>
                      </w:r>
                    </w:p>
                    <w:p w14:paraId="0A0F01B7" w14:textId="77777777" w:rsidR="008D0CCF" w:rsidRPr="000E3419" w:rsidRDefault="008D0CCF" w:rsidP="00101B8E">
                      <w:pPr>
                        <w:pStyle w:val="Cover2subtitle"/>
                        <w:numPr>
                          <w:ilvl w:val="0"/>
                          <w:numId w:val="10"/>
                        </w:numPr>
                        <w:spacing w:before="120" w:after="120"/>
                        <w:ind w:left="284" w:hanging="284"/>
                        <w:rPr>
                          <w:rStyle w:val="BodyTextbold"/>
                          <w:color w:val="FF0000"/>
                        </w:rPr>
                      </w:pPr>
                      <w:r w:rsidRPr="000E3419">
                        <w:rPr>
                          <w:rStyle w:val="BodyTextbold"/>
                          <w:color w:val="FF0000"/>
                        </w:rPr>
                        <w:t>For clauses/items not required – insert text “Not Required” in clause heading, do not delete clause.</w:t>
                      </w:r>
                    </w:p>
                    <w:p w14:paraId="7CC18AF7" w14:textId="77777777" w:rsidR="008D0CCF" w:rsidRPr="000E3419" w:rsidRDefault="008D0CCF" w:rsidP="00101B8E">
                      <w:pPr>
                        <w:pStyle w:val="Cover2subtitle"/>
                        <w:numPr>
                          <w:ilvl w:val="0"/>
                          <w:numId w:val="10"/>
                        </w:numPr>
                        <w:spacing w:before="120" w:after="120"/>
                        <w:ind w:left="284" w:hanging="284"/>
                        <w:rPr>
                          <w:rStyle w:val="BodyTextbold"/>
                          <w:color w:val="FF0000"/>
                        </w:rPr>
                      </w:pPr>
                      <w:r w:rsidRPr="000E3419">
                        <w:rPr>
                          <w:rStyle w:val="BodyTextbold"/>
                          <w:color w:val="FF0000"/>
                        </w:rPr>
                        <w:t>Delete this table when document finalised.</w:t>
                      </w:r>
                    </w:p>
                  </w:txbxContent>
                </v:textbox>
                <w10:wrap type="square" anchorx="margin"/>
              </v:shape>
            </w:pict>
          </mc:Fallback>
        </mc:AlternateContent>
      </w:r>
    </w:p>
    <w:p w14:paraId="5C30E667" w14:textId="77777777" w:rsidR="00C50278" w:rsidRPr="00CE6618" w:rsidRDefault="00C50278" w:rsidP="00376A0A">
      <w:pPr>
        <w:pStyle w:val="Cover2subtitle"/>
      </w:pPr>
    </w:p>
    <w:p w14:paraId="5B03F514" w14:textId="77777777" w:rsidR="00FC7935" w:rsidRPr="00CE6618" w:rsidRDefault="00FC7935" w:rsidP="00376A0A">
      <w:pPr>
        <w:pStyle w:val="Cover2subtitle"/>
      </w:pPr>
    </w:p>
    <w:p w14:paraId="41DDDD2D" w14:textId="77777777" w:rsidR="00996C59" w:rsidRPr="00CE6618" w:rsidRDefault="00996C59" w:rsidP="00627EC8">
      <w:pPr>
        <w:pStyle w:val="BodyText"/>
        <w:ind w:right="-888"/>
        <w:rPr>
          <w:b/>
          <w:color w:val="FFFFFF"/>
          <w:sz w:val="44"/>
          <w:szCs w:val="44"/>
        </w:rPr>
        <w:sectPr w:rsidR="00996C59" w:rsidRPr="00CE6618" w:rsidSect="000E3419">
          <w:headerReference w:type="default" r:id="rId12"/>
          <w:footerReference w:type="even" r:id="rId13"/>
          <w:footerReference w:type="default" r:id="rId14"/>
          <w:headerReference w:type="first" r:id="rId15"/>
          <w:pgSz w:w="11906" w:h="16838" w:code="9"/>
          <w:pgMar w:top="8222" w:right="1418" w:bottom="1797" w:left="720" w:header="454" w:footer="454" w:gutter="0"/>
          <w:cols w:space="708"/>
          <w:titlePg/>
          <w:docGrid w:linePitch="360"/>
        </w:sectPr>
      </w:pPr>
    </w:p>
    <w:p w14:paraId="777AEA2D" w14:textId="77777777" w:rsidR="00216F79" w:rsidRPr="00CE6618" w:rsidRDefault="00216F79" w:rsidP="00216F79">
      <w:pPr>
        <w:pStyle w:val="BodyText"/>
      </w:pPr>
    </w:p>
    <w:p w14:paraId="4176B097" w14:textId="77777777" w:rsidR="00350E10" w:rsidRPr="00CE6618" w:rsidRDefault="00350E10" w:rsidP="00216F79">
      <w:pPr>
        <w:pStyle w:val="BodyText"/>
      </w:pPr>
    </w:p>
    <w:p w14:paraId="01616E98" w14:textId="77777777" w:rsidR="00350E10" w:rsidRPr="00CE6618" w:rsidRDefault="00350E10" w:rsidP="00216F79">
      <w:pPr>
        <w:pStyle w:val="BodyText"/>
        <w:sectPr w:rsidR="00350E10" w:rsidRPr="00CE6618" w:rsidSect="00D56593">
          <w:headerReference w:type="default" r:id="rId16"/>
          <w:footerReference w:type="default" r:id="rId17"/>
          <w:headerReference w:type="first" r:id="rId18"/>
          <w:footerReference w:type="first" r:id="rId19"/>
          <w:pgSz w:w="11906" w:h="16838" w:code="9"/>
          <w:pgMar w:top="1418" w:right="1418" w:bottom="1418" w:left="1418" w:header="454" w:footer="454" w:gutter="0"/>
          <w:cols w:space="708"/>
          <w:docGrid w:linePitch="360"/>
        </w:sectPr>
      </w:pPr>
    </w:p>
    <w:p w14:paraId="11DC799D" w14:textId="77777777" w:rsidR="00376A0A" w:rsidRPr="00CE6618" w:rsidRDefault="00376A0A" w:rsidP="00376A0A">
      <w:pPr>
        <w:pStyle w:val="HeadingContents"/>
      </w:pPr>
      <w:r w:rsidRPr="00CE6618">
        <w:lastRenderedPageBreak/>
        <w:t>Contents</w:t>
      </w:r>
    </w:p>
    <w:p w14:paraId="23E71CB4" w14:textId="63E22E23" w:rsidR="00752BD4" w:rsidRDefault="00172FEB">
      <w:pPr>
        <w:pStyle w:val="TOC1"/>
        <w:rPr>
          <w:rFonts w:asciiTheme="minorHAnsi" w:eastAsiaTheme="minorEastAsia" w:hAnsiTheme="minorHAnsi" w:cstheme="minorBidi"/>
          <w:b w:val="0"/>
          <w:sz w:val="22"/>
          <w:szCs w:val="22"/>
        </w:rPr>
      </w:pPr>
      <w:r w:rsidRPr="00CE6618">
        <w:fldChar w:fldCharType="begin"/>
      </w:r>
      <w:r w:rsidRPr="00CE6618">
        <w:instrText xml:space="preserve"> TOC \o "2-3" \h \z \t "Heading 1,1,Heading (Part / Chapter),1" </w:instrText>
      </w:r>
      <w:r w:rsidRPr="00CE6618">
        <w:fldChar w:fldCharType="separate"/>
      </w:r>
      <w:hyperlink w:anchor="_Toc74817247" w:history="1">
        <w:r w:rsidR="00752BD4" w:rsidRPr="00EF64C4">
          <w:rPr>
            <w:rStyle w:val="Hyperlink"/>
          </w:rPr>
          <w:t>1</w:t>
        </w:r>
        <w:r w:rsidR="00752BD4">
          <w:rPr>
            <w:rFonts w:asciiTheme="minorHAnsi" w:eastAsiaTheme="minorEastAsia" w:hAnsiTheme="minorHAnsi" w:cstheme="minorBidi"/>
            <w:b w:val="0"/>
            <w:sz w:val="22"/>
            <w:szCs w:val="22"/>
          </w:rPr>
          <w:tab/>
        </w:r>
        <w:r w:rsidR="00752BD4" w:rsidRPr="00EF64C4">
          <w:rPr>
            <w:rStyle w:val="Hyperlink"/>
          </w:rPr>
          <w:t>Introduction</w:t>
        </w:r>
        <w:r w:rsidR="00752BD4">
          <w:rPr>
            <w:webHidden/>
          </w:rPr>
          <w:tab/>
        </w:r>
        <w:r w:rsidR="00752BD4">
          <w:rPr>
            <w:webHidden/>
          </w:rPr>
          <w:fldChar w:fldCharType="begin"/>
        </w:r>
        <w:r w:rsidR="00752BD4">
          <w:rPr>
            <w:webHidden/>
          </w:rPr>
          <w:instrText xml:space="preserve"> PAGEREF _Toc74817247 \h </w:instrText>
        </w:r>
        <w:r w:rsidR="00752BD4">
          <w:rPr>
            <w:webHidden/>
          </w:rPr>
        </w:r>
        <w:r w:rsidR="00752BD4">
          <w:rPr>
            <w:webHidden/>
          </w:rPr>
          <w:fldChar w:fldCharType="separate"/>
        </w:r>
        <w:r w:rsidR="00752BD4">
          <w:rPr>
            <w:webHidden/>
          </w:rPr>
          <w:t>1</w:t>
        </w:r>
        <w:r w:rsidR="00752BD4">
          <w:rPr>
            <w:webHidden/>
          </w:rPr>
          <w:fldChar w:fldCharType="end"/>
        </w:r>
      </w:hyperlink>
    </w:p>
    <w:p w14:paraId="7444E693" w14:textId="6407DAC7" w:rsidR="00752BD4" w:rsidRDefault="00752BD4">
      <w:pPr>
        <w:pStyle w:val="TOC2"/>
        <w:rPr>
          <w:rFonts w:asciiTheme="minorHAnsi" w:eastAsiaTheme="minorEastAsia" w:hAnsiTheme="minorHAnsi" w:cstheme="minorBidi"/>
          <w:sz w:val="22"/>
          <w:szCs w:val="22"/>
        </w:rPr>
      </w:pPr>
      <w:hyperlink w:anchor="_Toc74817248" w:history="1">
        <w:r w:rsidRPr="00EF64C4">
          <w:rPr>
            <w:rStyle w:val="Hyperlink"/>
          </w:rPr>
          <w:t>1.1</w:t>
        </w:r>
        <w:r>
          <w:rPr>
            <w:rFonts w:asciiTheme="minorHAnsi" w:eastAsiaTheme="minorEastAsia" w:hAnsiTheme="minorHAnsi" w:cstheme="minorBidi"/>
            <w:sz w:val="22"/>
            <w:szCs w:val="22"/>
          </w:rPr>
          <w:tab/>
        </w:r>
        <w:r w:rsidRPr="00EF64C4">
          <w:rPr>
            <w:rStyle w:val="Hyperlink"/>
          </w:rPr>
          <w:t>Definitions / abbreviations / acronyms</w:t>
        </w:r>
        <w:r>
          <w:rPr>
            <w:webHidden/>
          </w:rPr>
          <w:tab/>
        </w:r>
        <w:r>
          <w:rPr>
            <w:webHidden/>
          </w:rPr>
          <w:fldChar w:fldCharType="begin"/>
        </w:r>
        <w:r>
          <w:rPr>
            <w:webHidden/>
          </w:rPr>
          <w:instrText xml:space="preserve"> PAGEREF _Toc74817248 \h </w:instrText>
        </w:r>
        <w:r>
          <w:rPr>
            <w:webHidden/>
          </w:rPr>
        </w:r>
        <w:r>
          <w:rPr>
            <w:webHidden/>
          </w:rPr>
          <w:fldChar w:fldCharType="separate"/>
        </w:r>
        <w:r>
          <w:rPr>
            <w:webHidden/>
          </w:rPr>
          <w:t>2</w:t>
        </w:r>
        <w:r>
          <w:rPr>
            <w:webHidden/>
          </w:rPr>
          <w:fldChar w:fldCharType="end"/>
        </w:r>
      </w:hyperlink>
    </w:p>
    <w:p w14:paraId="124E96A8" w14:textId="76F3F678" w:rsidR="00752BD4" w:rsidRDefault="00752BD4">
      <w:pPr>
        <w:pStyle w:val="TOC2"/>
        <w:rPr>
          <w:rFonts w:asciiTheme="minorHAnsi" w:eastAsiaTheme="minorEastAsia" w:hAnsiTheme="minorHAnsi" w:cstheme="minorBidi"/>
          <w:sz w:val="22"/>
          <w:szCs w:val="22"/>
        </w:rPr>
      </w:pPr>
      <w:hyperlink w:anchor="_Toc74817249" w:history="1">
        <w:r w:rsidRPr="00EF64C4">
          <w:rPr>
            <w:rStyle w:val="Hyperlink"/>
          </w:rPr>
          <w:t>1.2</w:t>
        </w:r>
        <w:r>
          <w:rPr>
            <w:rFonts w:asciiTheme="minorHAnsi" w:eastAsiaTheme="minorEastAsia" w:hAnsiTheme="minorHAnsi" w:cstheme="minorBidi"/>
            <w:sz w:val="22"/>
            <w:szCs w:val="22"/>
          </w:rPr>
          <w:tab/>
        </w:r>
        <w:r w:rsidRPr="00EF64C4">
          <w:rPr>
            <w:rStyle w:val="Hyperlink"/>
          </w:rPr>
          <w:t>Prequalification Requirement</w:t>
        </w:r>
        <w:r>
          <w:rPr>
            <w:webHidden/>
          </w:rPr>
          <w:tab/>
        </w:r>
        <w:r>
          <w:rPr>
            <w:webHidden/>
          </w:rPr>
          <w:fldChar w:fldCharType="begin"/>
        </w:r>
        <w:r>
          <w:rPr>
            <w:webHidden/>
          </w:rPr>
          <w:instrText xml:space="preserve"> PAGEREF _Toc74817249 \h </w:instrText>
        </w:r>
        <w:r>
          <w:rPr>
            <w:webHidden/>
          </w:rPr>
        </w:r>
        <w:r>
          <w:rPr>
            <w:webHidden/>
          </w:rPr>
          <w:fldChar w:fldCharType="separate"/>
        </w:r>
        <w:r>
          <w:rPr>
            <w:webHidden/>
          </w:rPr>
          <w:t>2</w:t>
        </w:r>
        <w:r>
          <w:rPr>
            <w:webHidden/>
          </w:rPr>
          <w:fldChar w:fldCharType="end"/>
        </w:r>
      </w:hyperlink>
    </w:p>
    <w:p w14:paraId="6BF66B3E" w14:textId="53FE3251" w:rsidR="00752BD4" w:rsidRDefault="00752BD4">
      <w:pPr>
        <w:pStyle w:val="TOC1"/>
        <w:rPr>
          <w:rFonts w:asciiTheme="minorHAnsi" w:eastAsiaTheme="minorEastAsia" w:hAnsiTheme="minorHAnsi" w:cstheme="minorBidi"/>
          <w:b w:val="0"/>
          <w:sz w:val="22"/>
          <w:szCs w:val="22"/>
        </w:rPr>
      </w:pPr>
      <w:hyperlink w:anchor="_Toc74817250" w:history="1">
        <w:r w:rsidRPr="00EF64C4">
          <w:rPr>
            <w:rStyle w:val="Hyperlink"/>
          </w:rPr>
          <w:t>2</w:t>
        </w:r>
        <w:r>
          <w:rPr>
            <w:rFonts w:asciiTheme="minorHAnsi" w:eastAsiaTheme="minorEastAsia" w:hAnsiTheme="minorHAnsi" w:cstheme="minorBidi"/>
            <w:b w:val="0"/>
            <w:sz w:val="22"/>
            <w:szCs w:val="22"/>
          </w:rPr>
          <w:tab/>
        </w:r>
        <w:r w:rsidRPr="00EF64C4">
          <w:rPr>
            <w:rStyle w:val="Hyperlink"/>
          </w:rPr>
          <w:t>General</w:t>
        </w:r>
        <w:r>
          <w:rPr>
            <w:webHidden/>
          </w:rPr>
          <w:tab/>
        </w:r>
        <w:r>
          <w:rPr>
            <w:webHidden/>
          </w:rPr>
          <w:fldChar w:fldCharType="begin"/>
        </w:r>
        <w:r>
          <w:rPr>
            <w:webHidden/>
          </w:rPr>
          <w:instrText xml:space="preserve"> PAGEREF _Toc74817250 \h </w:instrText>
        </w:r>
        <w:r>
          <w:rPr>
            <w:webHidden/>
          </w:rPr>
        </w:r>
        <w:r>
          <w:rPr>
            <w:webHidden/>
          </w:rPr>
          <w:fldChar w:fldCharType="separate"/>
        </w:r>
        <w:r>
          <w:rPr>
            <w:webHidden/>
          </w:rPr>
          <w:t>3</w:t>
        </w:r>
        <w:r>
          <w:rPr>
            <w:webHidden/>
          </w:rPr>
          <w:fldChar w:fldCharType="end"/>
        </w:r>
      </w:hyperlink>
    </w:p>
    <w:p w14:paraId="677D1CE9" w14:textId="7DB116B0" w:rsidR="00752BD4" w:rsidRDefault="00752BD4">
      <w:pPr>
        <w:pStyle w:val="TOC2"/>
        <w:rPr>
          <w:rFonts w:asciiTheme="minorHAnsi" w:eastAsiaTheme="minorEastAsia" w:hAnsiTheme="minorHAnsi" w:cstheme="minorBidi"/>
          <w:sz w:val="22"/>
          <w:szCs w:val="22"/>
        </w:rPr>
      </w:pPr>
      <w:hyperlink w:anchor="_Toc74817251" w:history="1">
        <w:r w:rsidRPr="00EF64C4">
          <w:rPr>
            <w:rStyle w:val="Hyperlink"/>
          </w:rPr>
          <w:t>2.1</w:t>
        </w:r>
        <w:r>
          <w:rPr>
            <w:rFonts w:asciiTheme="minorHAnsi" w:eastAsiaTheme="minorEastAsia" w:hAnsiTheme="minorHAnsi" w:cstheme="minorBidi"/>
            <w:sz w:val="22"/>
            <w:szCs w:val="22"/>
          </w:rPr>
          <w:tab/>
        </w:r>
        <w:r w:rsidRPr="00EF64C4">
          <w:rPr>
            <w:rStyle w:val="Hyperlink"/>
          </w:rPr>
          <w:t>Objective</w:t>
        </w:r>
        <w:r>
          <w:rPr>
            <w:webHidden/>
          </w:rPr>
          <w:tab/>
        </w:r>
        <w:r>
          <w:rPr>
            <w:webHidden/>
          </w:rPr>
          <w:fldChar w:fldCharType="begin"/>
        </w:r>
        <w:r>
          <w:rPr>
            <w:webHidden/>
          </w:rPr>
          <w:instrText xml:space="preserve"> PAGEREF _Toc74817251 \h </w:instrText>
        </w:r>
        <w:r>
          <w:rPr>
            <w:webHidden/>
          </w:rPr>
        </w:r>
        <w:r>
          <w:rPr>
            <w:webHidden/>
          </w:rPr>
          <w:fldChar w:fldCharType="separate"/>
        </w:r>
        <w:r>
          <w:rPr>
            <w:webHidden/>
          </w:rPr>
          <w:t>3</w:t>
        </w:r>
        <w:r>
          <w:rPr>
            <w:webHidden/>
          </w:rPr>
          <w:fldChar w:fldCharType="end"/>
        </w:r>
      </w:hyperlink>
    </w:p>
    <w:p w14:paraId="45CB0C5B" w14:textId="2AF4A944" w:rsidR="00752BD4" w:rsidRDefault="00752BD4">
      <w:pPr>
        <w:pStyle w:val="TOC2"/>
        <w:rPr>
          <w:rFonts w:asciiTheme="minorHAnsi" w:eastAsiaTheme="minorEastAsia" w:hAnsiTheme="minorHAnsi" w:cstheme="minorBidi"/>
          <w:sz w:val="22"/>
          <w:szCs w:val="22"/>
        </w:rPr>
      </w:pPr>
      <w:hyperlink w:anchor="_Toc74817252" w:history="1">
        <w:r w:rsidRPr="00EF64C4">
          <w:rPr>
            <w:rStyle w:val="Hyperlink"/>
          </w:rPr>
          <w:t>2.2</w:t>
        </w:r>
        <w:r>
          <w:rPr>
            <w:rFonts w:asciiTheme="minorHAnsi" w:eastAsiaTheme="minorEastAsia" w:hAnsiTheme="minorHAnsi" w:cstheme="minorBidi"/>
            <w:sz w:val="22"/>
            <w:szCs w:val="22"/>
          </w:rPr>
          <w:tab/>
        </w:r>
        <w:r w:rsidRPr="00EF64C4">
          <w:rPr>
            <w:rStyle w:val="Hyperlink"/>
          </w:rPr>
          <w:t>Scope</w:t>
        </w:r>
        <w:r>
          <w:rPr>
            <w:webHidden/>
          </w:rPr>
          <w:tab/>
        </w:r>
        <w:r>
          <w:rPr>
            <w:webHidden/>
          </w:rPr>
          <w:fldChar w:fldCharType="begin"/>
        </w:r>
        <w:r>
          <w:rPr>
            <w:webHidden/>
          </w:rPr>
          <w:instrText xml:space="preserve"> PAGEREF _Toc74817252 \h </w:instrText>
        </w:r>
        <w:r>
          <w:rPr>
            <w:webHidden/>
          </w:rPr>
        </w:r>
        <w:r>
          <w:rPr>
            <w:webHidden/>
          </w:rPr>
          <w:fldChar w:fldCharType="separate"/>
        </w:r>
        <w:r>
          <w:rPr>
            <w:webHidden/>
          </w:rPr>
          <w:t>3</w:t>
        </w:r>
        <w:r>
          <w:rPr>
            <w:webHidden/>
          </w:rPr>
          <w:fldChar w:fldCharType="end"/>
        </w:r>
      </w:hyperlink>
    </w:p>
    <w:p w14:paraId="19A5E69D" w14:textId="51594FEB" w:rsidR="00752BD4" w:rsidRDefault="00752BD4">
      <w:pPr>
        <w:pStyle w:val="TOC2"/>
        <w:rPr>
          <w:rFonts w:asciiTheme="minorHAnsi" w:eastAsiaTheme="minorEastAsia" w:hAnsiTheme="minorHAnsi" w:cstheme="minorBidi"/>
          <w:sz w:val="22"/>
          <w:szCs w:val="22"/>
        </w:rPr>
      </w:pPr>
      <w:hyperlink w:anchor="_Toc74817253" w:history="1">
        <w:r w:rsidRPr="00EF64C4">
          <w:rPr>
            <w:rStyle w:val="Hyperlink"/>
          </w:rPr>
          <w:t>2.3</w:t>
        </w:r>
        <w:r>
          <w:rPr>
            <w:rFonts w:asciiTheme="minorHAnsi" w:eastAsiaTheme="minorEastAsia" w:hAnsiTheme="minorHAnsi" w:cstheme="minorBidi"/>
            <w:sz w:val="22"/>
            <w:szCs w:val="22"/>
          </w:rPr>
          <w:tab/>
        </w:r>
        <w:r w:rsidRPr="00EF64C4">
          <w:rPr>
            <w:rStyle w:val="Hyperlink"/>
          </w:rPr>
          <w:t>General requirements</w:t>
        </w:r>
        <w:r>
          <w:rPr>
            <w:webHidden/>
          </w:rPr>
          <w:tab/>
        </w:r>
        <w:r>
          <w:rPr>
            <w:webHidden/>
          </w:rPr>
          <w:fldChar w:fldCharType="begin"/>
        </w:r>
        <w:r>
          <w:rPr>
            <w:webHidden/>
          </w:rPr>
          <w:instrText xml:space="preserve"> PAGEREF _Toc74817253 \h </w:instrText>
        </w:r>
        <w:r>
          <w:rPr>
            <w:webHidden/>
          </w:rPr>
        </w:r>
        <w:r>
          <w:rPr>
            <w:webHidden/>
          </w:rPr>
          <w:fldChar w:fldCharType="separate"/>
        </w:r>
        <w:r>
          <w:rPr>
            <w:webHidden/>
          </w:rPr>
          <w:t>4</w:t>
        </w:r>
        <w:r>
          <w:rPr>
            <w:webHidden/>
          </w:rPr>
          <w:fldChar w:fldCharType="end"/>
        </w:r>
      </w:hyperlink>
    </w:p>
    <w:p w14:paraId="0C8CC990" w14:textId="1C36D491" w:rsidR="00752BD4" w:rsidRDefault="00752BD4">
      <w:pPr>
        <w:pStyle w:val="TOC2"/>
        <w:rPr>
          <w:rFonts w:asciiTheme="minorHAnsi" w:eastAsiaTheme="minorEastAsia" w:hAnsiTheme="minorHAnsi" w:cstheme="minorBidi"/>
          <w:sz w:val="22"/>
          <w:szCs w:val="22"/>
        </w:rPr>
      </w:pPr>
      <w:hyperlink w:anchor="_Toc74817254" w:history="1">
        <w:r w:rsidRPr="00EF64C4">
          <w:rPr>
            <w:rStyle w:val="Hyperlink"/>
          </w:rPr>
          <w:t>2.4</w:t>
        </w:r>
        <w:r>
          <w:rPr>
            <w:rFonts w:asciiTheme="minorHAnsi" w:eastAsiaTheme="minorEastAsia" w:hAnsiTheme="minorHAnsi" w:cstheme="minorBidi"/>
            <w:sz w:val="22"/>
            <w:szCs w:val="22"/>
          </w:rPr>
          <w:tab/>
        </w:r>
        <w:r w:rsidRPr="00EF64C4">
          <w:rPr>
            <w:rStyle w:val="Hyperlink"/>
          </w:rPr>
          <w:t>Reference material</w:t>
        </w:r>
        <w:r>
          <w:rPr>
            <w:webHidden/>
          </w:rPr>
          <w:tab/>
        </w:r>
        <w:r>
          <w:rPr>
            <w:webHidden/>
          </w:rPr>
          <w:fldChar w:fldCharType="begin"/>
        </w:r>
        <w:r>
          <w:rPr>
            <w:webHidden/>
          </w:rPr>
          <w:instrText xml:space="preserve"> PAGEREF _Toc74817254 \h </w:instrText>
        </w:r>
        <w:r>
          <w:rPr>
            <w:webHidden/>
          </w:rPr>
        </w:r>
        <w:r>
          <w:rPr>
            <w:webHidden/>
          </w:rPr>
          <w:fldChar w:fldCharType="separate"/>
        </w:r>
        <w:r>
          <w:rPr>
            <w:webHidden/>
          </w:rPr>
          <w:t>5</w:t>
        </w:r>
        <w:r>
          <w:rPr>
            <w:webHidden/>
          </w:rPr>
          <w:fldChar w:fldCharType="end"/>
        </w:r>
      </w:hyperlink>
    </w:p>
    <w:p w14:paraId="101D5974" w14:textId="7571C8E4" w:rsidR="00752BD4" w:rsidRDefault="00752BD4">
      <w:pPr>
        <w:pStyle w:val="TOC3"/>
        <w:rPr>
          <w:rFonts w:asciiTheme="minorHAnsi" w:eastAsiaTheme="minorEastAsia" w:hAnsiTheme="minorHAnsi" w:cstheme="minorBidi"/>
          <w:i w:val="0"/>
          <w:sz w:val="22"/>
          <w:szCs w:val="22"/>
        </w:rPr>
      </w:pPr>
      <w:hyperlink w:anchor="_Toc74817255" w:history="1">
        <w:r w:rsidRPr="00EF64C4">
          <w:rPr>
            <w:rStyle w:val="Hyperlink"/>
          </w:rPr>
          <w:t>2.4.1</w:t>
        </w:r>
        <w:r>
          <w:rPr>
            <w:rFonts w:asciiTheme="minorHAnsi" w:eastAsiaTheme="minorEastAsia" w:hAnsiTheme="minorHAnsi" w:cstheme="minorBidi"/>
            <w:i w:val="0"/>
            <w:sz w:val="22"/>
            <w:szCs w:val="22"/>
          </w:rPr>
          <w:tab/>
        </w:r>
        <w:r w:rsidRPr="00EF64C4">
          <w:rPr>
            <w:rStyle w:val="Hyperlink"/>
          </w:rPr>
          <w:t>Exceptions</w:t>
        </w:r>
        <w:r>
          <w:rPr>
            <w:webHidden/>
          </w:rPr>
          <w:tab/>
        </w:r>
        <w:r>
          <w:rPr>
            <w:webHidden/>
          </w:rPr>
          <w:fldChar w:fldCharType="begin"/>
        </w:r>
        <w:r>
          <w:rPr>
            <w:webHidden/>
          </w:rPr>
          <w:instrText xml:space="preserve"> PAGEREF _Toc74817255 \h </w:instrText>
        </w:r>
        <w:r>
          <w:rPr>
            <w:webHidden/>
          </w:rPr>
        </w:r>
        <w:r>
          <w:rPr>
            <w:webHidden/>
          </w:rPr>
          <w:fldChar w:fldCharType="separate"/>
        </w:r>
        <w:r>
          <w:rPr>
            <w:webHidden/>
          </w:rPr>
          <w:t>5</w:t>
        </w:r>
        <w:r>
          <w:rPr>
            <w:webHidden/>
          </w:rPr>
          <w:fldChar w:fldCharType="end"/>
        </w:r>
      </w:hyperlink>
    </w:p>
    <w:p w14:paraId="50FD7D33" w14:textId="04EC6780" w:rsidR="00752BD4" w:rsidRDefault="00752BD4">
      <w:pPr>
        <w:pStyle w:val="TOC2"/>
        <w:rPr>
          <w:rFonts w:asciiTheme="minorHAnsi" w:eastAsiaTheme="minorEastAsia" w:hAnsiTheme="minorHAnsi" w:cstheme="minorBidi"/>
          <w:sz w:val="22"/>
          <w:szCs w:val="22"/>
        </w:rPr>
      </w:pPr>
      <w:hyperlink w:anchor="_Toc74817256" w:history="1">
        <w:r w:rsidRPr="00EF64C4">
          <w:rPr>
            <w:rStyle w:val="Hyperlink"/>
          </w:rPr>
          <w:t>2.5</w:t>
        </w:r>
        <w:r>
          <w:rPr>
            <w:rFonts w:asciiTheme="minorHAnsi" w:eastAsiaTheme="minorEastAsia" w:hAnsiTheme="minorHAnsi" w:cstheme="minorBidi"/>
            <w:sz w:val="22"/>
            <w:szCs w:val="22"/>
          </w:rPr>
          <w:tab/>
        </w:r>
        <w:r w:rsidRPr="00EF64C4">
          <w:rPr>
            <w:rStyle w:val="Hyperlink"/>
          </w:rPr>
          <w:t>Gaps in guidance and common clarifications</w:t>
        </w:r>
        <w:r>
          <w:rPr>
            <w:webHidden/>
          </w:rPr>
          <w:tab/>
        </w:r>
        <w:r>
          <w:rPr>
            <w:webHidden/>
          </w:rPr>
          <w:fldChar w:fldCharType="begin"/>
        </w:r>
        <w:r>
          <w:rPr>
            <w:webHidden/>
          </w:rPr>
          <w:instrText xml:space="preserve"> PAGEREF _Toc74817256 \h </w:instrText>
        </w:r>
        <w:r>
          <w:rPr>
            <w:webHidden/>
          </w:rPr>
        </w:r>
        <w:r>
          <w:rPr>
            <w:webHidden/>
          </w:rPr>
          <w:fldChar w:fldCharType="separate"/>
        </w:r>
        <w:r>
          <w:rPr>
            <w:webHidden/>
          </w:rPr>
          <w:t>9</w:t>
        </w:r>
        <w:r>
          <w:rPr>
            <w:webHidden/>
          </w:rPr>
          <w:fldChar w:fldCharType="end"/>
        </w:r>
      </w:hyperlink>
    </w:p>
    <w:p w14:paraId="27B8E100" w14:textId="64233828" w:rsidR="00752BD4" w:rsidRDefault="00752BD4">
      <w:pPr>
        <w:pStyle w:val="TOC1"/>
        <w:rPr>
          <w:rFonts w:asciiTheme="minorHAnsi" w:eastAsiaTheme="minorEastAsia" w:hAnsiTheme="minorHAnsi" w:cstheme="minorBidi"/>
          <w:b w:val="0"/>
          <w:sz w:val="22"/>
          <w:szCs w:val="22"/>
        </w:rPr>
      </w:pPr>
      <w:hyperlink w:anchor="_Toc74817257" w:history="1">
        <w:r w:rsidRPr="00EF64C4">
          <w:rPr>
            <w:rStyle w:val="Hyperlink"/>
          </w:rPr>
          <w:t>3</w:t>
        </w:r>
        <w:r>
          <w:rPr>
            <w:rFonts w:asciiTheme="minorHAnsi" w:eastAsiaTheme="minorEastAsia" w:hAnsiTheme="minorHAnsi" w:cstheme="minorBidi"/>
            <w:b w:val="0"/>
            <w:sz w:val="22"/>
            <w:szCs w:val="22"/>
          </w:rPr>
          <w:tab/>
        </w:r>
        <w:r w:rsidRPr="00EF64C4">
          <w:rPr>
            <w:rStyle w:val="Hyperlink"/>
          </w:rPr>
          <w:t>Background</w:t>
        </w:r>
        <w:r>
          <w:rPr>
            <w:webHidden/>
          </w:rPr>
          <w:tab/>
        </w:r>
        <w:r>
          <w:rPr>
            <w:webHidden/>
          </w:rPr>
          <w:fldChar w:fldCharType="begin"/>
        </w:r>
        <w:r>
          <w:rPr>
            <w:webHidden/>
          </w:rPr>
          <w:instrText xml:space="preserve"> PAGEREF _Toc74817257 \h </w:instrText>
        </w:r>
        <w:r>
          <w:rPr>
            <w:webHidden/>
          </w:rPr>
        </w:r>
        <w:r>
          <w:rPr>
            <w:webHidden/>
          </w:rPr>
          <w:fldChar w:fldCharType="separate"/>
        </w:r>
        <w:r>
          <w:rPr>
            <w:webHidden/>
          </w:rPr>
          <w:t>9</w:t>
        </w:r>
        <w:r>
          <w:rPr>
            <w:webHidden/>
          </w:rPr>
          <w:fldChar w:fldCharType="end"/>
        </w:r>
      </w:hyperlink>
    </w:p>
    <w:p w14:paraId="7A9C7DCF" w14:textId="5E171004" w:rsidR="00752BD4" w:rsidRDefault="00752BD4">
      <w:pPr>
        <w:pStyle w:val="TOC2"/>
        <w:rPr>
          <w:rFonts w:asciiTheme="minorHAnsi" w:eastAsiaTheme="minorEastAsia" w:hAnsiTheme="minorHAnsi" w:cstheme="minorBidi"/>
          <w:sz w:val="22"/>
          <w:szCs w:val="22"/>
        </w:rPr>
      </w:pPr>
      <w:hyperlink w:anchor="_Toc74817258" w:history="1">
        <w:r w:rsidRPr="00EF64C4">
          <w:rPr>
            <w:rStyle w:val="Hyperlink"/>
          </w:rPr>
          <w:t>3.1</w:t>
        </w:r>
        <w:r>
          <w:rPr>
            <w:rFonts w:asciiTheme="minorHAnsi" w:eastAsiaTheme="minorEastAsia" w:hAnsiTheme="minorHAnsi" w:cstheme="minorBidi"/>
            <w:sz w:val="22"/>
            <w:szCs w:val="22"/>
          </w:rPr>
          <w:tab/>
        </w:r>
        <w:r w:rsidRPr="00EF64C4">
          <w:rPr>
            <w:rStyle w:val="Hyperlink"/>
          </w:rPr>
          <w:t>Project background</w:t>
        </w:r>
        <w:r>
          <w:rPr>
            <w:webHidden/>
          </w:rPr>
          <w:tab/>
        </w:r>
        <w:r>
          <w:rPr>
            <w:webHidden/>
          </w:rPr>
          <w:fldChar w:fldCharType="begin"/>
        </w:r>
        <w:r>
          <w:rPr>
            <w:webHidden/>
          </w:rPr>
          <w:instrText xml:space="preserve"> PAGEREF _Toc74817258 \h </w:instrText>
        </w:r>
        <w:r>
          <w:rPr>
            <w:webHidden/>
          </w:rPr>
        </w:r>
        <w:r>
          <w:rPr>
            <w:webHidden/>
          </w:rPr>
          <w:fldChar w:fldCharType="separate"/>
        </w:r>
        <w:r>
          <w:rPr>
            <w:webHidden/>
          </w:rPr>
          <w:t>9</w:t>
        </w:r>
        <w:r>
          <w:rPr>
            <w:webHidden/>
          </w:rPr>
          <w:fldChar w:fldCharType="end"/>
        </w:r>
      </w:hyperlink>
    </w:p>
    <w:p w14:paraId="609372F8" w14:textId="257F9D87" w:rsidR="00752BD4" w:rsidRDefault="00752BD4">
      <w:pPr>
        <w:pStyle w:val="TOC2"/>
        <w:rPr>
          <w:rFonts w:asciiTheme="minorHAnsi" w:eastAsiaTheme="minorEastAsia" w:hAnsiTheme="minorHAnsi" w:cstheme="minorBidi"/>
          <w:sz w:val="22"/>
          <w:szCs w:val="22"/>
        </w:rPr>
      </w:pPr>
      <w:hyperlink w:anchor="_Toc74817259" w:history="1">
        <w:r w:rsidRPr="00EF64C4">
          <w:rPr>
            <w:rStyle w:val="Hyperlink"/>
          </w:rPr>
          <w:t>3.2</w:t>
        </w:r>
        <w:r>
          <w:rPr>
            <w:rFonts w:asciiTheme="minorHAnsi" w:eastAsiaTheme="minorEastAsia" w:hAnsiTheme="minorHAnsi" w:cstheme="minorBidi"/>
            <w:sz w:val="22"/>
            <w:szCs w:val="22"/>
          </w:rPr>
          <w:tab/>
        </w:r>
        <w:r w:rsidRPr="00EF64C4">
          <w:rPr>
            <w:rStyle w:val="Hyperlink"/>
          </w:rPr>
          <w:t>Benefits and costs</w:t>
        </w:r>
        <w:r>
          <w:rPr>
            <w:webHidden/>
          </w:rPr>
          <w:tab/>
        </w:r>
        <w:r>
          <w:rPr>
            <w:webHidden/>
          </w:rPr>
          <w:fldChar w:fldCharType="begin"/>
        </w:r>
        <w:r>
          <w:rPr>
            <w:webHidden/>
          </w:rPr>
          <w:instrText xml:space="preserve"> PAGEREF _Toc74817259 \h </w:instrText>
        </w:r>
        <w:r>
          <w:rPr>
            <w:webHidden/>
          </w:rPr>
        </w:r>
        <w:r>
          <w:rPr>
            <w:webHidden/>
          </w:rPr>
          <w:fldChar w:fldCharType="separate"/>
        </w:r>
        <w:r>
          <w:rPr>
            <w:webHidden/>
          </w:rPr>
          <w:t>10</w:t>
        </w:r>
        <w:r>
          <w:rPr>
            <w:webHidden/>
          </w:rPr>
          <w:fldChar w:fldCharType="end"/>
        </w:r>
      </w:hyperlink>
    </w:p>
    <w:p w14:paraId="13AE8F34" w14:textId="5123D98F" w:rsidR="00752BD4" w:rsidRDefault="00752BD4">
      <w:pPr>
        <w:pStyle w:val="TOC3"/>
        <w:rPr>
          <w:rFonts w:asciiTheme="minorHAnsi" w:eastAsiaTheme="minorEastAsia" w:hAnsiTheme="minorHAnsi" w:cstheme="minorBidi"/>
          <w:i w:val="0"/>
          <w:sz w:val="22"/>
          <w:szCs w:val="22"/>
        </w:rPr>
      </w:pPr>
      <w:hyperlink w:anchor="_Toc74817260" w:history="1">
        <w:r w:rsidRPr="00EF64C4">
          <w:rPr>
            <w:rStyle w:val="Hyperlink"/>
          </w:rPr>
          <w:t>3.2.1</w:t>
        </w:r>
        <w:r>
          <w:rPr>
            <w:rFonts w:asciiTheme="minorHAnsi" w:eastAsiaTheme="minorEastAsia" w:hAnsiTheme="minorHAnsi" w:cstheme="minorBidi"/>
            <w:i w:val="0"/>
            <w:sz w:val="22"/>
            <w:szCs w:val="22"/>
          </w:rPr>
          <w:tab/>
        </w:r>
        <w:r w:rsidRPr="00EF64C4">
          <w:rPr>
            <w:rStyle w:val="Hyperlink"/>
          </w:rPr>
          <w:t>Areas for improvement</w:t>
        </w:r>
        <w:r>
          <w:rPr>
            <w:webHidden/>
          </w:rPr>
          <w:tab/>
        </w:r>
        <w:r>
          <w:rPr>
            <w:webHidden/>
          </w:rPr>
          <w:fldChar w:fldCharType="begin"/>
        </w:r>
        <w:r>
          <w:rPr>
            <w:webHidden/>
          </w:rPr>
          <w:instrText xml:space="preserve"> PAGEREF _Toc74817260 \h </w:instrText>
        </w:r>
        <w:r>
          <w:rPr>
            <w:webHidden/>
          </w:rPr>
        </w:r>
        <w:r>
          <w:rPr>
            <w:webHidden/>
          </w:rPr>
          <w:fldChar w:fldCharType="separate"/>
        </w:r>
        <w:r>
          <w:rPr>
            <w:webHidden/>
          </w:rPr>
          <w:t>10</w:t>
        </w:r>
        <w:r>
          <w:rPr>
            <w:webHidden/>
          </w:rPr>
          <w:fldChar w:fldCharType="end"/>
        </w:r>
      </w:hyperlink>
    </w:p>
    <w:p w14:paraId="2AB88214" w14:textId="45AF01AB" w:rsidR="00752BD4" w:rsidRDefault="00752BD4">
      <w:pPr>
        <w:pStyle w:val="TOC1"/>
        <w:rPr>
          <w:rFonts w:asciiTheme="minorHAnsi" w:eastAsiaTheme="minorEastAsia" w:hAnsiTheme="minorHAnsi" w:cstheme="minorBidi"/>
          <w:b w:val="0"/>
          <w:sz w:val="22"/>
          <w:szCs w:val="22"/>
        </w:rPr>
      </w:pPr>
      <w:hyperlink w:anchor="_Toc74817261" w:history="1">
        <w:r w:rsidRPr="00EF64C4">
          <w:rPr>
            <w:rStyle w:val="Hyperlink"/>
          </w:rPr>
          <w:t>4</w:t>
        </w:r>
        <w:r>
          <w:rPr>
            <w:rFonts w:asciiTheme="minorHAnsi" w:eastAsiaTheme="minorEastAsia" w:hAnsiTheme="minorHAnsi" w:cstheme="minorBidi"/>
            <w:b w:val="0"/>
            <w:sz w:val="22"/>
            <w:szCs w:val="22"/>
          </w:rPr>
          <w:tab/>
        </w:r>
        <w:r w:rsidRPr="00EF64C4">
          <w:rPr>
            <w:rStyle w:val="Hyperlink"/>
          </w:rPr>
          <w:t>Key activities and deliverables</w:t>
        </w:r>
        <w:r>
          <w:rPr>
            <w:webHidden/>
          </w:rPr>
          <w:tab/>
        </w:r>
        <w:r>
          <w:rPr>
            <w:webHidden/>
          </w:rPr>
          <w:fldChar w:fldCharType="begin"/>
        </w:r>
        <w:r>
          <w:rPr>
            <w:webHidden/>
          </w:rPr>
          <w:instrText xml:space="preserve"> PAGEREF _Toc74817261 \h </w:instrText>
        </w:r>
        <w:r>
          <w:rPr>
            <w:webHidden/>
          </w:rPr>
        </w:r>
        <w:r>
          <w:rPr>
            <w:webHidden/>
          </w:rPr>
          <w:fldChar w:fldCharType="separate"/>
        </w:r>
        <w:r>
          <w:rPr>
            <w:webHidden/>
          </w:rPr>
          <w:t>11</w:t>
        </w:r>
        <w:r>
          <w:rPr>
            <w:webHidden/>
          </w:rPr>
          <w:fldChar w:fldCharType="end"/>
        </w:r>
      </w:hyperlink>
    </w:p>
    <w:p w14:paraId="0362F7FC" w14:textId="24E934A0" w:rsidR="00752BD4" w:rsidRDefault="00752BD4">
      <w:pPr>
        <w:pStyle w:val="TOC1"/>
        <w:rPr>
          <w:rFonts w:asciiTheme="minorHAnsi" w:eastAsiaTheme="minorEastAsia" w:hAnsiTheme="minorHAnsi" w:cstheme="minorBidi"/>
          <w:b w:val="0"/>
          <w:sz w:val="22"/>
          <w:szCs w:val="22"/>
        </w:rPr>
      </w:pPr>
      <w:hyperlink w:anchor="_Toc74817262" w:history="1">
        <w:r w:rsidRPr="00EF64C4">
          <w:rPr>
            <w:rStyle w:val="Hyperlink"/>
          </w:rPr>
          <w:t>5</w:t>
        </w:r>
        <w:r>
          <w:rPr>
            <w:rFonts w:asciiTheme="minorHAnsi" w:eastAsiaTheme="minorEastAsia" w:hAnsiTheme="minorHAnsi" w:cstheme="minorBidi"/>
            <w:b w:val="0"/>
            <w:sz w:val="22"/>
            <w:szCs w:val="22"/>
          </w:rPr>
          <w:tab/>
        </w:r>
        <w:r w:rsidRPr="00EF64C4">
          <w:rPr>
            <w:rStyle w:val="Hyperlink"/>
          </w:rPr>
          <w:t>Engagement and assurance</w:t>
        </w:r>
        <w:r>
          <w:rPr>
            <w:webHidden/>
          </w:rPr>
          <w:tab/>
        </w:r>
        <w:r>
          <w:rPr>
            <w:webHidden/>
          </w:rPr>
          <w:fldChar w:fldCharType="begin"/>
        </w:r>
        <w:r>
          <w:rPr>
            <w:webHidden/>
          </w:rPr>
          <w:instrText xml:space="preserve"> PAGEREF _Toc74817262 \h </w:instrText>
        </w:r>
        <w:r>
          <w:rPr>
            <w:webHidden/>
          </w:rPr>
        </w:r>
        <w:r>
          <w:rPr>
            <w:webHidden/>
          </w:rPr>
          <w:fldChar w:fldCharType="separate"/>
        </w:r>
        <w:r>
          <w:rPr>
            <w:webHidden/>
          </w:rPr>
          <w:t>14</w:t>
        </w:r>
        <w:r>
          <w:rPr>
            <w:webHidden/>
          </w:rPr>
          <w:fldChar w:fldCharType="end"/>
        </w:r>
      </w:hyperlink>
    </w:p>
    <w:p w14:paraId="06D0334D" w14:textId="63EABA79" w:rsidR="00752BD4" w:rsidRDefault="00752BD4">
      <w:pPr>
        <w:pStyle w:val="TOC2"/>
        <w:rPr>
          <w:rFonts w:asciiTheme="minorHAnsi" w:eastAsiaTheme="minorEastAsia" w:hAnsiTheme="minorHAnsi" w:cstheme="minorBidi"/>
          <w:sz w:val="22"/>
          <w:szCs w:val="22"/>
        </w:rPr>
      </w:pPr>
      <w:hyperlink w:anchor="_Toc74817263" w:history="1">
        <w:r w:rsidRPr="00EF64C4">
          <w:rPr>
            <w:rStyle w:val="Hyperlink"/>
          </w:rPr>
          <w:t>5.1</w:t>
        </w:r>
        <w:r>
          <w:rPr>
            <w:rFonts w:asciiTheme="minorHAnsi" w:eastAsiaTheme="minorEastAsia" w:hAnsiTheme="minorHAnsi" w:cstheme="minorBidi"/>
            <w:sz w:val="22"/>
            <w:szCs w:val="22"/>
          </w:rPr>
          <w:tab/>
        </w:r>
        <w:r w:rsidRPr="00EF64C4">
          <w:rPr>
            <w:rStyle w:val="Hyperlink"/>
          </w:rPr>
          <w:t>Engagement</w:t>
        </w:r>
        <w:r>
          <w:rPr>
            <w:webHidden/>
          </w:rPr>
          <w:tab/>
        </w:r>
        <w:r>
          <w:rPr>
            <w:webHidden/>
          </w:rPr>
          <w:fldChar w:fldCharType="begin"/>
        </w:r>
        <w:r>
          <w:rPr>
            <w:webHidden/>
          </w:rPr>
          <w:instrText xml:space="preserve"> PAGEREF _Toc74817263 \h </w:instrText>
        </w:r>
        <w:r>
          <w:rPr>
            <w:webHidden/>
          </w:rPr>
        </w:r>
        <w:r>
          <w:rPr>
            <w:webHidden/>
          </w:rPr>
          <w:fldChar w:fldCharType="separate"/>
        </w:r>
        <w:r>
          <w:rPr>
            <w:webHidden/>
          </w:rPr>
          <w:t>14</w:t>
        </w:r>
        <w:r>
          <w:rPr>
            <w:webHidden/>
          </w:rPr>
          <w:fldChar w:fldCharType="end"/>
        </w:r>
      </w:hyperlink>
    </w:p>
    <w:p w14:paraId="7C4CBFA6" w14:textId="1BEAD5F9" w:rsidR="00752BD4" w:rsidRDefault="00752BD4">
      <w:pPr>
        <w:pStyle w:val="TOC2"/>
        <w:rPr>
          <w:rFonts w:asciiTheme="minorHAnsi" w:eastAsiaTheme="minorEastAsia" w:hAnsiTheme="minorHAnsi" w:cstheme="minorBidi"/>
          <w:sz w:val="22"/>
          <w:szCs w:val="22"/>
        </w:rPr>
      </w:pPr>
      <w:hyperlink w:anchor="_Toc74817264" w:history="1">
        <w:r w:rsidRPr="00EF64C4">
          <w:rPr>
            <w:rStyle w:val="Hyperlink"/>
          </w:rPr>
          <w:t>5.2</w:t>
        </w:r>
        <w:r>
          <w:rPr>
            <w:rFonts w:asciiTheme="minorHAnsi" w:eastAsiaTheme="minorEastAsia" w:hAnsiTheme="minorHAnsi" w:cstheme="minorBidi"/>
            <w:sz w:val="22"/>
            <w:szCs w:val="22"/>
          </w:rPr>
          <w:tab/>
        </w:r>
        <w:r w:rsidRPr="00EF64C4">
          <w:rPr>
            <w:rStyle w:val="Hyperlink"/>
          </w:rPr>
          <w:t>Assurance</w:t>
        </w:r>
        <w:r>
          <w:rPr>
            <w:webHidden/>
          </w:rPr>
          <w:tab/>
        </w:r>
        <w:r>
          <w:rPr>
            <w:webHidden/>
          </w:rPr>
          <w:fldChar w:fldCharType="begin"/>
        </w:r>
        <w:r>
          <w:rPr>
            <w:webHidden/>
          </w:rPr>
          <w:instrText xml:space="preserve"> PAGEREF _Toc74817264 \h </w:instrText>
        </w:r>
        <w:r>
          <w:rPr>
            <w:webHidden/>
          </w:rPr>
        </w:r>
        <w:r>
          <w:rPr>
            <w:webHidden/>
          </w:rPr>
          <w:fldChar w:fldCharType="separate"/>
        </w:r>
        <w:r>
          <w:rPr>
            <w:webHidden/>
          </w:rPr>
          <w:t>14</w:t>
        </w:r>
        <w:r>
          <w:rPr>
            <w:webHidden/>
          </w:rPr>
          <w:fldChar w:fldCharType="end"/>
        </w:r>
      </w:hyperlink>
    </w:p>
    <w:p w14:paraId="276149BA" w14:textId="366D920A" w:rsidR="00752BD4" w:rsidRDefault="00752BD4">
      <w:pPr>
        <w:pStyle w:val="TOC1"/>
        <w:rPr>
          <w:rFonts w:asciiTheme="minorHAnsi" w:eastAsiaTheme="minorEastAsia" w:hAnsiTheme="minorHAnsi" w:cstheme="minorBidi"/>
          <w:b w:val="0"/>
          <w:sz w:val="22"/>
          <w:szCs w:val="22"/>
        </w:rPr>
      </w:pPr>
      <w:hyperlink w:anchor="_Toc74817265" w:history="1">
        <w:r w:rsidRPr="00EF64C4">
          <w:rPr>
            <w:rStyle w:val="Hyperlink"/>
          </w:rPr>
          <w:t>Appendix A – CAPEX and funding thresholds</w:t>
        </w:r>
        <w:r>
          <w:rPr>
            <w:webHidden/>
          </w:rPr>
          <w:tab/>
        </w:r>
        <w:r>
          <w:rPr>
            <w:webHidden/>
          </w:rPr>
          <w:fldChar w:fldCharType="begin"/>
        </w:r>
        <w:r>
          <w:rPr>
            <w:webHidden/>
          </w:rPr>
          <w:instrText xml:space="preserve"> PAGEREF _Toc74817265 \h </w:instrText>
        </w:r>
        <w:r>
          <w:rPr>
            <w:webHidden/>
          </w:rPr>
        </w:r>
        <w:r>
          <w:rPr>
            <w:webHidden/>
          </w:rPr>
          <w:fldChar w:fldCharType="separate"/>
        </w:r>
        <w:r>
          <w:rPr>
            <w:webHidden/>
          </w:rPr>
          <w:t>15</w:t>
        </w:r>
        <w:r>
          <w:rPr>
            <w:webHidden/>
          </w:rPr>
          <w:fldChar w:fldCharType="end"/>
        </w:r>
      </w:hyperlink>
    </w:p>
    <w:p w14:paraId="5A563950" w14:textId="157B9533" w:rsidR="00752BD4" w:rsidRDefault="00752BD4">
      <w:pPr>
        <w:pStyle w:val="TOC1"/>
        <w:rPr>
          <w:rFonts w:asciiTheme="minorHAnsi" w:eastAsiaTheme="minorEastAsia" w:hAnsiTheme="minorHAnsi" w:cstheme="minorBidi"/>
          <w:b w:val="0"/>
          <w:sz w:val="22"/>
          <w:szCs w:val="22"/>
        </w:rPr>
      </w:pPr>
      <w:hyperlink w:anchor="_Toc74817266" w:history="1">
        <w:r w:rsidRPr="00EF64C4">
          <w:rPr>
            <w:rStyle w:val="Hyperlink"/>
          </w:rPr>
          <w:t>Appendix B – Project typologies</w:t>
        </w:r>
        <w:r>
          <w:rPr>
            <w:webHidden/>
          </w:rPr>
          <w:tab/>
        </w:r>
        <w:r>
          <w:rPr>
            <w:webHidden/>
          </w:rPr>
          <w:fldChar w:fldCharType="begin"/>
        </w:r>
        <w:r>
          <w:rPr>
            <w:webHidden/>
          </w:rPr>
          <w:instrText xml:space="preserve"> PAGEREF _Toc74817266 \h </w:instrText>
        </w:r>
        <w:r>
          <w:rPr>
            <w:webHidden/>
          </w:rPr>
        </w:r>
        <w:r>
          <w:rPr>
            <w:webHidden/>
          </w:rPr>
          <w:fldChar w:fldCharType="separate"/>
        </w:r>
        <w:r>
          <w:rPr>
            <w:webHidden/>
          </w:rPr>
          <w:t>16</w:t>
        </w:r>
        <w:r>
          <w:rPr>
            <w:webHidden/>
          </w:rPr>
          <w:fldChar w:fldCharType="end"/>
        </w:r>
      </w:hyperlink>
    </w:p>
    <w:p w14:paraId="38E19C9C" w14:textId="0AF01595" w:rsidR="00752BD4" w:rsidRDefault="00752BD4">
      <w:pPr>
        <w:pStyle w:val="TOC1"/>
        <w:rPr>
          <w:rFonts w:asciiTheme="minorHAnsi" w:eastAsiaTheme="minorEastAsia" w:hAnsiTheme="minorHAnsi" w:cstheme="minorBidi"/>
          <w:b w:val="0"/>
          <w:sz w:val="22"/>
          <w:szCs w:val="22"/>
        </w:rPr>
      </w:pPr>
      <w:hyperlink w:anchor="_Toc74817267" w:history="1">
        <w:r w:rsidRPr="00EF64C4">
          <w:rPr>
            <w:rStyle w:val="Hyperlink"/>
          </w:rPr>
          <w:t>Appendix C – Additional or specific guidance</w:t>
        </w:r>
        <w:r>
          <w:rPr>
            <w:webHidden/>
          </w:rPr>
          <w:tab/>
        </w:r>
        <w:r>
          <w:rPr>
            <w:webHidden/>
          </w:rPr>
          <w:fldChar w:fldCharType="begin"/>
        </w:r>
        <w:r>
          <w:rPr>
            <w:webHidden/>
          </w:rPr>
          <w:instrText xml:space="preserve"> PAGEREF _Toc74817267 \h </w:instrText>
        </w:r>
        <w:r>
          <w:rPr>
            <w:webHidden/>
          </w:rPr>
        </w:r>
        <w:r>
          <w:rPr>
            <w:webHidden/>
          </w:rPr>
          <w:fldChar w:fldCharType="separate"/>
        </w:r>
        <w:r>
          <w:rPr>
            <w:webHidden/>
          </w:rPr>
          <w:t>17</w:t>
        </w:r>
        <w:r>
          <w:rPr>
            <w:webHidden/>
          </w:rPr>
          <w:fldChar w:fldCharType="end"/>
        </w:r>
      </w:hyperlink>
    </w:p>
    <w:p w14:paraId="3561CAD5" w14:textId="4241F1C0" w:rsidR="00172FEB" w:rsidRPr="00CE6618" w:rsidRDefault="00172FEB" w:rsidP="001C6957">
      <w:pPr>
        <w:pStyle w:val="BodyText"/>
      </w:pPr>
      <w:r w:rsidRPr="00CE6618">
        <w:fldChar w:fldCharType="end"/>
      </w:r>
    </w:p>
    <w:p w14:paraId="03AF0EB8" w14:textId="77777777" w:rsidR="001C6957" w:rsidRPr="00CE6618" w:rsidRDefault="001C6957" w:rsidP="001C6957">
      <w:pPr>
        <w:pStyle w:val="BodyText"/>
      </w:pPr>
    </w:p>
    <w:p w14:paraId="6DD46B4D" w14:textId="77777777" w:rsidR="00172FEB" w:rsidRPr="00CE6618" w:rsidRDefault="00172FEB" w:rsidP="00172FEB">
      <w:pPr>
        <w:pStyle w:val="BodyText"/>
        <w:sectPr w:rsidR="00172FEB" w:rsidRPr="00CE6618" w:rsidSect="00B36088">
          <w:headerReference w:type="default" r:id="rId20"/>
          <w:footerReference w:type="default" r:id="rId21"/>
          <w:pgSz w:w="11906" w:h="16838" w:code="9"/>
          <w:pgMar w:top="1418" w:right="1416" w:bottom="1418" w:left="1418" w:header="454" w:footer="454" w:gutter="0"/>
          <w:pgNumType w:fmt="lowerRoman" w:start="1"/>
          <w:cols w:space="708"/>
          <w:docGrid w:linePitch="360"/>
        </w:sectPr>
      </w:pPr>
    </w:p>
    <w:p w14:paraId="09256D99" w14:textId="1D9B3593" w:rsidR="000E3419" w:rsidRDefault="000E3419" w:rsidP="00A44219">
      <w:pPr>
        <w:pStyle w:val="Heading1"/>
        <w:spacing w:after="240"/>
      </w:pPr>
      <w:bookmarkStart w:id="3" w:name="_Toc74817247"/>
      <w:r>
        <w:lastRenderedPageBreak/>
        <w:t>Introduction</w:t>
      </w:r>
      <w:bookmarkEnd w:id="3"/>
    </w:p>
    <w:tbl>
      <w:tblPr>
        <w:tblStyle w:val="Commentary"/>
        <w:tblW w:w="0" w:type="auto"/>
        <w:tblLook w:val="04A0" w:firstRow="1" w:lastRow="0" w:firstColumn="1" w:lastColumn="0" w:noHBand="0" w:noVBand="1"/>
      </w:tblPr>
      <w:tblGrid>
        <w:gridCol w:w="9024"/>
      </w:tblGrid>
      <w:tr w:rsidR="00A44219" w:rsidRPr="00A44219" w14:paraId="1DB823E6" w14:textId="77777777" w:rsidTr="00A44219">
        <w:tc>
          <w:tcPr>
            <w:tcW w:w="9024" w:type="dxa"/>
          </w:tcPr>
          <w:p w14:paraId="3042DCC4" w14:textId="77777777" w:rsidR="00A44219" w:rsidRDefault="00A44219" w:rsidP="00A44219">
            <w:pPr>
              <w:pStyle w:val="BodyText"/>
            </w:pPr>
            <w:r w:rsidRPr="00A44219">
              <w:rPr>
                <w:highlight w:val="yellow"/>
              </w:rPr>
              <w:t>Delete this table before issuing</w:t>
            </w:r>
            <w:r>
              <w:t>:</w:t>
            </w:r>
          </w:p>
          <w:p w14:paraId="101C0EDE" w14:textId="4F6D8136" w:rsidR="00A44219" w:rsidRDefault="00A44219" w:rsidP="00A44219">
            <w:pPr>
              <w:pStyle w:val="BodyText"/>
            </w:pPr>
            <w:r w:rsidRPr="00A44219">
              <w:rPr>
                <w:rStyle w:val="BodyTextbold"/>
              </w:rPr>
              <w:t>Project Managers</w:t>
            </w:r>
            <w:r>
              <w:t xml:space="preserve">: This Functional Specification primarily focuses on cost-benefit analysis (CBA) and other related types of economic analysis. </w:t>
            </w:r>
            <w:r w:rsidRPr="00F95682">
              <w:rPr>
                <w:u w:val="single"/>
              </w:rPr>
              <w:t xml:space="preserve">If conducting problem / opportunity monetisation (also known as, cost of the problem) for a Strategy Assessment of Service Requirements (SASR) and/or Infrastructure Australia Infrastructure Priority List Stage 1 (Problem Identification and Prioritisation) submission, it is strongly recommended you seek additional advice from Project Evaluation Unit (PEU) Economics Team (Ph: 3066 4016 Email: </w:t>
            </w:r>
            <w:hyperlink r:id="rId22" w:history="1">
              <w:r w:rsidRPr="00F95682">
                <w:rPr>
                  <w:rStyle w:val="Hyperlink"/>
                </w:rPr>
                <w:t>PEU.Economics@tmr.qld.gov.au</w:t>
              </w:r>
            </w:hyperlink>
            <w:r w:rsidRPr="00F95682">
              <w:rPr>
                <w:u w:val="single"/>
              </w:rPr>
              <w:t>)</w:t>
            </w:r>
            <w:r>
              <w:t xml:space="preserve">. Problem and opportunity monetisation </w:t>
            </w:r>
            <w:proofErr w:type="gramStart"/>
            <w:r>
              <w:t>is</w:t>
            </w:r>
            <w:proofErr w:type="gramEnd"/>
            <w:r>
              <w:t xml:space="preserve"> subject to the requirements of a separate guide and will need to be included in the ECS Project Brief and/or this Functional Specification accordingly, if required.</w:t>
            </w:r>
          </w:p>
          <w:p w14:paraId="1F730EF3" w14:textId="3702CD8F" w:rsidR="00A44219" w:rsidRDefault="00A44219" w:rsidP="00A44219">
            <w:pPr>
              <w:pStyle w:val="BodyText"/>
            </w:pPr>
            <w:r w:rsidRPr="00A44219">
              <w:rPr>
                <w:rStyle w:val="BodyTextbold"/>
              </w:rPr>
              <w:t>Feedback</w:t>
            </w:r>
            <w:r>
              <w:t>: This Functional Specification is a dynamic document and will be periodically reviewed by the department to ensure it incorporates the most recent and relevant information. The District Project Manager is encouraged to provide feedback to the PEU Economics Team to improve the structure, content and overall usefulness of the document. Please direct your queries and feedback to the PEU Economics Team mailbox or call using the details above.</w:t>
            </w:r>
          </w:p>
          <w:p w14:paraId="07031E90" w14:textId="1C1151E0" w:rsidR="00A44219" w:rsidRPr="00A44219" w:rsidRDefault="00A44219" w:rsidP="00A44219">
            <w:pPr>
              <w:pStyle w:val="BodyText"/>
              <w:rPr>
                <w:rStyle w:val="BodyTextbold"/>
              </w:rPr>
            </w:pPr>
            <w:r w:rsidRPr="00A44219">
              <w:rPr>
                <w:rStyle w:val="BodyTextbold"/>
                <w:color w:val="002060"/>
              </w:rPr>
              <w:t>To delete these guidance boxes, right-mouse click within this box and select Delete Rows.</w:t>
            </w:r>
          </w:p>
        </w:tc>
      </w:tr>
    </w:tbl>
    <w:p w14:paraId="227CE509" w14:textId="1E1BED74" w:rsidR="00A44219" w:rsidRPr="00A44219" w:rsidRDefault="00A44219" w:rsidP="00A44219">
      <w:pPr>
        <w:pStyle w:val="BodyText"/>
        <w:spacing w:before="240"/>
      </w:pPr>
      <w:r w:rsidRPr="00A44219">
        <w:t xml:space="preserve">This Functional Specification aims to assist the pricing of relevant Calculation of Benefit-Cost Ratio (BCR)/Cost Benefit Analysis (CBA) (or related economic analysis) as seen in </w:t>
      </w:r>
      <w:r w:rsidR="00614C34">
        <w:fldChar w:fldCharType="begin">
          <w:ffData>
            <w:name w:val=""/>
            <w:enabled/>
            <w:calcOnExit w:val="0"/>
            <w:textInput>
              <w:default w:val="[insert relevant Clause / Item No.]"/>
            </w:textInput>
          </w:ffData>
        </w:fldChar>
      </w:r>
      <w:r w:rsidR="00614C34">
        <w:instrText xml:space="preserve"> FORMTEXT </w:instrText>
      </w:r>
      <w:r w:rsidR="00614C34">
        <w:fldChar w:fldCharType="separate"/>
      </w:r>
      <w:r w:rsidR="00614C34">
        <w:rPr>
          <w:noProof/>
        </w:rPr>
        <w:t>[insert relevant Clause / Item No.]</w:t>
      </w:r>
      <w:r w:rsidR="00614C34">
        <w:fldChar w:fldCharType="end"/>
      </w:r>
      <w:r w:rsidRPr="00A44219">
        <w:t xml:space="preserve"> of Functional Specification </w:t>
      </w:r>
      <w:r w:rsidR="00614C34">
        <w:fldChar w:fldCharType="begin">
          <w:ffData>
            <w:name w:val=""/>
            <w:enabled/>
            <w:calcOnExit w:val="0"/>
            <w:textInput>
              <w:default w:val="[insert relevant Functional Specification (for example, C7522 - Business Case)]"/>
            </w:textInput>
          </w:ffData>
        </w:fldChar>
      </w:r>
      <w:r w:rsidR="00614C34">
        <w:instrText xml:space="preserve"> FORMTEXT </w:instrText>
      </w:r>
      <w:r w:rsidR="00614C34">
        <w:fldChar w:fldCharType="separate"/>
      </w:r>
      <w:r w:rsidR="00614C34">
        <w:rPr>
          <w:noProof/>
        </w:rPr>
        <w:t>[insert relevant Functional Specification (for example, C7522 - Business Case)]</w:t>
      </w:r>
      <w:r w:rsidR="00614C34">
        <w:fldChar w:fldCharType="end"/>
      </w:r>
      <w:r w:rsidRPr="00A44219">
        <w:t xml:space="preserve">.This Functional Specification applies to the Transport and Main Roads' (the department) requirement for the Consultant to conduct CBA in a rigorous and consistent manner and that meets the relevant analytical detail and reporting requirements for the </w:t>
      </w:r>
      <w:r w:rsidR="00614C34">
        <w:fldChar w:fldCharType="begin">
          <w:ffData>
            <w:name w:val=""/>
            <w:enabled/>
            <w:calcOnExit w:val="0"/>
            <w:textInput>
              <w:default w:val="[insert project phase]"/>
            </w:textInput>
          </w:ffData>
        </w:fldChar>
      </w:r>
      <w:r w:rsidR="00614C34">
        <w:instrText xml:space="preserve"> FORMTEXT </w:instrText>
      </w:r>
      <w:r w:rsidR="00614C34">
        <w:fldChar w:fldCharType="separate"/>
      </w:r>
      <w:r w:rsidR="00614C34">
        <w:rPr>
          <w:noProof/>
        </w:rPr>
        <w:t>[insert project phase]</w:t>
      </w:r>
      <w:r w:rsidR="00614C34">
        <w:fldChar w:fldCharType="end"/>
      </w:r>
      <w:r w:rsidR="00614C34" w:rsidRPr="00A44219">
        <w:t xml:space="preserve"> </w:t>
      </w:r>
      <w:r w:rsidRPr="00A44219">
        <w:t xml:space="preserve">of the </w:t>
      </w:r>
      <w:r w:rsidR="00614C34">
        <w:fldChar w:fldCharType="begin">
          <w:ffData>
            <w:name w:val=""/>
            <w:enabled/>
            <w:calcOnExit w:val="0"/>
            <w:textInput>
              <w:default w:val="[insert project name]"/>
            </w:textInput>
          </w:ffData>
        </w:fldChar>
      </w:r>
      <w:r w:rsidR="00614C34">
        <w:instrText xml:space="preserve"> FORMTEXT </w:instrText>
      </w:r>
      <w:r w:rsidR="00614C34">
        <w:fldChar w:fldCharType="separate"/>
      </w:r>
      <w:r w:rsidR="00614C34">
        <w:rPr>
          <w:noProof/>
        </w:rPr>
        <w:t>[insert project name]</w:t>
      </w:r>
      <w:r w:rsidR="00614C34">
        <w:fldChar w:fldCharType="end"/>
      </w:r>
      <w:r w:rsidRPr="00A44219">
        <w:t>.</w:t>
      </w:r>
    </w:p>
    <w:p w14:paraId="74BD8916" w14:textId="419837CB" w:rsidR="00A44219" w:rsidRDefault="00A44219" w:rsidP="00614C34">
      <w:pPr>
        <w:pStyle w:val="BodyText"/>
        <w:spacing w:after="240"/>
      </w:pPr>
      <w:r w:rsidRPr="00A44219">
        <w:t>The Economics Consultant is to follow the guidance, principles, assumptions and methodologies outlined in this Functional Specification where possible. Project-specific requirements and considerations are based on the relevant estimated project capital cost thresholds and funding arrangements being sought (see Appendix</w:t>
      </w:r>
      <w:r w:rsidR="00D84900">
        <w:t> </w:t>
      </w:r>
      <w:r w:rsidRPr="00A44219">
        <w:t>A). If this Functional Specification seemingly contradicts another source of project information or guidance, the Economics Consultant shall first seek clarification from the department's Project Team and Project Evaluation Unit (PEU) Economics Team before proceeding.</w:t>
      </w:r>
    </w:p>
    <w:tbl>
      <w:tblPr>
        <w:tblStyle w:val="TableGrid"/>
        <w:tblW w:w="0" w:type="auto"/>
        <w:tblLook w:val="04A0" w:firstRow="1" w:lastRow="0" w:firstColumn="1" w:lastColumn="0" w:noHBand="0" w:noVBand="1"/>
      </w:tblPr>
      <w:tblGrid>
        <w:gridCol w:w="9060"/>
      </w:tblGrid>
      <w:tr w:rsidR="00614C34" w14:paraId="54B8B729" w14:textId="77777777" w:rsidTr="00614C34">
        <w:tc>
          <w:tcPr>
            <w:tcW w:w="9060" w:type="dxa"/>
          </w:tcPr>
          <w:p w14:paraId="4337FA54" w14:textId="77777777" w:rsidR="00614C34" w:rsidRPr="00D84900" w:rsidRDefault="00614C34" w:rsidP="00A44219">
            <w:pPr>
              <w:pStyle w:val="BodyText"/>
              <w:rPr>
                <w:rStyle w:val="BodyTextbold"/>
              </w:rPr>
            </w:pPr>
            <w:r w:rsidRPr="00D84900">
              <w:rPr>
                <w:rStyle w:val="BodyTextbold"/>
              </w:rPr>
              <w:t>Feedback – from the Consultant</w:t>
            </w:r>
          </w:p>
          <w:p w14:paraId="655DA611" w14:textId="47E15A17" w:rsidR="00614C34" w:rsidRPr="00614C34" w:rsidRDefault="00614C34" w:rsidP="00614C34">
            <w:pPr>
              <w:pStyle w:val="BodyText"/>
            </w:pPr>
            <w:r w:rsidRPr="00614C34">
              <w:t>This Functional Specification is a dynamic document and will be periodically reviewed by the department to ensure it incorporates the most recent and relevant information. The Consultant is encouraged to provide feedback to the department to improve the structure, content and overall usefulness of the document. The Consultant must ensure that their feedback is constructive and provides a suggestion</w:t>
            </w:r>
            <w:r>
              <w:t> </w:t>
            </w:r>
            <w:r w:rsidRPr="00614C34">
              <w:t>/</w:t>
            </w:r>
            <w:r>
              <w:t> </w:t>
            </w:r>
            <w:r w:rsidRPr="00614C34">
              <w:t xml:space="preserve">recommendation to address the identified issue. Please direct your queries and feedback to the PEU Economics Team at: </w:t>
            </w:r>
            <w:hyperlink r:id="rId23" w:history="1">
              <w:r w:rsidRPr="000307B7">
                <w:rPr>
                  <w:rStyle w:val="Hyperlink"/>
                </w:rPr>
                <w:t>PEU.Economics@tmr.qld.gov.au</w:t>
              </w:r>
            </w:hyperlink>
          </w:p>
        </w:tc>
      </w:tr>
    </w:tbl>
    <w:p w14:paraId="0457CF92" w14:textId="77777777" w:rsidR="00614C34" w:rsidRPr="00A44219" w:rsidRDefault="00614C34" w:rsidP="00A44219">
      <w:pPr>
        <w:pStyle w:val="BodyText"/>
      </w:pPr>
    </w:p>
    <w:p w14:paraId="0411D638" w14:textId="086062AF" w:rsidR="000E3419" w:rsidRDefault="000E3419" w:rsidP="000E3419">
      <w:pPr>
        <w:pStyle w:val="Heading2"/>
      </w:pPr>
      <w:bookmarkStart w:id="4" w:name="_Toc74817248"/>
      <w:r>
        <w:lastRenderedPageBreak/>
        <w:t>Definitions</w:t>
      </w:r>
      <w:r w:rsidR="000411E2">
        <w:t> </w:t>
      </w:r>
      <w:r>
        <w:t>/</w:t>
      </w:r>
      <w:r w:rsidR="000411E2">
        <w:t> </w:t>
      </w:r>
      <w:r>
        <w:t>abbreviations</w:t>
      </w:r>
      <w:r w:rsidR="000411E2">
        <w:t> </w:t>
      </w:r>
      <w:r>
        <w:t>/</w:t>
      </w:r>
      <w:r w:rsidR="000411E2">
        <w:t> </w:t>
      </w:r>
      <w:r>
        <w:t>acronyms</w:t>
      </w:r>
      <w:bookmarkEnd w:id="4"/>
    </w:p>
    <w:p w14:paraId="4C0D48D5" w14:textId="5720B9FB" w:rsidR="000E3419" w:rsidRPr="00C97E87" w:rsidRDefault="00614C34" w:rsidP="00614C34">
      <w:pPr>
        <w:pStyle w:val="BodyText"/>
        <w:spacing w:after="240"/>
        <w:rPr>
          <w:rStyle w:val="BodyTextitalic"/>
          <w:i w:val="0"/>
        </w:rPr>
      </w:pPr>
      <w:r>
        <w:t>Below is a glossary of the definitions, abbreviations and acronyms used in this document.</w:t>
      </w:r>
    </w:p>
    <w:tbl>
      <w:tblPr>
        <w:tblStyle w:val="TableGrid"/>
        <w:tblW w:w="0" w:type="auto"/>
        <w:tblLayout w:type="fixed"/>
        <w:tblLook w:val="04A0" w:firstRow="1" w:lastRow="0" w:firstColumn="1" w:lastColumn="0" w:noHBand="0" w:noVBand="1"/>
      </w:tblPr>
      <w:tblGrid>
        <w:gridCol w:w="2547"/>
        <w:gridCol w:w="6513"/>
      </w:tblGrid>
      <w:tr w:rsidR="00732C36" w:rsidRPr="00732C36" w14:paraId="7CFEA49E" w14:textId="77777777" w:rsidTr="00097FAD">
        <w:trPr>
          <w:tblHeader/>
        </w:trPr>
        <w:tc>
          <w:tcPr>
            <w:tcW w:w="2547" w:type="dxa"/>
          </w:tcPr>
          <w:p w14:paraId="63CBCD80" w14:textId="12BC0D2C" w:rsidR="00732C36" w:rsidRPr="00732C36" w:rsidRDefault="005E3145" w:rsidP="005E3145">
            <w:pPr>
              <w:pStyle w:val="TableHeading"/>
              <w:keepNext w:val="0"/>
              <w:keepLines w:val="0"/>
            </w:pPr>
            <w:r w:rsidRPr="00732C36">
              <w:t>Terms, abbreviations and acronyms</w:t>
            </w:r>
          </w:p>
        </w:tc>
        <w:tc>
          <w:tcPr>
            <w:tcW w:w="6513" w:type="dxa"/>
          </w:tcPr>
          <w:p w14:paraId="1C978CBB" w14:textId="0E4506C0" w:rsidR="00732C36" w:rsidRPr="00732C36" w:rsidRDefault="005E3145" w:rsidP="005E3145">
            <w:pPr>
              <w:pStyle w:val="TableHeading"/>
              <w:keepNext w:val="0"/>
              <w:keepLines w:val="0"/>
            </w:pPr>
            <w:r w:rsidRPr="00732C36">
              <w:t>Meaning</w:t>
            </w:r>
          </w:p>
        </w:tc>
      </w:tr>
      <w:tr w:rsidR="00732C36" w:rsidRPr="00732C36" w14:paraId="5AF1A7AF" w14:textId="77777777" w:rsidTr="00097FAD">
        <w:tc>
          <w:tcPr>
            <w:tcW w:w="2547" w:type="dxa"/>
          </w:tcPr>
          <w:p w14:paraId="4FFE3490" w14:textId="57F88579" w:rsidR="00732C36" w:rsidRPr="00732C36" w:rsidRDefault="00991FE3" w:rsidP="005E3145">
            <w:pPr>
              <w:pStyle w:val="TableBodyText"/>
              <w:keepNext w:val="0"/>
              <w:keepLines w:val="0"/>
            </w:pPr>
            <w:r>
              <w:t>ATAP</w:t>
            </w:r>
          </w:p>
        </w:tc>
        <w:tc>
          <w:tcPr>
            <w:tcW w:w="6513" w:type="dxa"/>
          </w:tcPr>
          <w:p w14:paraId="66335931" w14:textId="6AC74F1E" w:rsidR="00732C36" w:rsidRPr="00732C36" w:rsidRDefault="00991FE3" w:rsidP="005E3145">
            <w:pPr>
              <w:pStyle w:val="TableBodyText"/>
              <w:keepNext w:val="0"/>
              <w:keepLines w:val="0"/>
            </w:pPr>
            <w:r>
              <w:t>Australian Transport Assessment and Planning Guidelines</w:t>
            </w:r>
          </w:p>
        </w:tc>
      </w:tr>
      <w:tr w:rsidR="00732C36" w:rsidRPr="00732C36" w14:paraId="25B7263A" w14:textId="77777777" w:rsidTr="00097FAD">
        <w:tc>
          <w:tcPr>
            <w:tcW w:w="2547" w:type="dxa"/>
          </w:tcPr>
          <w:p w14:paraId="03BABA39" w14:textId="1EA9DD46" w:rsidR="00732C36" w:rsidRPr="00732C36" w:rsidRDefault="00991FE3" w:rsidP="005E3145">
            <w:pPr>
              <w:pStyle w:val="TableBodyText"/>
              <w:keepNext w:val="0"/>
              <w:keepLines w:val="0"/>
            </w:pPr>
            <w:r>
              <w:t>BC (also DBC)</w:t>
            </w:r>
          </w:p>
        </w:tc>
        <w:tc>
          <w:tcPr>
            <w:tcW w:w="6513" w:type="dxa"/>
          </w:tcPr>
          <w:p w14:paraId="2D86C16C" w14:textId="6E4E96E1" w:rsidR="00732C36" w:rsidRPr="00732C36" w:rsidRDefault="00991FE3" w:rsidP="005E3145">
            <w:pPr>
              <w:pStyle w:val="TableBodyText"/>
              <w:keepNext w:val="0"/>
              <w:keepLines w:val="0"/>
            </w:pPr>
            <w:r>
              <w:t>Business Case (Detailed Business Case)</w:t>
            </w:r>
          </w:p>
        </w:tc>
      </w:tr>
      <w:tr w:rsidR="00732C36" w:rsidRPr="00732C36" w14:paraId="74C17273" w14:textId="77777777" w:rsidTr="00097FAD">
        <w:tc>
          <w:tcPr>
            <w:tcW w:w="2547" w:type="dxa"/>
          </w:tcPr>
          <w:p w14:paraId="7E423850" w14:textId="2669DB4F" w:rsidR="00732C36" w:rsidRPr="00732C36" w:rsidRDefault="00991FE3" w:rsidP="005E3145">
            <w:pPr>
              <w:pStyle w:val="TableBodyText"/>
              <w:keepNext w:val="0"/>
              <w:keepLines w:val="0"/>
            </w:pPr>
            <w:r>
              <w:t>BCR</w:t>
            </w:r>
          </w:p>
        </w:tc>
        <w:tc>
          <w:tcPr>
            <w:tcW w:w="6513" w:type="dxa"/>
          </w:tcPr>
          <w:p w14:paraId="4D774C93" w14:textId="22348247" w:rsidR="00732C36" w:rsidRPr="00732C36" w:rsidRDefault="00991FE3" w:rsidP="005E3145">
            <w:pPr>
              <w:pStyle w:val="TableBodyText"/>
              <w:keepNext w:val="0"/>
              <w:keepLines w:val="0"/>
            </w:pPr>
            <w:r>
              <w:t>Benefit-Cost Ratio</w:t>
            </w:r>
          </w:p>
        </w:tc>
      </w:tr>
      <w:tr w:rsidR="00732C36" w:rsidRPr="00732C36" w14:paraId="0EFFC05B" w14:textId="77777777" w:rsidTr="00097FAD">
        <w:tc>
          <w:tcPr>
            <w:tcW w:w="2547" w:type="dxa"/>
          </w:tcPr>
          <w:p w14:paraId="3C5097D2" w14:textId="4D11BBD6" w:rsidR="00732C36" w:rsidRPr="00732C36" w:rsidRDefault="00991FE3" w:rsidP="005E3145">
            <w:pPr>
              <w:pStyle w:val="TableBodyText"/>
              <w:keepNext w:val="0"/>
              <w:keepLines w:val="0"/>
            </w:pPr>
            <w:r>
              <w:t>BQ</w:t>
            </w:r>
          </w:p>
        </w:tc>
        <w:tc>
          <w:tcPr>
            <w:tcW w:w="6513" w:type="dxa"/>
          </w:tcPr>
          <w:p w14:paraId="7ADD1872" w14:textId="25600965" w:rsidR="00732C36" w:rsidRPr="00732C36" w:rsidRDefault="00991FE3" w:rsidP="005E3145">
            <w:pPr>
              <w:pStyle w:val="TableBodyText"/>
              <w:keepNext w:val="0"/>
              <w:keepLines w:val="0"/>
            </w:pPr>
            <w:r>
              <w:t>Building Queensland</w:t>
            </w:r>
          </w:p>
        </w:tc>
      </w:tr>
      <w:tr w:rsidR="00732C36" w:rsidRPr="00732C36" w14:paraId="6FD30F93" w14:textId="77777777" w:rsidTr="00097FAD">
        <w:tc>
          <w:tcPr>
            <w:tcW w:w="2547" w:type="dxa"/>
          </w:tcPr>
          <w:p w14:paraId="04832F1D" w14:textId="5AE3589B" w:rsidR="00732C36" w:rsidRPr="00732C36" w:rsidRDefault="00991FE3" w:rsidP="005E3145">
            <w:pPr>
              <w:pStyle w:val="TableBodyText"/>
              <w:keepNext w:val="0"/>
              <w:keepLines w:val="0"/>
            </w:pPr>
            <w:r>
              <w:t>CAPEX</w:t>
            </w:r>
          </w:p>
        </w:tc>
        <w:tc>
          <w:tcPr>
            <w:tcW w:w="6513" w:type="dxa"/>
          </w:tcPr>
          <w:p w14:paraId="37B32D06" w14:textId="4794FE73" w:rsidR="00732C36" w:rsidRPr="00732C36" w:rsidRDefault="00991FE3" w:rsidP="005E3145">
            <w:pPr>
              <w:pStyle w:val="TableBodyText"/>
              <w:keepNext w:val="0"/>
              <w:keepLines w:val="0"/>
            </w:pPr>
            <w:r>
              <w:t>Capital Expenditure</w:t>
            </w:r>
          </w:p>
        </w:tc>
      </w:tr>
      <w:tr w:rsidR="00732C36" w:rsidRPr="00732C36" w14:paraId="2C682727" w14:textId="77777777" w:rsidTr="00097FAD">
        <w:tc>
          <w:tcPr>
            <w:tcW w:w="2547" w:type="dxa"/>
          </w:tcPr>
          <w:p w14:paraId="0F0976C9" w14:textId="48150D67" w:rsidR="00732C36" w:rsidRPr="00732C36" w:rsidRDefault="00991FE3" w:rsidP="005E3145">
            <w:pPr>
              <w:pStyle w:val="TableBodyText"/>
              <w:keepNext w:val="0"/>
              <w:keepLines w:val="0"/>
            </w:pPr>
            <w:r>
              <w:t>CBA</w:t>
            </w:r>
          </w:p>
        </w:tc>
        <w:tc>
          <w:tcPr>
            <w:tcW w:w="6513" w:type="dxa"/>
          </w:tcPr>
          <w:p w14:paraId="791EC493" w14:textId="7994FA5D" w:rsidR="00732C36" w:rsidRPr="00732C36" w:rsidRDefault="00991FE3" w:rsidP="005E3145">
            <w:pPr>
              <w:pStyle w:val="TableBodyText"/>
              <w:keepNext w:val="0"/>
              <w:keepLines w:val="0"/>
            </w:pPr>
            <w:r>
              <w:t>Cost-Benefit Analysis</w:t>
            </w:r>
          </w:p>
        </w:tc>
      </w:tr>
      <w:tr w:rsidR="00732C36" w:rsidRPr="00732C36" w14:paraId="5FB3CA0D" w14:textId="77777777" w:rsidTr="00097FAD">
        <w:tc>
          <w:tcPr>
            <w:tcW w:w="2547" w:type="dxa"/>
          </w:tcPr>
          <w:p w14:paraId="32B2BE70" w14:textId="7DB24B61" w:rsidR="00732C36" w:rsidRPr="00732C36" w:rsidRDefault="00991FE3" w:rsidP="005E3145">
            <w:pPr>
              <w:pStyle w:val="TableBodyText"/>
              <w:keepNext w:val="0"/>
              <w:keepLines w:val="0"/>
            </w:pPr>
            <w:r>
              <w:t>ES</w:t>
            </w:r>
          </w:p>
        </w:tc>
        <w:tc>
          <w:tcPr>
            <w:tcW w:w="6513" w:type="dxa"/>
          </w:tcPr>
          <w:p w14:paraId="0E409C2B" w14:textId="4FAFCD18" w:rsidR="00732C36" w:rsidRPr="00732C36" w:rsidRDefault="00991FE3" w:rsidP="005E3145">
            <w:pPr>
              <w:pStyle w:val="TableBodyText"/>
              <w:keepNext w:val="0"/>
              <w:keepLines w:val="0"/>
            </w:pPr>
            <w:r>
              <w:t>Economic Studies</w:t>
            </w:r>
          </w:p>
        </w:tc>
      </w:tr>
      <w:tr w:rsidR="00732C36" w:rsidRPr="00732C36" w14:paraId="7DA16606" w14:textId="77777777" w:rsidTr="00097FAD">
        <w:tc>
          <w:tcPr>
            <w:tcW w:w="2547" w:type="dxa"/>
          </w:tcPr>
          <w:p w14:paraId="0F5B49EA" w14:textId="608DF7CC" w:rsidR="00732C36" w:rsidRPr="00732C36" w:rsidRDefault="00991FE3" w:rsidP="005E3145">
            <w:pPr>
              <w:pStyle w:val="TableBodyText"/>
              <w:keepNext w:val="0"/>
              <w:keepLines w:val="0"/>
            </w:pPr>
            <w:r>
              <w:t>FYRR</w:t>
            </w:r>
          </w:p>
        </w:tc>
        <w:tc>
          <w:tcPr>
            <w:tcW w:w="6513" w:type="dxa"/>
          </w:tcPr>
          <w:p w14:paraId="3C2F4CC8" w14:textId="2878DAF8" w:rsidR="00732C36" w:rsidRPr="00732C36" w:rsidRDefault="00991FE3" w:rsidP="005E3145">
            <w:pPr>
              <w:pStyle w:val="TableBodyText"/>
              <w:keepNext w:val="0"/>
              <w:keepLines w:val="0"/>
            </w:pPr>
            <w:r>
              <w:t>First Year Rate of Return</w:t>
            </w:r>
          </w:p>
        </w:tc>
      </w:tr>
      <w:tr w:rsidR="00732C36" w:rsidRPr="00732C36" w14:paraId="7AA81509" w14:textId="77777777" w:rsidTr="00097FAD">
        <w:tc>
          <w:tcPr>
            <w:tcW w:w="2547" w:type="dxa"/>
          </w:tcPr>
          <w:p w14:paraId="33D3FE6C" w14:textId="585C93E4" w:rsidR="00732C36" w:rsidRPr="00732C36" w:rsidRDefault="00991FE3" w:rsidP="005E3145">
            <w:pPr>
              <w:pStyle w:val="TableBodyText"/>
              <w:keepNext w:val="0"/>
              <w:keepLines w:val="0"/>
            </w:pPr>
            <w:r>
              <w:t>IA</w:t>
            </w:r>
          </w:p>
        </w:tc>
        <w:tc>
          <w:tcPr>
            <w:tcW w:w="6513" w:type="dxa"/>
          </w:tcPr>
          <w:p w14:paraId="66D45404" w14:textId="1346E74A" w:rsidR="00732C36" w:rsidRPr="00732C36" w:rsidRDefault="00991FE3" w:rsidP="005E3145">
            <w:pPr>
              <w:pStyle w:val="TableBodyText"/>
              <w:keepNext w:val="0"/>
              <w:keepLines w:val="0"/>
            </w:pPr>
            <w:r>
              <w:t>Infrastructure Australia</w:t>
            </w:r>
          </w:p>
        </w:tc>
      </w:tr>
      <w:tr w:rsidR="00732C36" w:rsidRPr="00732C36" w14:paraId="68D3E86F" w14:textId="77777777" w:rsidTr="00097FAD">
        <w:tc>
          <w:tcPr>
            <w:tcW w:w="2547" w:type="dxa"/>
          </w:tcPr>
          <w:p w14:paraId="1D3BF694" w14:textId="4A8B769A" w:rsidR="00732C36" w:rsidRPr="00732C36" w:rsidRDefault="00991FE3" w:rsidP="005E3145">
            <w:pPr>
              <w:pStyle w:val="TableBodyText"/>
              <w:keepNext w:val="0"/>
              <w:keepLines w:val="0"/>
            </w:pPr>
            <w:r>
              <w:t>IAAF</w:t>
            </w:r>
          </w:p>
        </w:tc>
        <w:tc>
          <w:tcPr>
            <w:tcW w:w="6513" w:type="dxa"/>
          </w:tcPr>
          <w:p w14:paraId="206F4C6E" w14:textId="63AD776C" w:rsidR="00732C36" w:rsidRPr="00732C36" w:rsidRDefault="00991FE3" w:rsidP="002F729B">
            <w:pPr>
              <w:pStyle w:val="TableBodyText"/>
              <w:keepNext w:val="0"/>
              <w:keepLines w:val="0"/>
            </w:pPr>
            <w:r>
              <w:t>Infrastructure Australia Assessment Framework</w:t>
            </w:r>
          </w:p>
        </w:tc>
      </w:tr>
      <w:tr w:rsidR="00732C36" w:rsidRPr="00732C36" w14:paraId="42ECF342" w14:textId="77777777" w:rsidTr="00097FAD">
        <w:tc>
          <w:tcPr>
            <w:tcW w:w="2547" w:type="dxa"/>
          </w:tcPr>
          <w:p w14:paraId="2488C750" w14:textId="3DD4317B" w:rsidR="00732C36" w:rsidRPr="00732C36" w:rsidRDefault="00991FE3" w:rsidP="005E3145">
            <w:pPr>
              <w:pStyle w:val="TableBodyText"/>
              <w:keepNext w:val="0"/>
              <w:keepLines w:val="0"/>
            </w:pPr>
            <w:r>
              <w:t>IRR</w:t>
            </w:r>
          </w:p>
        </w:tc>
        <w:tc>
          <w:tcPr>
            <w:tcW w:w="6513" w:type="dxa"/>
          </w:tcPr>
          <w:p w14:paraId="2E530B80" w14:textId="312DCFA4" w:rsidR="00732C36" w:rsidRPr="00732C36" w:rsidRDefault="00991FE3" w:rsidP="005E3145">
            <w:pPr>
              <w:pStyle w:val="TableBodyText"/>
              <w:keepNext w:val="0"/>
              <w:keepLines w:val="0"/>
            </w:pPr>
            <w:r>
              <w:t>Internal Rate of Return</w:t>
            </w:r>
          </w:p>
        </w:tc>
      </w:tr>
      <w:tr w:rsidR="00732C36" w:rsidRPr="00732C36" w14:paraId="7F5B61F4" w14:textId="77777777" w:rsidTr="00097FAD">
        <w:tc>
          <w:tcPr>
            <w:tcW w:w="2547" w:type="dxa"/>
          </w:tcPr>
          <w:p w14:paraId="173D08F1" w14:textId="4AD9EDF0" w:rsidR="00732C36" w:rsidRPr="00732C36" w:rsidRDefault="00991FE3" w:rsidP="005E3145">
            <w:pPr>
              <w:pStyle w:val="TableBodyText"/>
              <w:keepNext w:val="0"/>
              <w:keepLines w:val="0"/>
            </w:pPr>
            <w:r>
              <w:t>NPV</w:t>
            </w:r>
          </w:p>
        </w:tc>
        <w:tc>
          <w:tcPr>
            <w:tcW w:w="6513" w:type="dxa"/>
          </w:tcPr>
          <w:p w14:paraId="1B8CB07D" w14:textId="2A9ED25A" w:rsidR="00732C36" w:rsidRPr="00732C36" w:rsidRDefault="00991FE3" w:rsidP="005E3145">
            <w:pPr>
              <w:pStyle w:val="TableBodyText"/>
              <w:keepNext w:val="0"/>
              <w:keepLines w:val="0"/>
            </w:pPr>
            <w:r>
              <w:t>Net Present Value</w:t>
            </w:r>
          </w:p>
        </w:tc>
      </w:tr>
      <w:tr w:rsidR="00732C36" w:rsidRPr="00732C36" w14:paraId="156C264C" w14:textId="77777777" w:rsidTr="00097FAD">
        <w:tc>
          <w:tcPr>
            <w:tcW w:w="2547" w:type="dxa"/>
          </w:tcPr>
          <w:p w14:paraId="6FC9D6D5" w14:textId="34E9F6FA" w:rsidR="00732C36" w:rsidRPr="00732C36" w:rsidRDefault="00991FE3" w:rsidP="005E3145">
            <w:pPr>
              <w:pStyle w:val="TableBodyText"/>
              <w:keepNext w:val="0"/>
              <w:keepLines w:val="0"/>
            </w:pPr>
            <w:r>
              <w:t>OA</w:t>
            </w:r>
          </w:p>
        </w:tc>
        <w:tc>
          <w:tcPr>
            <w:tcW w:w="6513" w:type="dxa"/>
          </w:tcPr>
          <w:p w14:paraId="2D4399B3" w14:textId="36922DD0" w:rsidR="00732C36" w:rsidRPr="00732C36" w:rsidRDefault="00991FE3" w:rsidP="005E3145">
            <w:pPr>
              <w:pStyle w:val="TableBodyText"/>
              <w:keepNext w:val="0"/>
              <w:keepLines w:val="0"/>
            </w:pPr>
            <w:r>
              <w:t>Options Analysis</w:t>
            </w:r>
          </w:p>
        </w:tc>
      </w:tr>
      <w:tr w:rsidR="00732C36" w:rsidRPr="00732C36" w14:paraId="4906AA65" w14:textId="77777777" w:rsidTr="00097FAD">
        <w:tc>
          <w:tcPr>
            <w:tcW w:w="2547" w:type="dxa"/>
          </w:tcPr>
          <w:p w14:paraId="7105E2E9" w14:textId="20E11E79" w:rsidR="00732C36" w:rsidRPr="00732C36" w:rsidRDefault="00991FE3" w:rsidP="005E3145">
            <w:pPr>
              <w:pStyle w:val="TableBodyText"/>
              <w:keepNext w:val="0"/>
              <w:keepLines w:val="0"/>
            </w:pPr>
            <w:proofErr w:type="spellStart"/>
            <w:r>
              <w:t>OnQ</w:t>
            </w:r>
            <w:proofErr w:type="spellEnd"/>
          </w:p>
        </w:tc>
        <w:tc>
          <w:tcPr>
            <w:tcW w:w="6513" w:type="dxa"/>
          </w:tcPr>
          <w:p w14:paraId="09DEF26B" w14:textId="0A345A91" w:rsidR="00732C36" w:rsidRPr="00732C36" w:rsidRDefault="00991FE3" w:rsidP="005E3145">
            <w:pPr>
              <w:pStyle w:val="TableBodyText"/>
              <w:keepNext w:val="0"/>
              <w:keepLines w:val="0"/>
            </w:pPr>
            <w:proofErr w:type="spellStart"/>
            <w:r>
              <w:t>OnQ</w:t>
            </w:r>
            <w:proofErr w:type="spellEnd"/>
            <w:r>
              <w:t xml:space="preserve"> is the department's project management framework</w:t>
            </w:r>
          </w:p>
        </w:tc>
      </w:tr>
      <w:tr w:rsidR="00732C36" w:rsidRPr="00732C36" w14:paraId="6EB7EE49" w14:textId="77777777" w:rsidTr="00097FAD">
        <w:tc>
          <w:tcPr>
            <w:tcW w:w="2547" w:type="dxa"/>
          </w:tcPr>
          <w:p w14:paraId="1FC3AF06" w14:textId="5CD0BE5A" w:rsidR="00732C36" w:rsidRPr="00732C36" w:rsidRDefault="00991FE3" w:rsidP="005E3145">
            <w:pPr>
              <w:pStyle w:val="TableBodyText"/>
              <w:keepNext w:val="0"/>
              <w:keepLines w:val="0"/>
            </w:pPr>
            <w:r>
              <w:t>OPEX</w:t>
            </w:r>
          </w:p>
        </w:tc>
        <w:tc>
          <w:tcPr>
            <w:tcW w:w="6513" w:type="dxa"/>
          </w:tcPr>
          <w:p w14:paraId="311E33DA" w14:textId="514FE771" w:rsidR="00732C36" w:rsidRPr="00732C36" w:rsidRDefault="00991FE3" w:rsidP="005E3145">
            <w:pPr>
              <w:pStyle w:val="TableBodyText"/>
              <w:keepNext w:val="0"/>
              <w:keepLines w:val="0"/>
            </w:pPr>
            <w:r>
              <w:t>Operational Expenditure</w:t>
            </w:r>
          </w:p>
        </w:tc>
      </w:tr>
      <w:tr w:rsidR="00732C36" w:rsidRPr="00732C36" w14:paraId="0341FF27" w14:textId="77777777" w:rsidTr="00097FAD">
        <w:tc>
          <w:tcPr>
            <w:tcW w:w="2547" w:type="dxa"/>
          </w:tcPr>
          <w:p w14:paraId="213D5A49" w14:textId="3E9EFB18" w:rsidR="00732C36" w:rsidRPr="00732C36" w:rsidRDefault="00991FE3" w:rsidP="005E3145">
            <w:pPr>
              <w:pStyle w:val="TableBodyText"/>
              <w:keepNext w:val="0"/>
              <w:keepLines w:val="0"/>
            </w:pPr>
            <w:r>
              <w:t>PAF</w:t>
            </w:r>
          </w:p>
        </w:tc>
        <w:tc>
          <w:tcPr>
            <w:tcW w:w="6513" w:type="dxa"/>
          </w:tcPr>
          <w:p w14:paraId="49BD6E6C" w14:textId="60C7F7BD" w:rsidR="00732C36" w:rsidRPr="00732C36" w:rsidRDefault="00991FE3" w:rsidP="005E3145">
            <w:pPr>
              <w:pStyle w:val="TableBodyText"/>
              <w:keepNext w:val="0"/>
              <w:keepLines w:val="0"/>
            </w:pPr>
            <w:r>
              <w:t>Project Assessment Framework</w:t>
            </w:r>
          </w:p>
        </w:tc>
      </w:tr>
      <w:tr w:rsidR="00732C36" w:rsidRPr="00732C36" w14:paraId="19B3762E" w14:textId="77777777" w:rsidTr="00097FAD">
        <w:tc>
          <w:tcPr>
            <w:tcW w:w="2547" w:type="dxa"/>
          </w:tcPr>
          <w:p w14:paraId="15E62D73" w14:textId="31E468B5" w:rsidR="00732C36" w:rsidRPr="00732C36" w:rsidRDefault="00991FE3" w:rsidP="005E3145">
            <w:pPr>
              <w:pStyle w:val="TableBodyText"/>
              <w:keepNext w:val="0"/>
              <w:keepLines w:val="0"/>
            </w:pPr>
            <w:r>
              <w:t>PE</w:t>
            </w:r>
          </w:p>
        </w:tc>
        <w:tc>
          <w:tcPr>
            <w:tcW w:w="6513" w:type="dxa"/>
          </w:tcPr>
          <w:p w14:paraId="3A6A43AF" w14:textId="36A0B4D8" w:rsidR="00732C36" w:rsidRPr="00732C36" w:rsidRDefault="00991FE3" w:rsidP="005E3145">
            <w:pPr>
              <w:pStyle w:val="TableBodyText"/>
              <w:keepNext w:val="0"/>
              <w:keepLines w:val="0"/>
            </w:pPr>
            <w:r>
              <w:t>Preliminary Evaluation</w:t>
            </w:r>
          </w:p>
        </w:tc>
      </w:tr>
      <w:tr w:rsidR="00732C36" w:rsidRPr="00732C36" w14:paraId="34FC4F81" w14:textId="77777777" w:rsidTr="00097FAD">
        <w:tc>
          <w:tcPr>
            <w:tcW w:w="2547" w:type="dxa"/>
          </w:tcPr>
          <w:p w14:paraId="14C981E1" w14:textId="287D4C45" w:rsidR="00732C36" w:rsidRPr="00732C36" w:rsidRDefault="00991FE3" w:rsidP="005E3145">
            <w:pPr>
              <w:pStyle w:val="TableBodyText"/>
              <w:keepNext w:val="0"/>
              <w:keepLines w:val="0"/>
            </w:pPr>
            <w:r>
              <w:t>PEU</w:t>
            </w:r>
          </w:p>
        </w:tc>
        <w:tc>
          <w:tcPr>
            <w:tcW w:w="6513" w:type="dxa"/>
          </w:tcPr>
          <w:p w14:paraId="11884CF0" w14:textId="7951B09B" w:rsidR="00732C36" w:rsidRPr="00732C36" w:rsidRDefault="00991FE3" w:rsidP="005E3145">
            <w:pPr>
              <w:pStyle w:val="TableBodyText"/>
              <w:keepNext w:val="0"/>
              <w:keepLines w:val="0"/>
            </w:pPr>
            <w:r>
              <w:t>Project Evaluation Unit</w:t>
            </w:r>
          </w:p>
        </w:tc>
      </w:tr>
      <w:tr w:rsidR="00732C36" w:rsidRPr="00732C36" w14:paraId="319A64D9" w14:textId="77777777" w:rsidTr="00097FAD">
        <w:tc>
          <w:tcPr>
            <w:tcW w:w="2547" w:type="dxa"/>
          </w:tcPr>
          <w:p w14:paraId="4E82EA2B" w14:textId="093F20B8" w:rsidR="00732C36" w:rsidRPr="00732C36" w:rsidRDefault="00991FE3" w:rsidP="005E3145">
            <w:pPr>
              <w:pStyle w:val="TableBodyText"/>
              <w:keepNext w:val="0"/>
              <w:keepLines w:val="0"/>
            </w:pPr>
            <w:r>
              <w:t>PPR</w:t>
            </w:r>
          </w:p>
        </w:tc>
        <w:tc>
          <w:tcPr>
            <w:tcW w:w="6513" w:type="dxa"/>
          </w:tcPr>
          <w:p w14:paraId="0F5E5974" w14:textId="534E75FB" w:rsidR="00732C36" w:rsidRPr="00732C36" w:rsidRDefault="00991FE3" w:rsidP="005E3145">
            <w:pPr>
              <w:pStyle w:val="TableBodyText"/>
              <w:keepNext w:val="0"/>
              <w:keepLines w:val="0"/>
            </w:pPr>
            <w:r>
              <w:t>Project Proposal Report</w:t>
            </w:r>
          </w:p>
        </w:tc>
      </w:tr>
      <w:tr w:rsidR="00614C34" w:rsidRPr="00732C36" w14:paraId="77E7B3E1" w14:textId="77777777" w:rsidTr="00097FAD">
        <w:tc>
          <w:tcPr>
            <w:tcW w:w="2547" w:type="dxa"/>
          </w:tcPr>
          <w:p w14:paraId="2AEF58E2" w14:textId="59B36037" w:rsidR="00614C34" w:rsidRPr="00732C36" w:rsidRDefault="00991FE3" w:rsidP="005E3145">
            <w:pPr>
              <w:pStyle w:val="TableBodyText"/>
              <w:keepNext w:val="0"/>
              <w:keepLines w:val="0"/>
            </w:pPr>
            <w:r>
              <w:t>SASR</w:t>
            </w:r>
          </w:p>
        </w:tc>
        <w:tc>
          <w:tcPr>
            <w:tcW w:w="6513" w:type="dxa"/>
          </w:tcPr>
          <w:p w14:paraId="3B31932B" w14:textId="1E29A284" w:rsidR="00614C34" w:rsidRPr="00732C36" w:rsidRDefault="00991FE3" w:rsidP="005E3145">
            <w:pPr>
              <w:pStyle w:val="TableBodyText"/>
              <w:keepNext w:val="0"/>
              <w:keepLines w:val="0"/>
            </w:pPr>
            <w:r>
              <w:t>Strategic Assessment of Service Requirements</w:t>
            </w:r>
          </w:p>
        </w:tc>
      </w:tr>
      <w:tr w:rsidR="00614C34" w:rsidRPr="00732C36" w14:paraId="0F0EBBA2" w14:textId="77777777" w:rsidTr="00097FAD">
        <w:tc>
          <w:tcPr>
            <w:tcW w:w="2547" w:type="dxa"/>
          </w:tcPr>
          <w:p w14:paraId="0EECC816" w14:textId="049EAF1C" w:rsidR="00614C34" w:rsidRPr="00732C36" w:rsidRDefault="00991FE3" w:rsidP="005E3145">
            <w:pPr>
              <w:pStyle w:val="TableBodyText"/>
              <w:keepNext w:val="0"/>
              <w:keepLines w:val="0"/>
            </w:pPr>
            <w:proofErr w:type="spellStart"/>
            <w:r>
              <w:t>TfNSW</w:t>
            </w:r>
            <w:proofErr w:type="spellEnd"/>
          </w:p>
        </w:tc>
        <w:tc>
          <w:tcPr>
            <w:tcW w:w="6513" w:type="dxa"/>
          </w:tcPr>
          <w:p w14:paraId="2CC4A585" w14:textId="6BBDA240" w:rsidR="00614C34" w:rsidRPr="00732C36" w:rsidRDefault="00991FE3" w:rsidP="005E3145">
            <w:pPr>
              <w:pStyle w:val="TableBodyText"/>
              <w:keepNext w:val="0"/>
              <w:keepLines w:val="0"/>
            </w:pPr>
            <w:r>
              <w:t>Transport for New South Wales</w:t>
            </w:r>
          </w:p>
        </w:tc>
      </w:tr>
      <w:tr w:rsidR="00614C34" w:rsidRPr="00732C36" w14:paraId="0AEC7014" w14:textId="77777777" w:rsidTr="00097FAD">
        <w:tc>
          <w:tcPr>
            <w:tcW w:w="2547" w:type="dxa"/>
          </w:tcPr>
          <w:p w14:paraId="4340E0EF" w14:textId="660B9F9D" w:rsidR="00614C34" w:rsidRPr="00732C36" w:rsidRDefault="00991FE3" w:rsidP="005E3145">
            <w:pPr>
              <w:pStyle w:val="TableBodyText"/>
              <w:keepNext w:val="0"/>
              <w:keepLines w:val="0"/>
            </w:pPr>
            <w:r>
              <w:t>the department</w:t>
            </w:r>
          </w:p>
        </w:tc>
        <w:tc>
          <w:tcPr>
            <w:tcW w:w="6513" w:type="dxa"/>
          </w:tcPr>
          <w:p w14:paraId="2B021BAC" w14:textId="0B5D4B73" w:rsidR="00614C34" w:rsidRPr="00732C36" w:rsidRDefault="00991FE3" w:rsidP="005E3145">
            <w:pPr>
              <w:pStyle w:val="TableBodyText"/>
              <w:keepNext w:val="0"/>
              <w:keepLines w:val="0"/>
            </w:pPr>
            <w:r>
              <w:t>Department of Transport and Main Roads</w:t>
            </w:r>
          </w:p>
        </w:tc>
      </w:tr>
      <w:tr w:rsidR="00614C34" w:rsidRPr="00732C36" w14:paraId="0A286241" w14:textId="77777777" w:rsidTr="00097FAD">
        <w:tc>
          <w:tcPr>
            <w:tcW w:w="2547" w:type="dxa"/>
          </w:tcPr>
          <w:p w14:paraId="2B945388" w14:textId="025D8646" w:rsidR="00614C34" w:rsidRPr="00732C36" w:rsidRDefault="00991FE3" w:rsidP="005E3145">
            <w:pPr>
              <w:pStyle w:val="TableBodyText"/>
              <w:keepNext w:val="0"/>
              <w:keepLines w:val="0"/>
            </w:pPr>
            <w:r>
              <w:t>VOC</w:t>
            </w:r>
          </w:p>
        </w:tc>
        <w:tc>
          <w:tcPr>
            <w:tcW w:w="6513" w:type="dxa"/>
          </w:tcPr>
          <w:p w14:paraId="74555EF2" w14:textId="53D46AEB" w:rsidR="00614C34" w:rsidRPr="00732C36" w:rsidRDefault="00991FE3" w:rsidP="005E3145">
            <w:pPr>
              <w:pStyle w:val="TableBodyText"/>
              <w:keepNext w:val="0"/>
              <w:keepLines w:val="0"/>
            </w:pPr>
            <w:r>
              <w:t>Vehicle operating cost</w:t>
            </w:r>
          </w:p>
        </w:tc>
      </w:tr>
    </w:tbl>
    <w:p w14:paraId="65BBFC70" w14:textId="4F2A6E87" w:rsidR="000E3419" w:rsidRDefault="00991FE3" w:rsidP="00BD673C">
      <w:pPr>
        <w:pStyle w:val="Heading2"/>
        <w:spacing w:before="240" w:after="240"/>
        <w:ind w:left="578" w:hanging="578"/>
      </w:pPr>
      <w:bookmarkStart w:id="5" w:name="_Toc74817249"/>
      <w:r>
        <w:t>Prequalification Requirement</w:t>
      </w:r>
      <w:bookmarkEnd w:id="5"/>
    </w:p>
    <w:tbl>
      <w:tblPr>
        <w:tblStyle w:val="Commentary"/>
        <w:tblW w:w="0" w:type="auto"/>
        <w:tblLook w:val="04A0" w:firstRow="1" w:lastRow="0" w:firstColumn="1" w:lastColumn="0" w:noHBand="0" w:noVBand="1"/>
      </w:tblPr>
      <w:tblGrid>
        <w:gridCol w:w="9024"/>
      </w:tblGrid>
      <w:tr w:rsidR="00BD673C" w14:paraId="63D8D5D5" w14:textId="77777777" w:rsidTr="00BD673C">
        <w:tc>
          <w:tcPr>
            <w:tcW w:w="9024" w:type="dxa"/>
          </w:tcPr>
          <w:p w14:paraId="665D1A3A" w14:textId="77777777" w:rsidR="00BD673C" w:rsidRPr="00BD673C" w:rsidRDefault="00BD673C" w:rsidP="00BD673C">
            <w:pPr>
              <w:pStyle w:val="BodyText"/>
              <w:rPr>
                <w:rStyle w:val="BodyTextbold"/>
                <w:b w:val="0"/>
              </w:rPr>
            </w:pPr>
            <w:r w:rsidRPr="00BD673C">
              <w:rPr>
                <w:rStyle w:val="BodyTextbold"/>
                <w:b w:val="0"/>
                <w:highlight w:val="yellow"/>
              </w:rPr>
              <w:t>Delete this table before issuing:</w:t>
            </w:r>
          </w:p>
          <w:p w14:paraId="1CC409CD" w14:textId="04C24A83" w:rsidR="00BD673C" w:rsidRDefault="00BD673C" w:rsidP="00BD673C">
            <w:pPr>
              <w:pStyle w:val="BodyText"/>
            </w:pPr>
            <w:r w:rsidRPr="00BD673C">
              <w:rPr>
                <w:rStyle w:val="BodyTextbold"/>
              </w:rPr>
              <w:t>Project Managers</w:t>
            </w:r>
            <w:r>
              <w:t xml:space="preserve">: Consultants contracted or sub-contracted should be registered and prequalified to the appropriate level for </w:t>
            </w:r>
            <w:proofErr w:type="gramStart"/>
            <w:r>
              <w:t>particular types</w:t>
            </w:r>
            <w:proofErr w:type="gramEnd"/>
            <w:r>
              <w:t xml:space="preserve"> of Economic Studies (ES) – Refer to the department</w:t>
            </w:r>
            <w:r w:rsidR="007165B9">
              <w:t>'</w:t>
            </w:r>
            <w:r>
              <w:t xml:space="preserve">s </w:t>
            </w:r>
            <w:r w:rsidRPr="00BD673C">
              <w:rPr>
                <w:rStyle w:val="BodyTextitalic"/>
              </w:rPr>
              <w:t>Consultants for Engineering Projects</w:t>
            </w:r>
            <w:r w:rsidR="003255B1">
              <w:rPr>
                <w:rStyle w:val="BodyTextitalic"/>
              </w:rPr>
              <w:t xml:space="preserve"> </w:t>
            </w:r>
            <w:r w:rsidR="003255B1" w:rsidRPr="003255B1">
              <w:t>Manual</w:t>
            </w:r>
            <w:r>
              <w:t>.</w:t>
            </w:r>
          </w:p>
          <w:p w14:paraId="27B8B213" w14:textId="6C8D8CAD" w:rsidR="00BD673C" w:rsidRDefault="00BD673C" w:rsidP="00BD673C">
            <w:pPr>
              <w:pStyle w:val="BodyText"/>
            </w:pPr>
            <w:r>
              <w:t xml:space="preserve">Section 6.3 </w:t>
            </w:r>
            <w:r w:rsidRPr="00BD673C">
              <w:rPr>
                <w:rStyle w:val="BodyTextitalic"/>
              </w:rPr>
              <w:t>Economic Studies of the Prequalification of Consultants for Engineering Projects, form C7511 – Information Brochure</w:t>
            </w:r>
            <w:r>
              <w:t xml:space="preserve"> states, “</w:t>
            </w:r>
            <w:r w:rsidRPr="00BD673C">
              <w:rPr>
                <w:rStyle w:val="BodyTextbold"/>
              </w:rPr>
              <w:t>Economic Studies and analysis will require involvement from the Project Evaluation Unit of the Portfolio Planning and Investment Division.</w:t>
            </w:r>
            <w:r>
              <w:t>” This directive should be followed to ensure the contracted consultants are appropriately skilled.</w:t>
            </w:r>
          </w:p>
          <w:p w14:paraId="73944A02" w14:textId="17AFBE30" w:rsidR="00BD673C" w:rsidRDefault="00BD673C" w:rsidP="00BD673C">
            <w:pPr>
              <w:pStyle w:val="BodyText"/>
            </w:pPr>
            <w:r>
              <w:lastRenderedPageBreak/>
              <w:t>The PEU Economics Team can also assist with the drafting of the Engineering Consultant Scheme (ECS) Project Brief</w:t>
            </w:r>
            <w:r w:rsidR="003255B1">
              <w:t> </w:t>
            </w:r>
            <w:r>
              <w:t>/</w:t>
            </w:r>
            <w:r w:rsidR="003255B1">
              <w:t> </w:t>
            </w:r>
            <w:r>
              <w:t>invitation to offer and/or assist in the procurement of the relevant consultant.</w:t>
            </w:r>
          </w:p>
          <w:p w14:paraId="6D54A8B3" w14:textId="1AE81708" w:rsidR="00BD673C" w:rsidRPr="00BD673C" w:rsidRDefault="00BD673C" w:rsidP="00BD673C">
            <w:pPr>
              <w:pStyle w:val="BodyText"/>
              <w:rPr>
                <w:rStyle w:val="BodyTextbold"/>
              </w:rPr>
            </w:pPr>
            <w:r w:rsidRPr="00BD673C">
              <w:rPr>
                <w:rStyle w:val="BodyTextbold"/>
                <w:color w:val="002060"/>
              </w:rPr>
              <w:t>To delete these guidance boxes, right-mouse click within this box and select Delete Rows.</w:t>
            </w:r>
          </w:p>
        </w:tc>
      </w:tr>
    </w:tbl>
    <w:p w14:paraId="23F76040" w14:textId="3092F3E1" w:rsidR="000E3419" w:rsidRDefault="003255B1" w:rsidP="003255B1">
      <w:pPr>
        <w:pStyle w:val="BodyText"/>
        <w:spacing w:before="240"/>
      </w:pPr>
      <w:r w:rsidRPr="003255B1">
        <w:lastRenderedPageBreak/>
        <w:t xml:space="preserve">The Economics Consultant </w:t>
      </w:r>
      <w:r w:rsidRPr="003255B1">
        <w:rPr>
          <w:u w:val="single"/>
        </w:rPr>
        <w:t>must only use</w:t>
      </w:r>
      <w:r w:rsidRPr="003255B1">
        <w:t xml:space="preserve"> prequalified personnel and/or sub-contractors to undertake CBA that meet the Economic Studies (ES) level that is appropriate for the work to be undertaken. The Economics Consultant must be prequalified to ES level </w:t>
      </w:r>
      <w:r>
        <w:fldChar w:fldCharType="begin">
          <w:ffData>
            <w:name w:val=""/>
            <w:enabled/>
            <w:calcOnExit w:val="0"/>
            <w:textInput>
              <w:default w:val="[insert relevant ES level]"/>
            </w:textInput>
          </w:ffData>
        </w:fldChar>
      </w:r>
      <w:r>
        <w:instrText xml:space="preserve"> FORMTEXT </w:instrText>
      </w:r>
      <w:r>
        <w:fldChar w:fldCharType="separate"/>
      </w:r>
      <w:r>
        <w:rPr>
          <w:noProof/>
        </w:rPr>
        <w:t>[insert relevant ES level]</w:t>
      </w:r>
      <w:r>
        <w:fldChar w:fldCharType="end"/>
      </w:r>
      <w:r w:rsidRPr="003255B1">
        <w:t xml:space="preserve"> to undertake the relevant work.</w:t>
      </w:r>
    </w:p>
    <w:p w14:paraId="10A2BAFC" w14:textId="69620505" w:rsidR="003255B1" w:rsidRDefault="003255B1" w:rsidP="003255B1">
      <w:pPr>
        <w:pStyle w:val="Heading1"/>
      </w:pPr>
      <w:bookmarkStart w:id="6" w:name="_Toc74817250"/>
      <w:r>
        <w:t>General</w:t>
      </w:r>
      <w:bookmarkEnd w:id="6"/>
    </w:p>
    <w:p w14:paraId="6CC850BD" w14:textId="3701B319" w:rsidR="00991FE3" w:rsidRDefault="003255B1" w:rsidP="003255B1">
      <w:pPr>
        <w:pStyle w:val="BodyText"/>
      </w:pPr>
      <w:r w:rsidRPr="003255B1">
        <w:t>CBA is a widely-used, methodical and logical approach to economic evaluation and is the primary method of economic evaluation and assessment used for infrastructure proposals by the Australian Government and state and territory jurisdictions, as well as state and national infrastructure bodies, including Building Queensland (BQ) and Infrastructure Australia (IA). CBA can be undertaken at any stage of the project planning process, including options analysis, preliminary evaluation and business case, as well as ex-post (after project competition).</w:t>
      </w:r>
    </w:p>
    <w:p w14:paraId="57408CE3" w14:textId="6FAFAA27" w:rsidR="003255B1" w:rsidRPr="003255B1" w:rsidRDefault="003255B1" w:rsidP="003255B1">
      <w:pPr>
        <w:pStyle w:val="Heading2"/>
      </w:pPr>
      <w:bookmarkStart w:id="7" w:name="_Toc74817251"/>
      <w:r>
        <w:t>Objective</w:t>
      </w:r>
      <w:bookmarkEnd w:id="7"/>
    </w:p>
    <w:p w14:paraId="6FFF3D64" w14:textId="594FAEE5" w:rsidR="003255B1" w:rsidRPr="003255B1" w:rsidRDefault="003255B1" w:rsidP="003255B1">
      <w:pPr>
        <w:pStyle w:val="BodyText"/>
      </w:pPr>
      <w:r w:rsidRPr="003255B1">
        <w:t>Several principles underpin a quality, impartial and robust CBA. The Economics Consultant is to ensure that these principles are incorporated in all CBAs conducted on behalf of the department.</w:t>
      </w:r>
    </w:p>
    <w:p w14:paraId="2DE312F3" w14:textId="77777777" w:rsidR="003255B1" w:rsidRPr="003255B1" w:rsidRDefault="003255B1" w:rsidP="003255B1">
      <w:pPr>
        <w:pStyle w:val="BodyText"/>
      </w:pPr>
      <w:r w:rsidRPr="003255B1">
        <w:t>The CBA must be:</w:t>
      </w:r>
    </w:p>
    <w:p w14:paraId="7B5AC439" w14:textId="60F56E71" w:rsidR="003255B1" w:rsidRPr="003255B1" w:rsidRDefault="003255B1" w:rsidP="003255B1">
      <w:pPr>
        <w:pStyle w:val="ListB1dotonly"/>
      </w:pPr>
      <w:r w:rsidRPr="003255B1">
        <w:t>evidence-based and reliant on an impartial, unbiased and independent approach to the collection and analysis of relevant data inputs</w:t>
      </w:r>
    </w:p>
    <w:p w14:paraId="6426B7A4" w14:textId="51513F7D" w:rsidR="003255B1" w:rsidRPr="003255B1" w:rsidRDefault="003255B1" w:rsidP="003255B1">
      <w:pPr>
        <w:pStyle w:val="ListB1dotonly"/>
      </w:pPr>
      <w:r w:rsidRPr="003255B1">
        <w:t>fit-for-purpose, with the required level of analytical effort tailored to the level and grade of the investment decision that the analysis is supporting (see Appendix</w:t>
      </w:r>
      <w:r w:rsidR="00D84900">
        <w:t> </w:t>
      </w:r>
      <w:r w:rsidRPr="003255B1">
        <w:t>A for economic analysis and modelling expectations)</w:t>
      </w:r>
    </w:p>
    <w:p w14:paraId="3C5FEF03" w14:textId="1FC5C86A" w:rsidR="003255B1" w:rsidRPr="003255B1" w:rsidRDefault="003255B1" w:rsidP="003255B1">
      <w:pPr>
        <w:pStyle w:val="ListB1dotonly"/>
      </w:pPr>
      <w:r w:rsidRPr="003255B1">
        <w:t>scalable, with an increasing level of detail being required depending on where the project currently resides in the context of the department’s decision and evaluation frameworks</w:t>
      </w:r>
    </w:p>
    <w:p w14:paraId="4761172A" w14:textId="66A9A468" w:rsidR="003255B1" w:rsidRPr="003255B1" w:rsidRDefault="003255B1" w:rsidP="003255B1">
      <w:pPr>
        <w:pStyle w:val="ListB1dotonly"/>
      </w:pPr>
      <w:r w:rsidRPr="003255B1">
        <w:t xml:space="preserve">complete in its identification, quantification and/or assessment of the relevant project impacts (costs and benefits), such that it aligns with </w:t>
      </w:r>
      <w:proofErr w:type="gramStart"/>
      <w:r w:rsidRPr="003255B1">
        <w:t>other</w:t>
      </w:r>
      <w:proofErr w:type="gramEnd"/>
      <w:r w:rsidRPr="003255B1">
        <w:t xml:space="preserve"> project documentation</w:t>
      </w:r>
    </w:p>
    <w:p w14:paraId="72C26E43" w14:textId="67CD679F" w:rsidR="003255B1" w:rsidRPr="003255B1" w:rsidRDefault="003255B1" w:rsidP="003255B1">
      <w:pPr>
        <w:pStyle w:val="ListB1dotonly"/>
      </w:pPr>
      <w:r w:rsidRPr="003255B1">
        <w:t>well-documented, using a high degree of evidentiary rigour and transparency to summarise each aspect of the process</w:t>
      </w:r>
    </w:p>
    <w:p w14:paraId="280CEF89" w14:textId="6EB971A9" w:rsidR="003255B1" w:rsidRPr="003255B1" w:rsidRDefault="003255B1" w:rsidP="003255B1">
      <w:pPr>
        <w:pStyle w:val="ListB1dotonly"/>
      </w:pPr>
      <w:r w:rsidRPr="003255B1">
        <w:t>comparable and consistent with complementary and similar types of projects</w:t>
      </w:r>
      <w:r>
        <w:t>, and</w:t>
      </w:r>
    </w:p>
    <w:p w14:paraId="12B183B7" w14:textId="5B4A5DAC" w:rsidR="00991FE3" w:rsidRPr="003255B1" w:rsidRDefault="003255B1" w:rsidP="003255B1">
      <w:pPr>
        <w:pStyle w:val="ListB1dotonly"/>
      </w:pPr>
      <w:r w:rsidRPr="003255B1">
        <w:t>able to provide the reader of the CBA report with the confidence that the information contained therein has been gathered in a logical, consistent and rigorous manner in terms of its technical approach, analysis, inputs and parameters applied to a CBA</w:t>
      </w:r>
      <w:r>
        <w:t>.</w:t>
      </w:r>
    </w:p>
    <w:p w14:paraId="65EB815F" w14:textId="79918D4B" w:rsidR="00991FE3" w:rsidRDefault="003255B1" w:rsidP="003255B1">
      <w:pPr>
        <w:pStyle w:val="Heading2"/>
      </w:pPr>
      <w:bookmarkStart w:id="8" w:name="_Toc74817252"/>
      <w:r>
        <w:t>Scope</w:t>
      </w:r>
      <w:bookmarkEnd w:id="8"/>
    </w:p>
    <w:p w14:paraId="6314C94C" w14:textId="77777777" w:rsidR="003255B1" w:rsidRDefault="003255B1" w:rsidP="003255B1">
      <w:pPr>
        <w:pStyle w:val="BodyText"/>
      </w:pPr>
      <w:r>
        <w:t>The scope of this activity covers the work necessary to:</w:t>
      </w:r>
    </w:p>
    <w:p w14:paraId="2F7B5F39" w14:textId="5DD0CCF1" w:rsidR="003255B1" w:rsidRDefault="003255B1" w:rsidP="00BA0DE4">
      <w:pPr>
        <w:pStyle w:val="ListB1dotonly"/>
        <w:numPr>
          <w:ilvl w:val="0"/>
          <w:numId w:val="24"/>
        </w:numPr>
      </w:pPr>
      <w:r>
        <w:t>offer a rigorous approach in assessing the economic viability of investment proposals (calculation of the relevant decision criteria)</w:t>
      </w:r>
    </w:p>
    <w:p w14:paraId="2B00D5CA" w14:textId="45384832" w:rsidR="003255B1" w:rsidRDefault="003255B1" w:rsidP="00BA0DE4">
      <w:pPr>
        <w:pStyle w:val="ListB1dotonly"/>
        <w:numPr>
          <w:ilvl w:val="0"/>
          <w:numId w:val="24"/>
        </w:numPr>
      </w:pPr>
      <w:r>
        <w:lastRenderedPageBreak/>
        <w:t>assist in the establishment of a realistic base and project case for the economic analysis</w:t>
      </w:r>
    </w:p>
    <w:p w14:paraId="5A16762E" w14:textId="7109EF7D" w:rsidR="003255B1" w:rsidRDefault="003255B1" w:rsidP="00BA0DE4">
      <w:pPr>
        <w:pStyle w:val="ListB1dotonly"/>
        <w:numPr>
          <w:ilvl w:val="0"/>
          <w:numId w:val="24"/>
        </w:numPr>
      </w:pPr>
      <w:r>
        <w:t>quantify all relevant benefit and cost streams</w:t>
      </w:r>
    </w:p>
    <w:p w14:paraId="2AC0ADB6" w14:textId="54063852" w:rsidR="003255B1" w:rsidRDefault="003255B1" w:rsidP="00BA0DE4">
      <w:pPr>
        <w:pStyle w:val="ListB1dotonly"/>
        <w:numPr>
          <w:ilvl w:val="0"/>
          <w:numId w:val="24"/>
        </w:numPr>
      </w:pPr>
      <w:r>
        <w:t>enable expected costs and likely benefits of projects and alternative project options to be compared</w:t>
      </w:r>
    </w:p>
    <w:p w14:paraId="3CD4E148" w14:textId="06CF5FDF" w:rsidR="003255B1" w:rsidRDefault="003255B1" w:rsidP="00BA0DE4">
      <w:pPr>
        <w:pStyle w:val="ListB1dotonly"/>
        <w:numPr>
          <w:ilvl w:val="0"/>
          <w:numId w:val="24"/>
        </w:numPr>
      </w:pPr>
      <w:r>
        <w:t>allow for direct comparison between options, combinations of options, other projects and further development (if required)</w:t>
      </w:r>
    </w:p>
    <w:p w14:paraId="4DD3498B" w14:textId="25357045" w:rsidR="003255B1" w:rsidRDefault="003255B1" w:rsidP="00BA0DE4">
      <w:pPr>
        <w:pStyle w:val="ListB1dotonly"/>
        <w:numPr>
          <w:ilvl w:val="0"/>
          <w:numId w:val="24"/>
        </w:numPr>
      </w:pPr>
      <w:r>
        <w:t>sensitivity test uncertainty in the assumptions and parameters</w:t>
      </w:r>
    </w:p>
    <w:p w14:paraId="3DB930CA" w14:textId="3054421F" w:rsidR="003255B1" w:rsidRDefault="003255B1" w:rsidP="00BA0DE4">
      <w:pPr>
        <w:pStyle w:val="ListB1dotonly"/>
        <w:numPr>
          <w:ilvl w:val="0"/>
          <w:numId w:val="24"/>
        </w:numPr>
      </w:pPr>
      <w:r>
        <w:t>ensure that costs and benefits have been assessed based on a whole-of-system, whole-of-life and whole-of-state basis</w:t>
      </w:r>
    </w:p>
    <w:p w14:paraId="04918051" w14:textId="6C44C1D7" w:rsidR="003255B1" w:rsidRDefault="003255B1" w:rsidP="00BA0DE4">
      <w:pPr>
        <w:pStyle w:val="ListB1dotonly"/>
        <w:numPr>
          <w:ilvl w:val="0"/>
          <w:numId w:val="24"/>
        </w:numPr>
      </w:pPr>
      <w:r>
        <w:t>support the evaluation of various alternative options to achieve the project’s objectives</w:t>
      </w:r>
    </w:p>
    <w:p w14:paraId="5CF4491D" w14:textId="7482471E" w:rsidR="003255B1" w:rsidRDefault="003255B1" w:rsidP="00BA0DE4">
      <w:pPr>
        <w:pStyle w:val="ListB1dotonly"/>
        <w:numPr>
          <w:ilvl w:val="0"/>
          <w:numId w:val="24"/>
        </w:numPr>
      </w:pPr>
      <w:r>
        <w:t>provide evidence understood by decision makers to inform choices about the potential investment of funds across competing proposals</w:t>
      </w:r>
    </w:p>
    <w:p w14:paraId="22A5C563" w14:textId="058A7C15" w:rsidR="003255B1" w:rsidRDefault="003255B1" w:rsidP="00BA0DE4">
      <w:pPr>
        <w:pStyle w:val="ListB1dotonly"/>
        <w:numPr>
          <w:ilvl w:val="0"/>
          <w:numId w:val="24"/>
        </w:numPr>
      </w:pPr>
      <w:r>
        <w:t>ensure the analysis and data is fully transparent and justified to avoid the need for internal or external clarification or amendment, and clarify / rectify the analysis, where required</w:t>
      </w:r>
    </w:p>
    <w:p w14:paraId="4C92375D" w14:textId="215BAED6" w:rsidR="003255B1" w:rsidRDefault="003255B1" w:rsidP="00BA0DE4">
      <w:pPr>
        <w:pStyle w:val="ListB1dotonly"/>
        <w:numPr>
          <w:ilvl w:val="0"/>
          <w:numId w:val="24"/>
        </w:numPr>
      </w:pPr>
      <w:r>
        <w:t>produce all deliverables listed under Clause 4</w:t>
      </w:r>
      <w:r w:rsidR="00C93FDE">
        <w:t>, and</w:t>
      </w:r>
    </w:p>
    <w:p w14:paraId="2062C0CE" w14:textId="53C6DFE8" w:rsidR="003255B1" w:rsidRDefault="003255B1" w:rsidP="00BA0DE4">
      <w:pPr>
        <w:pStyle w:val="ListB1dotonly"/>
        <w:numPr>
          <w:ilvl w:val="0"/>
          <w:numId w:val="24"/>
        </w:numPr>
      </w:pPr>
      <w:r>
        <w:t>produce an analysis and supporting material, which includes use of 'best practice' approaches and parameters, and satisfy the department's expectations in terms of quality, content and objectives.</w:t>
      </w:r>
    </w:p>
    <w:p w14:paraId="078B6665" w14:textId="7B49A834" w:rsidR="003255B1" w:rsidRDefault="003255B1" w:rsidP="003255B1">
      <w:pPr>
        <w:pStyle w:val="Heading2"/>
      </w:pPr>
      <w:bookmarkStart w:id="9" w:name="_Toc74817253"/>
      <w:r>
        <w:t>General requirements</w:t>
      </w:r>
      <w:bookmarkEnd w:id="9"/>
    </w:p>
    <w:p w14:paraId="09E3F614" w14:textId="77777777" w:rsidR="003255B1" w:rsidRDefault="003255B1" w:rsidP="003255B1">
      <w:pPr>
        <w:pStyle w:val="BodyText"/>
      </w:pPr>
      <w:r>
        <w:t>The Economics Consultant is to:</w:t>
      </w:r>
    </w:p>
    <w:p w14:paraId="09641863" w14:textId="5E1D1024" w:rsidR="003255B1" w:rsidRDefault="003255B1" w:rsidP="00BA0DE4">
      <w:pPr>
        <w:pStyle w:val="ListB1dotonly"/>
        <w:numPr>
          <w:ilvl w:val="0"/>
          <w:numId w:val="26"/>
        </w:numPr>
      </w:pPr>
      <w:r>
        <w:t>be familiar with the relevant guidance and manuals as specified in Clause</w:t>
      </w:r>
      <w:r w:rsidR="00C93FDE">
        <w:t> </w:t>
      </w:r>
      <w:r>
        <w:t>2.4 of this Functional Specification</w:t>
      </w:r>
    </w:p>
    <w:p w14:paraId="60084D81" w14:textId="72C81AF5" w:rsidR="003255B1" w:rsidRDefault="003255B1" w:rsidP="00BA0DE4">
      <w:pPr>
        <w:pStyle w:val="ListB1dotonly"/>
        <w:numPr>
          <w:ilvl w:val="0"/>
          <w:numId w:val="25"/>
        </w:numPr>
      </w:pPr>
      <w:r>
        <w:t>review project background and supporting documentation (see Clause</w:t>
      </w:r>
      <w:r w:rsidR="00C93FDE">
        <w:t> </w:t>
      </w:r>
      <w:r>
        <w:t>3.1)</w:t>
      </w:r>
    </w:p>
    <w:p w14:paraId="399228E7" w14:textId="1DB686C4" w:rsidR="003255B1" w:rsidRDefault="003255B1" w:rsidP="00BA0DE4">
      <w:pPr>
        <w:pStyle w:val="ListB1dotonly"/>
        <w:numPr>
          <w:ilvl w:val="0"/>
          <w:numId w:val="25"/>
        </w:numPr>
      </w:pPr>
      <w:r>
        <w:t>identify gaps/limitations and recommend improvements to be made on past analysis (see requirements under Clause</w:t>
      </w:r>
      <w:r w:rsidR="00C93FDE">
        <w:t> </w:t>
      </w:r>
      <w:r>
        <w:t>3), including but not limited to consideration of:</w:t>
      </w:r>
    </w:p>
    <w:p w14:paraId="3737F3FE" w14:textId="7B22A284" w:rsidR="003255B1" w:rsidRDefault="003255B1" w:rsidP="00BA0DE4">
      <w:pPr>
        <w:pStyle w:val="ListB2dashonly"/>
        <w:numPr>
          <w:ilvl w:val="1"/>
          <w:numId w:val="25"/>
        </w:numPr>
      </w:pPr>
      <w:r>
        <w:t>scope (included/quantified costs or benefits)</w:t>
      </w:r>
    </w:p>
    <w:p w14:paraId="78983B73" w14:textId="71E6C54E" w:rsidR="003255B1" w:rsidRDefault="003255B1" w:rsidP="00BA0DE4">
      <w:pPr>
        <w:pStyle w:val="ListB2dashonly"/>
        <w:numPr>
          <w:ilvl w:val="1"/>
          <w:numId w:val="25"/>
        </w:numPr>
      </w:pPr>
      <w:r>
        <w:t>available data or modelling</w:t>
      </w:r>
    </w:p>
    <w:p w14:paraId="032DA55D" w14:textId="47785A77" w:rsidR="003255B1" w:rsidRDefault="003255B1" w:rsidP="00BA0DE4">
      <w:pPr>
        <w:pStyle w:val="ListB2dashonly"/>
        <w:numPr>
          <w:ilvl w:val="1"/>
          <w:numId w:val="25"/>
        </w:numPr>
      </w:pPr>
      <w:r>
        <w:t>base</w:t>
      </w:r>
      <w:r w:rsidR="00C93FDE">
        <w:t> </w:t>
      </w:r>
      <w:r>
        <w:t>/</w:t>
      </w:r>
      <w:r w:rsidR="00C93FDE">
        <w:t> </w:t>
      </w:r>
      <w:r>
        <w:t>project case(s) definition</w:t>
      </w:r>
    </w:p>
    <w:p w14:paraId="092D9A8F" w14:textId="1B4D0E39" w:rsidR="003255B1" w:rsidRDefault="003255B1" w:rsidP="00BA0DE4">
      <w:pPr>
        <w:pStyle w:val="ListB2dashonly"/>
        <w:numPr>
          <w:ilvl w:val="1"/>
          <w:numId w:val="25"/>
        </w:numPr>
      </w:pPr>
      <w:r>
        <w:t>parameters and/or applied methodologies</w:t>
      </w:r>
    </w:p>
    <w:p w14:paraId="358F1527" w14:textId="6F335095" w:rsidR="003255B1" w:rsidRDefault="003255B1" w:rsidP="00BA0DE4">
      <w:pPr>
        <w:pStyle w:val="ListB2dashonly"/>
        <w:numPr>
          <w:ilvl w:val="1"/>
          <w:numId w:val="25"/>
        </w:numPr>
      </w:pPr>
      <w:r>
        <w:t>risks or uncertainties in objectives, data, modelling or assumptions.</w:t>
      </w:r>
    </w:p>
    <w:p w14:paraId="4D2B424A" w14:textId="73E54EEF" w:rsidR="003255B1" w:rsidRDefault="003255B1" w:rsidP="00BA0DE4">
      <w:pPr>
        <w:pStyle w:val="ListB1dotonly"/>
        <w:numPr>
          <w:ilvl w:val="0"/>
          <w:numId w:val="25"/>
        </w:numPr>
      </w:pPr>
      <w:r>
        <w:t xml:space="preserve">recognise the iterative and overlapping nature of the relevant </w:t>
      </w:r>
      <w:r w:rsidR="00C93FDE">
        <w:fldChar w:fldCharType="begin">
          <w:ffData>
            <w:name w:val=""/>
            <w:enabled/>
            <w:calcOnExit w:val="0"/>
            <w:textInput>
              <w:default w:val="[insert project phase]"/>
            </w:textInput>
          </w:ffData>
        </w:fldChar>
      </w:r>
      <w:r w:rsidR="00C93FDE">
        <w:instrText xml:space="preserve"> FORMTEXT </w:instrText>
      </w:r>
      <w:r w:rsidR="00C93FDE">
        <w:fldChar w:fldCharType="separate"/>
      </w:r>
      <w:r w:rsidR="00C93FDE">
        <w:rPr>
          <w:noProof/>
        </w:rPr>
        <w:t>[insert project phase]</w:t>
      </w:r>
      <w:r w:rsidR="00C93FDE">
        <w:fldChar w:fldCharType="end"/>
      </w:r>
      <w:r w:rsidR="00C93FDE">
        <w:t xml:space="preserve"> </w:t>
      </w:r>
      <w:r>
        <w:t>work streams, and the importance of consistency between the economic analysis and other project components</w:t>
      </w:r>
    </w:p>
    <w:p w14:paraId="0F9AE63B" w14:textId="65DA92FE" w:rsidR="003255B1" w:rsidRDefault="003255B1" w:rsidP="00BA0DE4">
      <w:pPr>
        <w:pStyle w:val="ListB1dotonly"/>
        <w:numPr>
          <w:ilvl w:val="0"/>
          <w:numId w:val="25"/>
        </w:numPr>
      </w:pPr>
      <w:r>
        <w:t>understand the form, nature and timing of information required to undertake the CBA</w:t>
      </w:r>
    </w:p>
    <w:p w14:paraId="447F14A3" w14:textId="555B8D07" w:rsidR="003255B1" w:rsidRDefault="003255B1" w:rsidP="00BA0DE4">
      <w:pPr>
        <w:pStyle w:val="ListB1dotonly"/>
        <w:numPr>
          <w:ilvl w:val="0"/>
          <w:numId w:val="25"/>
        </w:numPr>
      </w:pPr>
      <w:r>
        <w:t>attend meetings and workshops, as required</w:t>
      </w:r>
    </w:p>
    <w:p w14:paraId="5A479BB0" w14:textId="599956AC" w:rsidR="003255B1" w:rsidRDefault="003255B1" w:rsidP="00BA0DE4">
      <w:pPr>
        <w:pStyle w:val="ListB1dotonly"/>
        <w:numPr>
          <w:ilvl w:val="0"/>
          <w:numId w:val="25"/>
        </w:numPr>
      </w:pPr>
      <w:r>
        <w:t>prepare inputs into briefing notes, correspondence and reports, as required and in the appropriate templates and format</w:t>
      </w:r>
      <w:r w:rsidR="00C93FDE">
        <w:t>, and</w:t>
      </w:r>
    </w:p>
    <w:p w14:paraId="082C8D0D" w14:textId="586DF8B3" w:rsidR="003255B1" w:rsidRDefault="003255B1" w:rsidP="00BA0DE4">
      <w:pPr>
        <w:pStyle w:val="ListB1dotonly"/>
        <w:numPr>
          <w:ilvl w:val="0"/>
          <w:numId w:val="25"/>
        </w:numPr>
      </w:pPr>
      <w:r>
        <w:lastRenderedPageBreak/>
        <w:t>provide adequate and thorough responses to all questions and concerns raised in the review process and make the recommended changes as per the department's preferences, as required.</w:t>
      </w:r>
    </w:p>
    <w:p w14:paraId="302BE498" w14:textId="01E04003" w:rsidR="003255B1" w:rsidRDefault="003255B1" w:rsidP="003255B1">
      <w:pPr>
        <w:pStyle w:val="Heading2"/>
      </w:pPr>
      <w:bookmarkStart w:id="10" w:name="_Toc74817254"/>
      <w:r>
        <w:t>Reference material</w:t>
      </w:r>
      <w:bookmarkEnd w:id="10"/>
    </w:p>
    <w:p w14:paraId="1EED6FE4" w14:textId="0734F827" w:rsidR="003255B1" w:rsidRDefault="003255B1" w:rsidP="003255B1">
      <w:pPr>
        <w:pStyle w:val="BodyText"/>
      </w:pPr>
      <w:r>
        <w:t xml:space="preserve">The Economics Consultant is to </w:t>
      </w:r>
      <w:r w:rsidRPr="00C93FDE">
        <w:rPr>
          <w:b/>
          <w:bCs/>
          <w:u w:val="single"/>
        </w:rPr>
        <w:t>reference the Australian Transport Assessment and Planning (ATAP) as the default guidance in the first instance</w:t>
      </w:r>
      <w:r>
        <w:t xml:space="preserve"> for all aspects of the appraisal process, parameters and approach, unless applying the exceptions (see Clause</w:t>
      </w:r>
      <w:r w:rsidR="00093838">
        <w:t> </w:t>
      </w:r>
      <w:r>
        <w:t>2.4.1 below) or the deviation has been discussed with and approved by the PEU Economics Team.</w:t>
      </w:r>
    </w:p>
    <w:p w14:paraId="15EA3B0C" w14:textId="2951385D" w:rsidR="003255B1" w:rsidRDefault="003255B1" w:rsidP="003255B1">
      <w:pPr>
        <w:pStyle w:val="BodyText"/>
      </w:pPr>
      <w:r>
        <w:t>The department encourages innovation and the development of new and improved methodologies, which enhance the quality and rigour of the analysis. Where improved methodologies or data have been identified, the Economics Consultant shall, in consultation with the department, use their professional judgement to make appropriate recommendation(s) to improve the analysis based on contemporary research and guidance. See Clause</w:t>
      </w:r>
      <w:r w:rsidR="00093838">
        <w:t> </w:t>
      </w:r>
      <w:r>
        <w:t>2.5 for identified gaps in current guidance and common clarifications for CBA.</w:t>
      </w:r>
    </w:p>
    <w:p w14:paraId="55E7FE32" w14:textId="1C7C8CAE" w:rsidR="003255B1" w:rsidRDefault="003255B1" w:rsidP="003255B1">
      <w:pPr>
        <w:pStyle w:val="BodyText"/>
      </w:pPr>
      <w:r>
        <w:t xml:space="preserve">The Economics Consultant </w:t>
      </w:r>
      <w:r w:rsidRPr="00093838">
        <w:rPr>
          <w:b/>
          <w:bCs/>
          <w:u w:val="single"/>
        </w:rPr>
        <w:t>shall not</w:t>
      </w:r>
      <w:r>
        <w:t xml:space="preserve"> apply parameters and approaches from the Transport and Main Roads (2011) </w:t>
      </w:r>
      <w:r w:rsidRPr="00093838">
        <w:rPr>
          <w:rStyle w:val="BodyTextitalic"/>
        </w:rPr>
        <w:t>Cost-benefit Analysis Manual Road projects</w:t>
      </w:r>
      <w:r>
        <w:t xml:space="preserve"> or parameters from the Transport for New South Wales (2017) </w:t>
      </w:r>
      <w:r w:rsidRPr="00093838">
        <w:rPr>
          <w:rStyle w:val="BodyTextitalic"/>
        </w:rPr>
        <w:t>Principles and Guidelines for Economic Appraisal of Transport Investment and Initiatives</w:t>
      </w:r>
      <w:r>
        <w:t xml:space="preserve"> without prior discussion and approval from Transport and Main Roads PEU Economics Team. See Clause</w:t>
      </w:r>
      <w:r w:rsidR="00093838">
        <w:t> </w:t>
      </w:r>
      <w:r>
        <w:t>2.4.1.</w:t>
      </w:r>
    </w:p>
    <w:p w14:paraId="400F9EE7" w14:textId="3AC9E567" w:rsidR="003255B1" w:rsidRDefault="003255B1" w:rsidP="003255B1">
      <w:pPr>
        <w:pStyle w:val="BodyText"/>
      </w:pPr>
      <w:r>
        <w:t xml:space="preserve">The department's current sources and preferences for </w:t>
      </w:r>
      <w:proofErr w:type="gramStart"/>
      <w:r>
        <w:t>particular parameters</w:t>
      </w:r>
      <w:proofErr w:type="gramEnd"/>
      <w:r>
        <w:t xml:space="preserve"> and methodologies are as shown below (note that these preferences are constantly changing due to feedback received from relevant stakeholders and updates</w:t>
      </w:r>
      <w:r w:rsidR="00093838">
        <w:t> </w:t>
      </w:r>
      <w:r>
        <w:t>/</w:t>
      </w:r>
      <w:r w:rsidR="00093838">
        <w:t> </w:t>
      </w:r>
      <w:r>
        <w:t>improvements to the associated research areas and guidance material).</w:t>
      </w:r>
    </w:p>
    <w:p w14:paraId="324FDC7C" w14:textId="0891AAA5" w:rsidR="003255B1" w:rsidRDefault="003255B1" w:rsidP="00093838">
      <w:pPr>
        <w:pStyle w:val="Heading3"/>
      </w:pPr>
      <w:bookmarkStart w:id="11" w:name="_Toc74817255"/>
      <w:r>
        <w:t>Exceptions</w:t>
      </w:r>
      <w:bookmarkEnd w:id="11"/>
    </w:p>
    <w:p w14:paraId="1FB60EB3" w14:textId="31BD4C47" w:rsidR="00991FE3" w:rsidRDefault="003255B1" w:rsidP="00093838">
      <w:pPr>
        <w:pStyle w:val="TableFigureCaption1Tables"/>
      </w:pPr>
      <w:r>
        <w:t xml:space="preserve">Table </w:t>
      </w:r>
      <w:r w:rsidR="000B4A17">
        <w:t>2.4.1</w:t>
      </w:r>
      <w:r w:rsidR="00093838">
        <w:t xml:space="preserve"> – </w:t>
      </w:r>
      <w:r>
        <w:t>Additions</w:t>
      </w:r>
      <w:r w:rsidR="00D84900">
        <w:t> </w:t>
      </w:r>
      <w:r>
        <w:t>/</w:t>
      </w:r>
      <w:r w:rsidR="00D84900">
        <w:t> </w:t>
      </w:r>
      <w:r>
        <w:t>exceptions to default guidance</w:t>
      </w:r>
    </w:p>
    <w:tbl>
      <w:tblPr>
        <w:tblStyle w:val="TableGrid"/>
        <w:tblW w:w="0" w:type="auto"/>
        <w:tblLayout w:type="fixed"/>
        <w:tblLook w:val="04A0" w:firstRow="1" w:lastRow="0" w:firstColumn="1" w:lastColumn="0" w:noHBand="0" w:noVBand="1"/>
      </w:tblPr>
      <w:tblGrid>
        <w:gridCol w:w="3114"/>
        <w:gridCol w:w="1276"/>
        <w:gridCol w:w="4670"/>
      </w:tblGrid>
      <w:tr w:rsidR="00531981" w14:paraId="60F57BA5" w14:textId="77777777" w:rsidTr="00167BFE">
        <w:trPr>
          <w:tblHeader/>
        </w:trPr>
        <w:tc>
          <w:tcPr>
            <w:tcW w:w="3114" w:type="dxa"/>
          </w:tcPr>
          <w:p w14:paraId="2D1BF678" w14:textId="4E4BDC0D" w:rsidR="00531981" w:rsidRDefault="00531981" w:rsidP="00F03541">
            <w:pPr>
              <w:pStyle w:val="TableHeading"/>
              <w:keepNext w:val="0"/>
              <w:keepLines w:val="0"/>
            </w:pPr>
            <w:r>
              <w:t>Reference</w:t>
            </w:r>
          </w:p>
        </w:tc>
        <w:tc>
          <w:tcPr>
            <w:tcW w:w="1276" w:type="dxa"/>
          </w:tcPr>
          <w:p w14:paraId="24CB2CD7" w14:textId="2D1D55DE" w:rsidR="00531981" w:rsidRDefault="00531981" w:rsidP="00F03541">
            <w:pPr>
              <w:pStyle w:val="TableHeading"/>
              <w:keepNext w:val="0"/>
              <w:keepLines w:val="0"/>
            </w:pPr>
            <w:r>
              <w:t>Appraisal aspect</w:t>
            </w:r>
          </w:p>
        </w:tc>
        <w:tc>
          <w:tcPr>
            <w:tcW w:w="4670" w:type="dxa"/>
          </w:tcPr>
          <w:p w14:paraId="21840661" w14:textId="11275610" w:rsidR="00531981" w:rsidRDefault="00531981" w:rsidP="00F03541">
            <w:pPr>
              <w:pStyle w:val="TableHeading"/>
              <w:keepNext w:val="0"/>
              <w:keepLines w:val="0"/>
            </w:pPr>
            <w:r>
              <w:t>Commentary</w:t>
            </w:r>
          </w:p>
        </w:tc>
      </w:tr>
      <w:tr w:rsidR="00531981" w14:paraId="3AFE307E" w14:textId="77777777" w:rsidTr="00F03541">
        <w:tc>
          <w:tcPr>
            <w:tcW w:w="3114" w:type="dxa"/>
            <w:vAlign w:val="top"/>
          </w:tcPr>
          <w:p w14:paraId="3C787CF1" w14:textId="43FD7918" w:rsidR="00531981" w:rsidRDefault="00531981" w:rsidP="007A58C2">
            <w:pPr>
              <w:pStyle w:val="TableBodyText"/>
              <w:keepNext w:val="0"/>
              <w:keepLines w:val="0"/>
              <w:numPr>
                <w:ilvl w:val="0"/>
                <w:numId w:val="11"/>
              </w:numPr>
            </w:pPr>
            <w:r>
              <w:t xml:space="preserve">(Default) Australian Transport and Infrastructure Council, Australian Transport Assessment and Planning (ATAP) Guidelines, </w:t>
            </w:r>
            <w:r w:rsidRPr="00EE0E46">
              <w:t>Tools and Techniques</w:t>
            </w:r>
            <w:r w:rsidR="00EE0E46">
              <w:t xml:space="preserve"> (</w:t>
            </w:r>
            <w:hyperlink r:id="rId24" w:history="1">
              <w:r w:rsidR="00EE0E46" w:rsidRPr="000D27E2">
                <w:rPr>
                  <w:rStyle w:val="Hyperlink"/>
                </w:rPr>
                <w:t>https://www.atap.gov.au/tools-techniques/index</w:t>
              </w:r>
            </w:hyperlink>
            <w:r w:rsidR="00EE0E46">
              <w:t>)</w:t>
            </w:r>
          </w:p>
          <w:p w14:paraId="755E0051" w14:textId="498F85EA" w:rsidR="00531981" w:rsidRPr="00541CA7" w:rsidRDefault="00531981" w:rsidP="007A58C2">
            <w:pPr>
              <w:pStyle w:val="TableBodyText"/>
              <w:keepNext w:val="0"/>
              <w:keepLines w:val="0"/>
              <w:numPr>
                <w:ilvl w:val="1"/>
                <w:numId w:val="11"/>
              </w:numPr>
              <w:rPr>
                <w:i/>
                <w:iCs/>
              </w:rPr>
            </w:pPr>
            <w:r w:rsidRPr="00EE0E46">
              <w:rPr>
                <w:i/>
                <w:iCs/>
              </w:rPr>
              <w:t>T2 Cost Be</w:t>
            </w:r>
            <w:r w:rsidRPr="00EE0E46">
              <w:rPr>
                <w:i/>
                <w:iCs/>
              </w:rPr>
              <w:t>n</w:t>
            </w:r>
            <w:r w:rsidRPr="00EE0E46">
              <w:rPr>
                <w:i/>
                <w:iCs/>
              </w:rPr>
              <w:t>efit Analysis</w:t>
            </w:r>
            <w:r w:rsidR="00EE0E46">
              <w:rPr>
                <w:i/>
                <w:iCs/>
              </w:rPr>
              <w:t xml:space="preserve"> </w:t>
            </w:r>
            <w:r w:rsidR="00EE0E46" w:rsidRPr="00EE0E46">
              <w:t>(</w:t>
            </w:r>
            <w:hyperlink r:id="rId25" w:history="1">
              <w:r w:rsidR="00EE0E46" w:rsidRPr="00EE0E46">
                <w:rPr>
                  <w:rStyle w:val="Hyperlink"/>
                </w:rPr>
                <w:t>https://www.atap.gov.au/tools-techniques/cost-benefit-analysis/index</w:t>
              </w:r>
            </w:hyperlink>
            <w:r w:rsidR="00EE0E46" w:rsidRPr="00EE0E46">
              <w:t>)</w:t>
            </w:r>
          </w:p>
          <w:p w14:paraId="323F0A4E" w14:textId="6834127B" w:rsidR="00531981" w:rsidRDefault="00531981" w:rsidP="00EE0E46">
            <w:pPr>
              <w:pStyle w:val="TableBodyText"/>
              <w:numPr>
                <w:ilvl w:val="0"/>
                <w:numId w:val="11"/>
              </w:numPr>
            </w:pPr>
            <w:r>
              <w:lastRenderedPageBreak/>
              <w:t>Alternative frameworks for CBAs include (not exhaustive):</w:t>
            </w:r>
          </w:p>
          <w:p w14:paraId="377B14F3" w14:textId="7054DB65" w:rsidR="00531981" w:rsidRDefault="00531981" w:rsidP="00EE0E46">
            <w:pPr>
              <w:pStyle w:val="TableBodyText"/>
              <w:numPr>
                <w:ilvl w:val="1"/>
                <w:numId w:val="11"/>
              </w:numPr>
            </w:pPr>
            <w:r>
              <w:t xml:space="preserve">Infrastructure Australia (2018). </w:t>
            </w:r>
            <w:r w:rsidRPr="00541CA7">
              <w:rPr>
                <w:i/>
                <w:iCs/>
              </w:rPr>
              <w:t>Assessment Framework: For initiatives and projects to be included in the Infrastructure Priority List ('the IAAF')</w:t>
            </w:r>
            <w:r w:rsidR="00056660">
              <w:t xml:space="preserve"> (</w:t>
            </w:r>
            <w:hyperlink r:id="rId26" w:history="1">
              <w:r w:rsidR="00056660" w:rsidRPr="00B84822">
                <w:rPr>
                  <w:rStyle w:val="Hyperlink"/>
                </w:rPr>
                <w:t>https://www.infrastructureaustralia.gov.au/publications/assessment-framework-initiatives-and-projects</w:t>
              </w:r>
            </w:hyperlink>
            <w:r w:rsidR="00056660">
              <w:t>)</w:t>
            </w:r>
          </w:p>
          <w:p w14:paraId="07DF741D" w14:textId="62AB7DEE" w:rsidR="00531981" w:rsidRDefault="00531981" w:rsidP="007A58C2">
            <w:pPr>
              <w:pStyle w:val="TableBodyText"/>
              <w:keepNext w:val="0"/>
              <w:keepLines w:val="0"/>
              <w:numPr>
                <w:ilvl w:val="1"/>
                <w:numId w:val="11"/>
              </w:numPr>
            </w:pPr>
            <w:r>
              <w:t xml:space="preserve">Building Queensland (2020). </w:t>
            </w:r>
            <w:r w:rsidRPr="00EE0E46">
              <w:rPr>
                <w:i/>
                <w:iCs/>
              </w:rPr>
              <w:t>Cost Benefit Analysis Guide</w:t>
            </w:r>
            <w:r w:rsidR="00056660">
              <w:t xml:space="preserve"> (</w:t>
            </w:r>
            <w:hyperlink r:id="rId27" w:history="1">
              <w:r w:rsidR="00056660" w:rsidRPr="00B84822">
                <w:rPr>
                  <w:rStyle w:val="Hyperlink"/>
                </w:rPr>
                <w:t>https://www.statedevelopment.qld.gov.au/industry/infrastructure</w:t>
              </w:r>
            </w:hyperlink>
            <w:r w:rsidR="00056660">
              <w:t>)</w:t>
            </w:r>
          </w:p>
          <w:p w14:paraId="449562ED" w14:textId="77D6FC97" w:rsidR="00531981" w:rsidRDefault="00531981" w:rsidP="007A58C2">
            <w:pPr>
              <w:pStyle w:val="TableBodyText"/>
              <w:keepNext w:val="0"/>
              <w:keepLines w:val="0"/>
              <w:numPr>
                <w:ilvl w:val="1"/>
                <w:numId w:val="11"/>
              </w:numPr>
            </w:pPr>
            <w:r>
              <w:t xml:space="preserve">Queensland Treasury (2015). </w:t>
            </w:r>
            <w:r w:rsidRPr="00EE0E46">
              <w:rPr>
                <w:i/>
                <w:iCs/>
              </w:rPr>
              <w:t>Project Assessment Framework Cost-benefit analysis</w:t>
            </w:r>
            <w:r w:rsidR="00056660">
              <w:t xml:space="preserve"> (</w:t>
            </w:r>
            <w:hyperlink r:id="rId28" w:history="1">
              <w:r w:rsidR="00056660" w:rsidRPr="00B84822">
                <w:rPr>
                  <w:rStyle w:val="Hyperlink"/>
                </w:rPr>
                <w:t>https://www.treasury.qld.gov.au/programs-and-policies/project-assessment-framework/</w:t>
              </w:r>
            </w:hyperlink>
            <w:r w:rsidR="00056660">
              <w:t>)</w:t>
            </w:r>
          </w:p>
        </w:tc>
        <w:tc>
          <w:tcPr>
            <w:tcW w:w="1276" w:type="dxa"/>
            <w:vAlign w:val="top"/>
          </w:tcPr>
          <w:p w14:paraId="3200ECD9" w14:textId="18569D15" w:rsidR="00531981" w:rsidRDefault="00E21B42" w:rsidP="00F03541">
            <w:pPr>
              <w:pStyle w:val="TableBodyText"/>
              <w:keepNext w:val="0"/>
              <w:keepLines w:val="0"/>
            </w:pPr>
            <w:r>
              <w:lastRenderedPageBreak/>
              <w:t>CBA framework</w:t>
            </w:r>
          </w:p>
        </w:tc>
        <w:tc>
          <w:tcPr>
            <w:tcW w:w="4670" w:type="dxa"/>
            <w:vAlign w:val="top"/>
          </w:tcPr>
          <w:p w14:paraId="15115543" w14:textId="77777777" w:rsidR="00E21B42" w:rsidRPr="00E21B42" w:rsidRDefault="00E21B42" w:rsidP="00F03541">
            <w:pPr>
              <w:pStyle w:val="TableBodyText"/>
              <w:keepNext w:val="0"/>
              <w:keepLines w:val="0"/>
            </w:pPr>
            <w:r w:rsidRPr="00E21B42">
              <w:t>In general, the CBA should follow the appraisal framework detailed in ATAP's T2 Cost Benefit Analysis guidance. Elements of other frameworks may be suitably incorporated into this framework, if appropriate. Transparency for the approach(es) used should be explicit within the CBA.</w:t>
            </w:r>
          </w:p>
          <w:p w14:paraId="5500A5C8" w14:textId="77777777" w:rsidR="00E21B42" w:rsidRPr="00E21B42" w:rsidRDefault="00E21B42" w:rsidP="00F03541">
            <w:pPr>
              <w:pStyle w:val="TableBodyText"/>
              <w:keepNext w:val="0"/>
              <w:keepLines w:val="0"/>
            </w:pPr>
          </w:p>
          <w:p w14:paraId="14E4DD93" w14:textId="77777777" w:rsidR="00E21B42" w:rsidRPr="00E21B42" w:rsidRDefault="00E21B42" w:rsidP="00F03541">
            <w:pPr>
              <w:pStyle w:val="TableBodyText"/>
              <w:keepNext w:val="0"/>
              <w:keepLines w:val="0"/>
            </w:pPr>
            <w:r w:rsidRPr="00E21B42">
              <w:t>These frameworks and tools include guidance on:</w:t>
            </w:r>
          </w:p>
          <w:p w14:paraId="2B1503CE" w14:textId="16CC847E" w:rsidR="00E21B42" w:rsidRPr="00E21B42" w:rsidRDefault="00E21B42" w:rsidP="00BA0DE4">
            <w:pPr>
              <w:pStyle w:val="TableBodyText"/>
              <w:keepNext w:val="0"/>
              <w:keepLines w:val="0"/>
              <w:numPr>
                <w:ilvl w:val="0"/>
                <w:numId w:val="34"/>
              </w:numPr>
            </w:pPr>
            <w:r w:rsidRPr="00E21B42">
              <w:t>theoretical foundations of transport economics</w:t>
            </w:r>
          </w:p>
          <w:p w14:paraId="603FC08A" w14:textId="3F038F9E" w:rsidR="00E21B42" w:rsidRPr="00E21B42" w:rsidRDefault="00E21B42" w:rsidP="00BA0DE4">
            <w:pPr>
              <w:pStyle w:val="TableBodyText"/>
              <w:keepNext w:val="0"/>
              <w:keepLines w:val="0"/>
              <w:numPr>
                <w:ilvl w:val="0"/>
                <w:numId w:val="34"/>
              </w:numPr>
            </w:pPr>
            <w:r w:rsidRPr="00E21B42">
              <w:t>steps in a CBA</w:t>
            </w:r>
          </w:p>
          <w:p w14:paraId="08CA4BA6" w14:textId="586E33F8" w:rsidR="00E21B42" w:rsidRPr="00E21B42" w:rsidRDefault="00E21B42" w:rsidP="00BA0DE4">
            <w:pPr>
              <w:pStyle w:val="TableBodyText"/>
              <w:keepNext w:val="0"/>
              <w:keepLines w:val="0"/>
              <w:numPr>
                <w:ilvl w:val="0"/>
                <w:numId w:val="34"/>
              </w:numPr>
            </w:pPr>
            <w:r w:rsidRPr="00E21B42">
              <w:t>base case definition (see IAAF for major projects)</w:t>
            </w:r>
          </w:p>
          <w:p w14:paraId="53C4C6CB" w14:textId="0C8F8B17" w:rsidR="00E21B42" w:rsidRPr="00E21B42" w:rsidRDefault="00E21B42" w:rsidP="00BA0DE4">
            <w:pPr>
              <w:pStyle w:val="TableBodyText"/>
              <w:keepNext w:val="0"/>
              <w:keepLines w:val="0"/>
              <w:numPr>
                <w:ilvl w:val="0"/>
                <w:numId w:val="34"/>
              </w:numPr>
            </w:pPr>
            <w:r w:rsidRPr="00E21B42">
              <w:t>demand forecasts</w:t>
            </w:r>
          </w:p>
          <w:p w14:paraId="3F0B2905" w14:textId="5ED33CB3" w:rsidR="00E21B42" w:rsidRPr="00E21B42" w:rsidRDefault="00E21B42" w:rsidP="00BA0DE4">
            <w:pPr>
              <w:pStyle w:val="TableBodyText"/>
              <w:keepNext w:val="0"/>
              <w:keepLines w:val="0"/>
              <w:numPr>
                <w:ilvl w:val="0"/>
                <w:numId w:val="34"/>
              </w:numPr>
            </w:pPr>
            <w:r w:rsidRPr="00E21B42">
              <w:t>inclusion and treatment of costs in CBA</w:t>
            </w:r>
          </w:p>
          <w:p w14:paraId="2A318567" w14:textId="0D5D8D8B" w:rsidR="00E21B42" w:rsidRPr="00E21B42" w:rsidRDefault="00E21B42" w:rsidP="00BA0DE4">
            <w:pPr>
              <w:pStyle w:val="TableBodyText"/>
              <w:keepNext w:val="0"/>
              <w:keepLines w:val="0"/>
              <w:numPr>
                <w:ilvl w:val="0"/>
                <w:numId w:val="34"/>
              </w:numPr>
            </w:pPr>
            <w:r w:rsidRPr="00E21B42">
              <w:t>estimation of user benefits (including induced and generated demand)</w:t>
            </w:r>
          </w:p>
          <w:p w14:paraId="48D77910" w14:textId="458DCB8D" w:rsidR="00E21B42" w:rsidRPr="00E21B42" w:rsidRDefault="00E21B42" w:rsidP="00BA0DE4">
            <w:pPr>
              <w:pStyle w:val="TableBodyText"/>
              <w:keepNext w:val="0"/>
              <w:keepLines w:val="0"/>
              <w:numPr>
                <w:ilvl w:val="0"/>
                <w:numId w:val="34"/>
              </w:numPr>
            </w:pPr>
            <w:r w:rsidRPr="00E21B42">
              <w:t>discounting and decision criteria</w:t>
            </w:r>
            <w:r>
              <w:t>, and</w:t>
            </w:r>
          </w:p>
          <w:p w14:paraId="688B16FF" w14:textId="313D8F16" w:rsidR="00531981" w:rsidRDefault="00E21B42" w:rsidP="00BA0DE4">
            <w:pPr>
              <w:pStyle w:val="TableBodyText"/>
              <w:keepNext w:val="0"/>
              <w:keepLines w:val="0"/>
              <w:numPr>
                <w:ilvl w:val="0"/>
                <w:numId w:val="34"/>
              </w:numPr>
            </w:pPr>
            <w:r w:rsidRPr="00E21B42">
              <w:t>sensitivity and scenario testing.</w:t>
            </w:r>
          </w:p>
        </w:tc>
      </w:tr>
      <w:tr w:rsidR="00531981" w14:paraId="3F0F27F9" w14:textId="77777777" w:rsidTr="00F03541">
        <w:tc>
          <w:tcPr>
            <w:tcW w:w="3114" w:type="dxa"/>
            <w:vAlign w:val="top"/>
          </w:tcPr>
          <w:p w14:paraId="44973547" w14:textId="19392C0F" w:rsidR="00531981" w:rsidRDefault="00541CA7" w:rsidP="00F03541">
            <w:pPr>
              <w:pStyle w:val="TableBodyText"/>
              <w:keepNext w:val="0"/>
              <w:keepLines w:val="0"/>
            </w:pPr>
            <w:r w:rsidRPr="00541CA7">
              <w:t xml:space="preserve">Austroads (2012). </w:t>
            </w:r>
            <w:r w:rsidRPr="00EE0E46">
              <w:rPr>
                <w:i/>
                <w:iCs/>
              </w:rPr>
              <w:t xml:space="preserve">Guide to Project Evaluation, Part 4: Project Evaluation </w:t>
            </w:r>
            <w:r w:rsidRPr="00EE0E46">
              <w:rPr>
                <w:i/>
                <w:iCs/>
              </w:rPr>
              <w:t>D</w:t>
            </w:r>
            <w:r w:rsidRPr="00EE0E46">
              <w:rPr>
                <w:i/>
                <w:iCs/>
              </w:rPr>
              <w:t>ata</w:t>
            </w:r>
            <w:r w:rsidRPr="00541CA7">
              <w:t xml:space="preserve"> (AGPE04)</w:t>
            </w:r>
            <w:r w:rsidR="00EE0E46">
              <w:t xml:space="preserve"> (</w:t>
            </w:r>
            <w:hyperlink r:id="rId29" w:history="1">
              <w:r w:rsidR="00EE0E46" w:rsidRPr="000D27E2">
                <w:rPr>
                  <w:rStyle w:val="Hyperlink"/>
                </w:rPr>
                <w:t>https://austroads.com.au/publications/economics-and-financing/agpe04-12</w:t>
              </w:r>
            </w:hyperlink>
            <w:r w:rsidR="00EE0E46">
              <w:t>)</w:t>
            </w:r>
          </w:p>
        </w:tc>
        <w:tc>
          <w:tcPr>
            <w:tcW w:w="1276" w:type="dxa"/>
            <w:vAlign w:val="top"/>
          </w:tcPr>
          <w:p w14:paraId="77E3C705" w14:textId="530E75CD" w:rsidR="00531981" w:rsidRDefault="00E21B42" w:rsidP="00F03541">
            <w:pPr>
              <w:pStyle w:val="TableBodyText"/>
              <w:keepNext w:val="0"/>
              <w:keepLines w:val="0"/>
            </w:pPr>
            <w:r>
              <w:t>Vehicle operating costs (VOC) model and coefficients</w:t>
            </w:r>
          </w:p>
        </w:tc>
        <w:tc>
          <w:tcPr>
            <w:tcW w:w="4670" w:type="dxa"/>
            <w:vAlign w:val="top"/>
          </w:tcPr>
          <w:p w14:paraId="25A9E7AB" w14:textId="77777777" w:rsidR="00E21B42" w:rsidRDefault="00E21B42" w:rsidP="00F03541">
            <w:pPr>
              <w:pStyle w:val="TableBodyText"/>
              <w:keepNext w:val="0"/>
              <w:keepLines w:val="0"/>
            </w:pPr>
            <w:r>
              <w:t>For projects subject to IA assessment or required to be compared to these types of projects, the VOC model and coefficients from Austroads (2012) must be applied or included as a sensitivity. Care should be taken to not double count freight-costs as these are an element of the Austroads (2012) VOC model.</w:t>
            </w:r>
          </w:p>
          <w:p w14:paraId="78571009" w14:textId="02296125" w:rsidR="00531981" w:rsidRDefault="00E21B42" w:rsidP="00F03541">
            <w:pPr>
              <w:pStyle w:val="TableBodyText"/>
              <w:keepNext w:val="0"/>
              <w:keepLines w:val="0"/>
            </w:pPr>
            <w:r>
              <w:t>If an alternative VOC model is applied, clear justification must be included in the economic analysis report (note that this does not negate the need to include Austroads (2012) VOC model as a sensitivity).</w:t>
            </w:r>
          </w:p>
        </w:tc>
      </w:tr>
      <w:tr w:rsidR="00531981" w14:paraId="77C0564E" w14:textId="77777777" w:rsidTr="00F03541">
        <w:tc>
          <w:tcPr>
            <w:tcW w:w="3114" w:type="dxa"/>
            <w:vAlign w:val="top"/>
          </w:tcPr>
          <w:p w14:paraId="437D5B4A" w14:textId="615191D0" w:rsidR="00531981" w:rsidRDefault="00633435" w:rsidP="00F03541">
            <w:pPr>
              <w:pStyle w:val="TableBodyText"/>
              <w:keepNext w:val="0"/>
              <w:keepLines w:val="0"/>
            </w:pPr>
            <w:r w:rsidRPr="00633435">
              <w:t>Transport for New South Wales (</w:t>
            </w:r>
            <w:proofErr w:type="spellStart"/>
            <w:r w:rsidRPr="00633435">
              <w:t>TfNSW</w:t>
            </w:r>
            <w:proofErr w:type="spellEnd"/>
            <w:r w:rsidRPr="00633435">
              <w:t xml:space="preserve">) (2020). </w:t>
            </w:r>
            <w:r w:rsidRPr="00633435">
              <w:rPr>
                <w:i/>
                <w:iCs/>
              </w:rPr>
              <w:t>Transport for NSW Technical Note on Calculating Road Vehicle Operating Costs</w:t>
            </w:r>
            <w:r w:rsidR="00056660">
              <w:rPr>
                <w:i/>
                <w:iCs/>
              </w:rPr>
              <w:t xml:space="preserve"> </w:t>
            </w:r>
            <w:r w:rsidR="00056660" w:rsidRPr="00056660">
              <w:t>(</w:t>
            </w:r>
            <w:hyperlink r:id="rId30" w:history="1">
              <w:r w:rsidR="00056660" w:rsidRPr="00056660">
                <w:rPr>
                  <w:rStyle w:val="Hyperlink"/>
                </w:rPr>
                <w:t>https://www.transport.nsw.gov.au/projects/project-delivery-requirements/evaluation-and-assurance/technical-guidance</w:t>
              </w:r>
            </w:hyperlink>
            <w:r w:rsidR="00056660" w:rsidRPr="00056660">
              <w:t xml:space="preserve">) </w:t>
            </w:r>
          </w:p>
        </w:tc>
        <w:tc>
          <w:tcPr>
            <w:tcW w:w="1276" w:type="dxa"/>
            <w:vAlign w:val="top"/>
          </w:tcPr>
          <w:p w14:paraId="3B240BF0" w14:textId="46EA78E2" w:rsidR="00531981" w:rsidRDefault="00E21B42" w:rsidP="00F03541">
            <w:pPr>
              <w:pStyle w:val="TableBodyText"/>
              <w:keepNext w:val="0"/>
              <w:keepLines w:val="0"/>
            </w:pPr>
            <w:r>
              <w:t>Relevant VOC approach / additional guidance</w:t>
            </w:r>
          </w:p>
        </w:tc>
        <w:tc>
          <w:tcPr>
            <w:tcW w:w="4670" w:type="dxa"/>
            <w:vAlign w:val="top"/>
          </w:tcPr>
          <w:p w14:paraId="448288D7" w14:textId="046A68BB" w:rsidR="00E21B42" w:rsidRDefault="00E21B42" w:rsidP="00F03541">
            <w:pPr>
              <w:pStyle w:val="TableBodyText"/>
              <w:keepNext w:val="0"/>
              <w:keepLines w:val="0"/>
            </w:pPr>
            <w:r>
              <w:t>Contains supporting guidance in the application of VOC modelling for varying analytical effort. The approach to the application of the VOC modelling in the CBA should be described in the economic analysis report.</w:t>
            </w:r>
          </w:p>
          <w:p w14:paraId="70EAB8CC" w14:textId="203BE724" w:rsidR="00531981" w:rsidRDefault="00E21B42" w:rsidP="00F03541">
            <w:pPr>
              <w:pStyle w:val="TableBodyText"/>
              <w:keepNext w:val="0"/>
              <w:keepLines w:val="0"/>
            </w:pPr>
            <w:r>
              <w:t>Where induced</w:t>
            </w:r>
            <w:r w:rsidR="00C12D60">
              <w:t> </w:t>
            </w:r>
            <w:r>
              <w:t>/</w:t>
            </w:r>
            <w:r w:rsidR="00C12D60">
              <w:t> </w:t>
            </w:r>
            <w:r>
              <w:t>generated demand is being modelled and resource corrections are required, the approach must be discussed with the department.</w:t>
            </w:r>
          </w:p>
        </w:tc>
      </w:tr>
      <w:tr w:rsidR="00531981" w14:paraId="45B71461" w14:textId="77777777" w:rsidTr="00F03541">
        <w:tc>
          <w:tcPr>
            <w:tcW w:w="3114" w:type="dxa"/>
            <w:vAlign w:val="top"/>
          </w:tcPr>
          <w:p w14:paraId="0C6709C9" w14:textId="55E66D64" w:rsidR="00633435" w:rsidRPr="00D22A7D" w:rsidRDefault="00633435" w:rsidP="00D22A7D">
            <w:pPr>
              <w:pStyle w:val="TableBodyText"/>
              <w:numPr>
                <w:ilvl w:val="0"/>
                <w:numId w:val="35"/>
              </w:numPr>
            </w:pPr>
            <w:r>
              <w:lastRenderedPageBreak/>
              <w:t xml:space="preserve">United Kingdom Department for Transport (2017). </w:t>
            </w:r>
            <w:r w:rsidRPr="00D22A7D">
              <w:rPr>
                <w:i/>
                <w:iCs/>
              </w:rPr>
              <w:t>TAG Unit A1.3 User and Provider Impacts</w:t>
            </w:r>
            <w:r w:rsidR="00D22A7D">
              <w:rPr>
                <w:i/>
                <w:iCs/>
              </w:rPr>
              <w:t xml:space="preserve"> </w:t>
            </w:r>
            <w:r w:rsidR="00D22A7D" w:rsidRPr="00D22A7D">
              <w:t>(</w:t>
            </w:r>
            <w:hyperlink r:id="rId31" w:history="1">
              <w:r w:rsidR="00D22A7D" w:rsidRPr="00D22A7D">
                <w:rPr>
                  <w:rStyle w:val="Hyperlink"/>
                </w:rPr>
                <w:t>https://www.gov.uk/government/publications/webtag-tag-unit-a1-3-user-and-provider-impacts-march-2017</w:t>
              </w:r>
            </w:hyperlink>
            <w:r w:rsidR="00D22A7D" w:rsidRPr="00D22A7D">
              <w:t>)</w:t>
            </w:r>
          </w:p>
          <w:p w14:paraId="67EF24AE" w14:textId="355F538A" w:rsidR="00633435" w:rsidRDefault="00633435" w:rsidP="00BA0DE4">
            <w:pPr>
              <w:pStyle w:val="TableBodyText"/>
              <w:keepNext w:val="0"/>
              <w:keepLines w:val="0"/>
              <w:numPr>
                <w:ilvl w:val="0"/>
                <w:numId w:val="35"/>
              </w:numPr>
            </w:pPr>
            <w:r>
              <w:t xml:space="preserve">New Zealand Transport Agency (2018). </w:t>
            </w:r>
            <w:r w:rsidRPr="007341AB">
              <w:rPr>
                <w:i/>
                <w:iCs/>
              </w:rPr>
              <w:t>Economic Evaluation Manual</w:t>
            </w:r>
            <w:r w:rsidR="007341AB">
              <w:rPr>
                <w:rStyle w:val="Hyperlink"/>
                <w:i/>
                <w:iCs/>
              </w:rPr>
              <w:t xml:space="preserve"> </w:t>
            </w:r>
            <w:r w:rsidR="007341AB" w:rsidRPr="007341AB">
              <w:rPr>
                <w:rStyle w:val="Hyperlink"/>
              </w:rPr>
              <w:t>(</w:t>
            </w:r>
            <w:hyperlink r:id="rId32" w:history="1">
              <w:r w:rsidR="007341AB" w:rsidRPr="007341AB">
                <w:rPr>
                  <w:rStyle w:val="Hyperlink"/>
                </w:rPr>
                <w:t>https://www.nzta.govt.nz/resources/economic-evaluation-manual</w:t>
              </w:r>
            </w:hyperlink>
            <w:r w:rsidR="007341AB" w:rsidRPr="007341AB">
              <w:rPr>
                <w:rStyle w:val="Hyperlink"/>
              </w:rPr>
              <w:t>)</w:t>
            </w:r>
          </w:p>
          <w:p w14:paraId="28BBD344" w14:textId="2BC1A187" w:rsidR="00531981" w:rsidRDefault="00633435" w:rsidP="00BA0DE4">
            <w:pPr>
              <w:pStyle w:val="TableBodyText"/>
              <w:keepNext w:val="0"/>
              <w:keepLines w:val="0"/>
              <w:numPr>
                <w:ilvl w:val="0"/>
                <w:numId w:val="35"/>
              </w:numPr>
            </w:pPr>
            <w:r>
              <w:t xml:space="preserve">New Zealand Transport Agency (2020). </w:t>
            </w:r>
            <w:r w:rsidRPr="007341AB">
              <w:rPr>
                <w:i/>
                <w:iCs/>
              </w:rPr>
              <w:t>Mon</w:t>
            </w:r>
            <w:r w:rsidRPr="007341AB">
              <w:rPr>
                <w:i/>
                <w:iCs/>
              </w:rPr>
              <w:t>e</w:t>
            </w:r>
            <w:r w:rsidRPr="007341AB">
              <w:rPr>
                <w:i/>
                <w:iCs/>
              </w:rPr>
              <w:t>tised benefits and costs manual</w:t>
            </w:r>
            <w:r w:rsidR="007341AB">
              <w:rPr>
                <w:rStyle w:val="Hyperlink"/>
                <w:i/>
                <w:iCs/>
              </w:rPr>
              <w:t xml:space="preserve"> </w:t>
            </w:r>
            <w:r w:rsidR="007341AB" w:rsidRPr="007341AB">
              <w:rPr>
                <w:rStyle w:val="Hyperlink"/>
              </w:rPr>
              <w:t>(</w:t>
            </w:r>
            <w:hyperlink r:id="rId33" w:history="1">
              <w:r w:rsidR="007341AB" w:rsidRPr="007341AB">
                <w:rPr>
                  <w:rStyle w:val="Hyperlink"/>
                </w:rPr>
                <w:t>https://www.nzta.govt.nz/resources/monetised-benefits-and-costs-manual/</w:t>
              </w:r>
            </w:hyperlink>
            <w:r w:rsidR="007341AB" w:rsidRPr="007341AB">
              <w:rPr>
                <w:rStyle w:val="Hyperlink"/>
              </w:rPr>
              <w:t>)</w:t>
            </w:r>
          </w:p>
        </w:tc>
        <w:tc>
          <w:tcPr>
            <w:tcW w:w="1276" w:type="dxa"/>
            <w:vAlign w:val="top"/>
          </w:tcPr>
          <w:p w14:paraId="48A4A4F4" w14:textId="745105E1" w:rsidR="00531981" w:rsidRDefault="00E21B42" w:rsidP="00F03541">
            <w:pPr>
              <w:pStyle w:val="TableBodyText"/>
              <w:keepNext w:val="0"/>
              <w:keepLines w:val="0"/>
            </w:pPr>
            <w:r>
              <w:t>Travel time reliability</w:t>
            </w:r>
          </w:p>
        </w:tc>
        <w:tc>
          <w:tcPr>
            <w:tcW w:w="4670" w:type="dxa"/>
            <w:vAlign w:val="top"/>
          </w:tcPr>
          <w:p w14:paraId="3B692F02" w14:textId="15350D65" w:rsidR="00C12D60" w:rsidRDefault="00C12D60" w:rsidP="00F03541">
            <w:pPr>
              <w:pStyle w:val="TableBodyText"/>
              <w:keepNext w:val="0"/>
              <w:keepLines w:val="0"/>
            </w:pPr>
            <w:r>
              <w:t>Methodologies from either source can be used to quantify travel time reliability for road users. Note that the reliability ratio should be based on project-specific travel behaviour / purpose or based on contemporary Australian guidance – for example, N. Douglas and J. Legaspi (2018) Estimating the value of private car travel time and reliability for NSW, which recommends 0.43.</w:t>
            </w:r>
          </w:p>
          <w:p w14:paraId="6F5908E4" w14:textId="4D3D4242" w:rsidR="00531981" w:rsidRDefault="00C12D60" w:rsidP="00F03541">
            <w:pPr>
              <w:pStyle w:val="TableBodyText"/>
              <w:keepNext w:val="0"/>
              <w:keepLines w:val="0"/>
            </w:pPr>
            <w:r>
              <w:t>The choice of reliability ratio should be confirmed with the PEU Economics Team through the proposed methodology paper.</w:t>
            </w:r>
          </w:p>
        </w:tc>
      </w:tr>
      <w:tr w:rsidR="00531981" w14:paraId="530E8513" w14:textId="77777777" w:rsidTr="00F03541">
        <w:tc>
          <w:tcPr>
            <w:tcW w:w="3114" w:type="dxa"/>
            <w:vAlign w:val="top"/>
          </w:tcPr>
          <w:p w14:paraId="1B95A954" w14:textId="347B0E35" w:rsidR="00531981" w:rsidRDefault="00633435" w:rsidP="00F03541">
            <w:pPr>
              <w:pStyle w:val="TableBodyText"/>
              <w:keepNext w:val="0"/>
              <w:keepLines w:val="0"/>
            </w:pPr>
            <w:r w:rsidRPr="00633435">
              <w:t xml:space="preserve">Austroads (2020). </w:t>
            </w:r>
            <w:r w:rsidRPr="0053294F">
              <w:rPr>
                <w:i/>
                <w:iCs/>
              </w:rPr>
              <w:t>Guide to Traffic Management Part 3: Traffic Studies and Analysis (AGTM03-20)</w:t>
            </w:r>
            <w:r w:rsidR="0053294F" w:rsidRPr="0053294F">
              <w:rPr>
                <w:rStyle w:val="Hyperlink"/>
                <w:i/>
                <w:iCs/>
              </w:rPr>
              <w:t xml:space="preserve"> </w:t>
            </w:r>
            <w:r w:rsidR="0053294F" w:rsidRPr="0053294F">
              <w:rPr>
                <w:rStyle w:val="Hyperlink"/>
              </w:rPr>
              <w:t>(</w:t>
            </w:r>
            <w:hyperlink r:id="rId34" w:history="1">
              <w:r w:rsidR="0053294F" w:rsidRPr="0053294F">
                <w:rPr>
                  <w:rStyle w:val="Hyperlink"/>
                </w:rPr>
                <w:t>https://austroads.com.au/publications/traffic-management/agtm03</w:t>
              </w:r>
            </w:hyperlink>
            <w:r w:rsidR="0053294F" w:rsidRPr="0053294F">
              <w:rPr>
                <w:rStyle w:val="Hyperlink"/>
              </w:rPr>
              <w:t>)</w:t>
            </w:r>
          </w:p>
        </w:tc>
        <w:tc>
          <w:tcPr>
            <w:tcW w:w="1276" w:type="dxa"/>
            <w:vAlign w:val="top"/>
          </w:tcPr>
          <w:p w14:paraId="578DB80E" w14:textId="15558B5D" w:rsidR="00531981" w:rsidRDefault="00E21B42" w:rsidP="00F03541">
            <w:pPr>
              <w:pStyle w:val="TableBodyText"/>
              <w:keepNext w:val="0"/>
              <w:keepLines w:val="0"/>
            </w:pPr>
            <w:r>
              <w:t>Treatment of latent demand</w:t>
            </w:r>
          </w:p>
        </w:tc>
        <w:tc>
          <w:tcPr>
            <w:tcW w:w="4670" w:type="dxa"/>
            <w:vAlign w:val="top"/>
          </w:tcPr>
          <w:p w14:paraId="72DAE84B" w14:textId="469F712A" w:rsidR="00531981" w:rsidRDefault="00C12D60" w:rsidP="00F03541">
            <w:pPr>
              <w:pStyle w:val="TableBodyText"/>
              <w:keepNext w:val="0"/>
              <w:keepLines w:val="0"/>
            </w:pPr>
            <w:r w:rsidRPr="009F0EBB">
              <w:t>Specific guidance for manual adjustment of latent demand for input into the economics.</w:t>
            </w:r>
          </w:p>
        </w:tc>
      </w:tr>
      <w:tr w:rsidR="00531981" w14:paraId="5C3AB1F6" w14:textId="77777777" w:rsidTr="00F03541">
        <w:tc>
          <w:tcPr>
            <w:tcW w:w="3114" w:type="dxa"/>
            <w:vAlign w:val="top"/>
          </w:tcPr>
          <w:p w14:paraId="6F13FF3E" w14:textId="276A0D14" w:rsidR="00531981" w:rsidRDefault="00633435" w:rsidP="0053294F">
            <w:pPr>
              <w:pStyle w:val="TableBodyText"/>
              <w:keepNext w:val="0"/>
              <w:keepLines w:val="0"/>
              <w:widowControl w:val="0"/>
            </w:pPr>
            <w:proofErr w:type="spellStart"/>
            <w:r w:rsidRPr="00633435">
              <w:t>TfNSW</w:t>
            </w:r>
            <w:proofErr w:type="spellEnd"/>
            <w:r w:rsidRPr="00633435">
              <w:t xml:space="preserve"> (201</w:t>
            </w:r>
            <w:r w:rsidR="00056660">
              <w:t>8</w:t>
            </w:r>
            <w:r w:rsidRPr="00633435">
              <w:t xml:space="preserve">). </w:t>
            </w:r>
            <w:r w:rsidRPr="00360682">
              <w:rPr>
                <w:i/>
                <w:iCs/>
              </w:rPr>
              <w:t>Principles and Guidelines for Economic Appraisal of Transport Investment and Initiatives</w:t>
            </w:r>
            <w:r w:rsidR="00056660">
              <w:rPr>
                <w:i/>
                <w:iCs/>
              </w:rPr>
              <w:t xml:space="preserve"> </w:t>
            </w:r>
            <w:r w:rsidR="00056660" w:rsidRPr="00056660">
              <w:t>(</w:t>
            </w:r>
            <w:hyperlink r:id="rId35" w:history="1">
              <w:r w:rsidR="00056660" w:rsidRPr="00056660">
                <w:rPr>
                  <w:rStyle w:val="Hyperlink"/>
                </w:rPr>
                <w:t>https://www.transport.nsw.gov.au/projects/project-delivery-requirements/evaluation-and-assurance/resources</w:t>
              </w:r>
            </w:hyperlink>
            <w:r w:rsidR="00056660" w:rsidRPr="00056660">
              <w:t>)</w:t>
            </w:r>
          </w:p>
        </w:tc>
        <w:tc>
          <w:tcPr>
            <w:tcW w:w="1276" w:type="dxa"/>
            <w:vAlign w:val="top"/>
          </w:tcPr>
          <w:p w14:paraId="6D33E974" w14:textId="2ED81EBE" w:rsidR="00531981" w:rsidRDefault="00E21B42" w:rsidP="0053294F">
            <w:pPr>
              <w:pStyle w:val="TableBodyText"/>
              <w:keepNext w:val="0"/>
              <w:keepLines w:val="0"/>
              <w:widowControl w:val="0"/>
            </w:pPr>
            <w:r>
              <w:t>Expansion factors</w:t>
            </w:r>
          </w:p>
        </w:tc>
        <w:tc>
          <w:tcPr>
            <w:tcW w:w="4670" w:type="dxa"/>
            <w:vAlign w:val="top"/>
          </w:tcPr>
          <w:p w14:paraId="7B8FF1C3" w14:textId="0B708F99" w:rsidR="00531981" w:rsidRDefault="00C12D60" w:rsidP="0053294F">
            <w:pPr>
              <w:pStyle w:val="TableBodyText"/>
              <w:keepNext w:val="0"/>
              <w:keepLines w:val="0"/>
              <w:widowControl w:val="0"/>
            </w:pPr>
            <w:r w:rsidRPr="00C12D60">
              <w:t xml:space="preserve">An expansion factor may be applied in a sensitivity where the transport modelling inputs are not available for the entire day. In the first instance, the volume expansion should be based on project- specific observations. The relationship between volume and cost can then be determined from the </w:t>
            </w:r>
            <w:proofErr w:type="spellStart"/>
            <w:r w:rsidRPr="00C12D60">
              <w:t>TfNSW</w:t>
            </w:r>
            <w:proofErr w:type="spellEnd"/>
            <w:r w:rsidRPr="00C12D60">
              <w:t xml:space="preserve"> guidance. The </w:t>
            </w:r>
            <w:proofErr w:type="spellStart"/>
            <w:r w:rsidRPr="00C12D60">
              <w:t>TfNSW</w:t>
            </w:r>
            <w:proofErr w:type="spellEnd"/>
            <w:r w:rsidRPr="00C12D60">
              <w:t xml:space="preserve"> volume and cost expansion factors should also be applied to ensure consistency in the application of the relationship between volume and cost expansions.</w:t>
            </w:r>
          </w:p>
        </w:tc>
      </w:tr>
      <w:tr w:rsidR="00531981" w14:paraId="73C943FD" w14:textId="77777777" w:rsidTr="00F03541">
        <w:tc>
          <w:tcPr>
            <w:tcW w:w="3114" w:type="dxa"/>
            <w:vAlign w:val="top"/>
          </w:tcPr>
          <w:p w14:paraId="38BD674B" w14:textId="5E6526E8" w:rsidR="00633435" w:rsidRPr="0053294F" w:rsidRDefault="00633435" w:rsidP="00BA0DE4">
            <w:pPr>
              <w:pStyle w:val="TableBodyText"/>
              <w:keepLines w:val="0"/>
              <w:numPr>
                <w:ilvl w:val="0"/>
                <w:numId w:val="36"/>
              </w:numPr>
            </w:pPr>
            <w:r>
              <w:lastRenderedPageBreak/>
              <w:t xml:space="preserve">Austroads (2015). </w:t>
            </w:r>
            <w:r w:rsidRPr="0053294F">
              <w:rPr>
                <w:i/>
                <w:iCs/>
              </w:rPr>
              <w:t>Guide to Road Safety, Part 8: Treatm</w:t>
            </w:r>
            <w:r w:rsidRPr="0053294F">
              <w:rPr>
                <w:i/>
                <w:iCs/>
              </w:rPr>
              <w:t>e</w:t>
            </w:r>
            <w:r w:rsidRPr="0053294F">
              <w:rPr>
                <w:i/>
                <w:iCs/>
              </w:rPr>
              <w:t>nt of Crash Locations (AGRS08)</w:t>
            </w:r>
            <w:r w:rsidR="0053294F">
              <w:rPr>
                <w:rStyle w:val="Hyperlink"/>
                <w:i/>
                <w:iCs/>
              </w:rPr>
              <w:t xml:space="preserve"> </w:t>
            </w:r>
            <w:r w:rsidR="0053294F" w:rsidRPr="0053294F">
              <w:rPr>
                <w:rStyle w:val="Hyperlink"/>
              </w:rPr>
              <w:t>(</w:t>
            </w:r>
            <w:r w:rsidR="0053294F" w:rsidRPr="0053294F">
              <w:rPr>
                <w:rStyle w:val="Hyperlink"/>
              </w:rPr>
              <w:t>https://austroads.com.au/publications/road-safety/agrs08</w:t>
            </w:r>
            <w:r w:rsidR="0053294F" w:rsidRPr="0053294F">
              <w:rPr>
                <w:rStyle w:val="Hyperlink"/>
              </w:rPr>
              <w:t>)</w:t>
            </w:r>
          </w:p>
          <w:p w14:paraId="55307F9D" w14:textId="1EBE9FCB" w:rsidR="00633435" w:rsidRDefault="00633435" w:rsidP="00BA0DE4">
            <w:pPr>
              <w:pStyle w:val="TableBodyText"/>
              <w:keepLines w:val="0"/>
              <w:numPr>
                <w:ilvl w:val="0"/>
                <w:numId w:val="36"/>
              </w:numPr>
            </w:pPr>
            <w:r>
              <w:t xml:space="preserve">Guidance referenced in ATAP (various) </w:t>
            </w:r>
          </w:p>
          <w:p w14:paraId="52CA0867" w14:textId="205BD1E5" w:rsidR="00531981" w:rsidRDefault="00633435" w:rsidP="00BA0DE4">
            <w:pPr>
              <w:pStyle w:val="TableBodyText"/>
              <w:keepLines w:val="0"/>
              <w:numPr>
                <w:ilvl w:val="1"/>
                <w:numId w:val="36"/>
              </w:numPr>
            </w:pPr>
            <w:r>
              <w:t xml:space="preserve">For example, </w:t>
            </w:r>
            <w:r w:rsidRPr="00360682">
              <w:rPr>
                <w:i/>
                <w:iCs/>
              </w:rPr>
              <w:t xml:space="preserve">Austroads (2010). </w:t>
            </w:r>
            <w:r w:rsidRPr="0053294F">
              <w:rPr>
                <w:i/>
                <w:iCs/>
              </w:rPr>
              <w:t>Road Safety Engineering Risk Assessment – Part 7: Crash Rat</w:t>
            </w:r>
            <w:r w:rsidRPr="0053294F">
              <w:rPr>
                <w:i/>
                <w:iCs/>
              </w:rPr>
              <w:t>e</w:t>
            </w:r>
            <w:r w:rsidRPr="0053294F">
              <w:rPr>
                <w:i/>
                <w:iCs/>
              </w:rPr>
              <w:t>s Database (AP-T152-10)</w:t>
            </w:r>
            <w:r w:rsidR="0053294F">
              <w:rPr>
                <w:rStyle w:val="Hyperlink"/>
                <w:i/>
                <w:iCs/>
              </w:rPr>
              <w:t xml:space="preserve"> </w:t>
            </w:r>
            <w:r w:rsidR="0053294F" w:rsidRPr="0053294F">
              <w:rPr>
                <w:rStyle w:val="Hyperlink"/>
              </w:rPr>
              <w:t>(</w:t>
            </w:r>
            <w:hyperlink r:id="rId36" w:history="1">
              <w:r w:rsidR="0053294F" w:rsidRPr="0053294F">
                <w:rPr>
                  <w:rStyle w:val="Hyperlink"/>
                </w:rPr>
                <w:t>https://austroads.com.au/publications/road-safety/ap-t152-10</w:t>
              </w:r>
            </w:hyperlink>
            <w:r w:rsidR="0053294F" w:rsidRPr="0053294F">
              <w:rPr>
                <w:rStyle w:val="Hyperlink"/>
              </w:rPr>
              <w:t>)</w:t>
            </w:r>
          </w:p>
        </w:tc>
        <w:tc>
          <w:tcPr>
            <w:tcW w:w="1276" w:type="dxa"/>
            <w:vAlign w:val="top"/>
          </w:tcPr>
          <w:p w14:paraId="2BB12FAF" w14:textId="24C335FE" w:rsidR="00531981" w:rsidRDefault="00E21B42" w:rsidP="00F03541">
            <w:pPr>
              <w:pStyle w:val="TableBodyText"/>
              <w:keepLines w:val="0"/>
            </w:pPr>
            <w:r>
              <w:t>Safety analysis</w:t>
            </w:r>
          </w:p>
        </w:tc>
        <w:tc>
          <w:tcPr>
            <w:tcW w:w="4670" w:type="dxa"/>
            <w:vAlign w:val="top"/>
          </w:tcPr>
          <w:p w14:paraId="477F255D" w14:textId="70984570" w:rsidR="00531981" w:rsidRDefault="00C12D60" w:rsidP="00F03541">
            <w:pPr>
              <w:pStyle w:val="TableBodyText"/>
              <w:keepLines w:val="0"/>
            </w:pPr>
            <w:r w:rsidRPr="00C12D60">
              <w:t>The approach chosen to conduct safety analysis may vary based on the project scope and objectives. Where combining multiple safety treatments, guidance from Austroads (2015) may assist. In all other aspects, the guidance referenced in ATAP or provided by the department (if requested) should be used as default.</w:t>
            </w:r>
          </w:p>
        </w:tc>
      </w:tr>
      <w:tr w:rsidR="00633435" w14:paraId="05E7ECE1" w14:textId="77777777" w:rsidTr="00F03541">
        <w:tc>
          <w:tcPr>
            <w:tcW w:w="3114" w:type="dxa"/>
            <w:vAlign w:val="top"/>
          </w:tcPr>
          <w:p w14:paraId="4A449BF7" w14:textId="3A229A48" w:rsidR="00633435" w:rsidRDefault="00633435" w:rsidP="00BA0DE4">
            <w:pPr>
              <w:pStyle w:val="TableBodyText"/>
              <w:keepNext w:val="0"/>
              <w:keepLines w:val="0"/>
              <w:numPr>
                <w:ilvl w:val="0"/>
                <w:numId w:val="37"/>
              </w:numPr>
            </w:pPr>
            <w:r>
              <w:t>As specified by the department.</w:t>
            </w:r>
          </w:p>
          <w:p w14:paraId="536D3E53" w14:textId="62B84AF8" w:rsidR="00633435" w:rsidRDefault="00633435" w:rsidP="00BA0DE4">
            <w:pPr>
              <w:pStyle w:val="TableBodyText"/>
              <w:keepNext w:val="0"/>
              <w:keepLines w:val="0"/>
              <w:numPr>
                <w:ilvl w:val="0"/>
                <w:numId w:val="37"/>
              </w:numPr>
            </w:pPr>
            <w:r>
              <w:t>Australian Transport Council (2006), National Guidelines for Transport System Management in Australia. Urban Transport (Volume 4)</w:t>
            </w:r>
            <w:r w:rsidR="00AD63C8">
              <w:t xml:space="preserve"> (</w:t>
            </w:r>
            <w:hyperlink r:id="rId37" w:history="1">
              <w:r w:rsidR="00AD63C8" w:rsidRPr="00B84822">
                <w:rPr>
                  <w:rStyle w:val="Hyperlink"/>
                </w:rPr>
                <w:t>https://www.atap.gov.au/technical-support-library/index</w:t>
              </w:r>
            </w:hyperlink>
            <w:r w:rsidR="00AD63C8">
              <w:t>)</w:t>
            </w:r>
          </w:p>
        </w:tc>
        <w:tc>
          <w:tcPr>
            <w:tcW w:w="1276" w:type="dxa"/>
            <w:vAlign w:val="top"/>
          </w:tcPr>
          <w:p w14:paraId="20FCE37A" w14:textId="3E9DC7E1" w:rsidR="00633435" w:rsidRDefault="00E21B42" w:rsidP="00F03541">
            <w:pPr>
              <w:pStyle w:val="TableBodyText"/>
              <w:keepNext w:val="0"/>
              <w:keepLines w:val="0"/>
            </w:pPr>
            <w:r>
              <w:t>Asset life</w:t>
            </w:r>
          </w:p>
        </w:tc>
        <w:tc>
          <w:tcPr>
            <w:tcW w:w="4670" w:type="dxa"/>
            <w:vAlign w:val="top"/>
          </w:tcPr>
          <w:p w14:paraId="7562C5AC" w14:textId="5D3F0467" w:rsidR="00C12D60" w:rsidRDefault="00C12D60" w:rsidP="00F03541">
            <w:pPr>
              <w:pStyle w:val="TableBodyText"/>
              <w:keepNext w:val="0"/>
              <w:keepLines w:val="0"/>
            </w:pPr>
            <w:r>
              <w:t>Asset life should first be requested from the department for the elements of the project – otherwise, asset life assumptions from the National Guidelines for Transport System Management (NGTSM) may be applied subject to approval from the department.</w:t>
            </w:r>
          </w:p>
          <w:p w14:paraId="20AF7353" w14:textId="29746DDF" w:rsidR="00633435" w:rsidRDefault="00C12D60" w:rsidP="00F03541">
            <w:pPr>
              <w:pStyle w:val="TableBodyText"/>
              <w:keepNext w:val="0"/>
              <w:keepLines w:val="0"/>
            </w:pPr>
            <w:r>
              <w:t xml:space="preserve">This is relevant to the calculation of residual value, which should be based on (Default) ATAP Guidelines, </w:t>
            </w:r>
            <w:r w:rsidRPr="0053294F">
              <w:t>Tools and Tech</w:t>
            </w:r>
            <w:r w:rsidRPr="0053294F">
              <w:t>n</w:t>
            </w:r>
            <w:r w:rsidRPr="0053294F">
              <w:t>iques</w:t>
            </w:r>
            <w:r w:rsidR="0053294F">
              <w:t xml:space="preserve"> (</w:t>
            </w:r>
            <w:hyperlink r:id="rId38" w:history="1">
              <w:r w:rsidR="0053294F" w:rsidRPr="000D27E2">
                <w:rPr>
                  <w:rStyle w:val="Hyperlink"/>
                </w:rPr>
                <w:t>https://www.atap.gov.au/tools-techniques/index</w:t>
              </w:r>
            </w:hyperlink>
            <w:r w:rsidR="0053294F">
              <w:t>)</w:t>
            </w:r>
            <w:r>
              <w:t xml:space="preserve">, </w:t>
            </w:r>
            <w:r w:rsidRPr="0053294F">
              <w:t>T2 Cost Benefit Analy</w:t>
            </w:r>
            <w:r w:rsidRPr="0053294F">
              <w:t>s</w:t>
            </w:r>
            <w:r w:rsidRPr="0053294F">
              <w:t>is</w:t>
            </w:r>
            <w:r w:rsidR="0053294F">
              <w:t xml:space="preserve"> (</w:t>
            </w:r>
            <w:hyperlink r:id="rId39" w:history="1">
              <w:r w:rsidR="0053294F" w:rsidRPr="000D27E2">
                <w:rPr>
                  <w:rStyle w:val="Hyperlink"/>
                </w:rPr>
                <w:t>https://www.atap.gov.au/tools-techniques/cost-benefit-analysis/index</w:t>
              </w:r>
            </w:hyperlink>
            <w:r w:rsidR="0053294F">
              <w:t>)</w:t>
            </w:r>
            <w:r>
              <w:t>. Residual value must be included as a benefit stream in the analysis.</w:t>
            </w:r>
          </w:p>
        </w:tc>
      </w:tr>
      <w:tr w:rsidR="00633435" w14:paraId="1BEF6C7D" w14:textId="77777777" w:rsidTr="00F03541">
        <w:tc>
          <w:tcPr>
            <w:tcW w:w="3114" w:type="dxa"/>
            <w:vAlign w:val="top"/>
          </w:tcPr>
          <w:p w14:paraId="7DE68890" w14:textId="26D1548E" w:rsidR="00633435" w:rsidRDefault="00633435" w:rsidP="00F03541">
            <w:pPr>
              <w:pStyle w:val="TableBodyText"/>
              <w:keepNext w:val="0"/>
              <w:keepLines w:val="0"/>
            </w:pPr>
            <w:r w:rsidRPr="00633435">
              <w:t xml:space="preserve">Transport and Main Roads (2011). </w:t>
            </w:r>
            <w:r w:rsidRPr="0053294F">
              <w:rPr>
                <w:i/>
                <w:iCs/>
              </w:rPr>
              <w:t>Cost-benefit Analysis Manual Road pr</w:t>
            </w:r>
            <w:r w:rsidRPr="0053294F">
              <w:rPr>
                <w:i/>
                <w:iCs/>
              </w:rPr>
              <w:t>o</w:t>
            </w:r>
            <w:r w:rsidRPr="0053294F">
              <w:rPr>
                <w:i/>
                <w:iCs/>
              </w:rPr>
              <w:t>jects</w:t>
            </w:r>
            <w:r w:rsidRPr="00633435">
              <w:t xml:space="preserve"> (superseded)</w:t>
            </w:r>
            <w:r w:rsidR="0053294F">
              <w:t xml:space="preserve"> (</w:t>
            </w:r>
            <w:hyperlink r:id="rId40" w:history="1">
              <w:r w:rsidR="0053294F" w:rsidRPr="000D27E2">
                <w:rPr>
                  <w:rStyle w:val="Hyperlink"/>
                </w:rPr>
                <w:t>https://www.tmr.qld.gov.au/business-industry/Technical-standards-publications/Cost-Benefit-Analysis-Manual.aspx</w:t>
              </w:r>
            </w:hyperlink>
            <w:r w:rsidR="0053294F">
              <w:t>)</w:t>
            </w:r>
          </w:p>
        </w:tc>
        <w:tc>
          <w:tcPr>
            <w:tcW w:w="1276" w:type="dxa"/>
            <w:vAlign w:val="top"/>
          </w:tcPr>
          <w:p w14:paraId="10120A28" w14:textId="340F2CA8" w:rsidR="00633435" w:rsidRDefault="00E21B42" w:rsidP="00F03541">
            <w:pPr>
              <w:pStyle w:val="TableBodyText"/>
              <w:keepNext w:val="0"/>
              <w:keepLines w:val="0"/>
            </w:pPr>
            <w:r>
              <w:t xml:space="preserve">Rural </w:t>
            </w:r>
            <w:proofErr w:type="gramStart"/>
            <w:r>
              <w:t>link based</w:t>
            </w:r>
            <w:proofErr w:type="gramEnd"/>
            <w:r>
              <w:t xml:space="preserve"> CBA</w:t>
            </w:r>
          </w:p>
        </w:tc>
        <w:tc>
          <w:tcPr>
            <w:tcW w:w="4670" w:type="dxa"/>
            <w:vAlign w:val="top"/>
          </w:tcPr>
          <w:p w14:paraId="71971CF0" w14:textId="0D21591B" w:rsidR="00C12D60" w:rsidRDefault="00C12D60" w:rsidP="00F03541">
            <w:pPr>
              <w:pStyle w:val="TableBodyText"/>
              <w:keepNext w:val="0"/>
              <w:keepLines w:val="0"/>
            </w:pPr>
            <w:r>
              <w:t>Superseded. The Theoretical Guide and some elements of the Technical Guide in the manual have since been superseded, primarily by the Australian Transport Assessment and Planning (ATAP) Guidelines, as well as several other supporting and complimentary manuals, guides and frameworks.</w:t>
            </w:r>
          </w:p>
          <w:p w14:paraId="4D3E130E" w14:textId="77777777" w:rsidR="00C12D60" w:rsidRDefault="00C12D60" w:rsidP="00F03541">
            <w:pPr>
              <w:pStyle w:val="TableBodyText"/>
              <w:keepNext w:val="0"/>
              <w:keepLines w:val="0"/>
            </w:pPr>
            <w:r>
              <w:t>The parameters and some of the assumptions contained in the manual no longer represent the department's preferences and expectations and should not be used in CBAs conducted on behalf of the department without prior discussion and approval.</w:t>
            </w:r>
          </w:p>
          <w:p w14:paraId="616DE144" w14:textId="532102DB" w:rsidR="00C12D60" w:rsidRDefault="00C12D60" w:rsidP="00F03541">
            <w:pPr>
              <w:pStyle w:val="TableBodyText"/>
              <w:keepNext w:val="0"/>
              <w:keepLines w:val="0"/>
            </w:pPr>
            <w:r>
              <w:t xml:space="preserve">The primary purpose of the manual is to inform low-cost, rural link-based CBAs. In this context, </w:t>
            </w:r>
            <w:proofErr w:type="gramStart"/>
            <w:r>
              <w:t>the majority of</w:t>
            </w:r>
            <w:proofErr w:type="gramEnd"/>
            <w:r>
              <w:t xml:space="preserve"> the methodologies contained in the manual are fit-for-purpose and represent the methodologies applied in the department CBA model. For more information, please contact the PEU Economics Team.</w:t>
            </w:r>
          </w:p>
          <w:p w14:paraId="1F1C4E2A" w14:textId="5EC02A3D" w:rsidR="00633435" w:rsidRDefault="00C12D60" w:rsidP="00F03541">
            <w:pPr>
              <w:pStyle w:val="TableBodyText"/>
              <w:keepNext w:val="0"/>
              <w:keepLines w:val="0"/>
            </w:pPr>
            <w:r>
              <w:t>This manual is not intended to be a reference for CBAs of major projects, particularly in urban settings.</w:t>
            </w:r>
          </w:p>
        </w:tc>
      </w:tr>
    </w:tbl>
    <w:p w14:paraId="2C6A7477" w14:textId="0FF7928A" w:rsidR="00531981" w:rsidRDefault="00C12D60" w:rsidP="00C12D60">
      <w:pPr>
        <w:pStyle w:val="BodyText"/>
        <w:spacing w:before="240"/>
      </w:pPr>
      <w:r w:rsidRPr="00C12D60">
        <w:lastRenderedPageBreak/>
        <w:t>Proposed sources of methods, assumptions and parameters are to be included in the Economic Consultant's proposed methodology paper. Sources of guidance outside of the prescribed list are to be specifically highlighted in the methodology paper for discussion with the department (see Clause</w:t>
      </w:r>
      <w:r>
        <w:t> </w:t>
      </w:r>
      <w:r w:rsidRPr="00C12D60">
        <w:t>4 of this Functional Specification).</w:t>
      </w:r>
    </w:p>
    <w:p w14:paraId="1BA5F8FD" w14:textId="2C2B28C1" w:rsidR="00991FE3" w:rsidRDefault="00C12D60" w:rsidP="00C12D60">
      <w:pPr>
        <w:pStyle w:val="Heading2"/>
      </w:pPr>
      <w:bookmarkStart w:id="12" w:name="_Toc74817256"/>
      <w:r>
        <w:t>Gaps in guidance and common clarifications</w:t>
      </w:r>
      <w:bookmarkEnd w:id="12"/>
    </w:p>
    <w:p w14:paraId="10B6D9D7" w14:textId="183378DC" w:rsidR="00C12D60" w:rsidRDefault="00C12D60" w:rsidP="00C12D60">
      <w:pPr>
        <w:pStyle w:val="BodyText"/>
      </w:pPr>
      <w:r>
        <w:t>It is recognised that some impacts</w:t>
      </w:r>
      <w:r w:rsidR="00F03541">
        <w:t> </w:t>
      </w:r>
      <w:r>
        <w:t>/</w:t>
      </w:r>
      <w:r w:rsidR="00F03541">
        <w:t> </w:t>
      </w:r>
      <w:r>
        <w:t>benefits are often sources of major clarifications as they do not have specific guidance relating to their monetisation</w:t>
      </w:r>
      <w:r w:rsidR="00F03541">
        <w:t> </w:t>
      </w:r>
      <w:r>
        <w:t>/</w:t>
      </w:r>
      <w:r w:rsidR="00F03541">
        <w:t> </w:t>
      </w:r>
      <w:r>
        <w:t>quantification. These approaches may require the use of experimental methodologies and additional engagement with the department or other relevant stakeholders (e.g. Infrastructure Australia). Common impacts</w:t>
      </w:r>
      <w:r w:rsidR="00F03541">
        <w:t> </w:t>
      </w:r>
      <w:r>
        <w:t>/</w:t>
      </w:r>
      <w:r w:rsidR="00F03541">
        <w:t> </w:t>
      </w:r>
      <w:r>
        <w:t>benefits with gaps in guidance or that commonly require clarification include (this list is not exhaustive):</w:t>
      </w:r>
    </w:p>
    <w:p w14:paraId="51CFB4BE" w14:textId="13531418" w:rsidR="00C12D60" w:rsidRDefault="00C12D60" w:rsidP="00BA0DE4">
      <w:pPr>
        <w:pStyle w:val="ListB1dotonly"/>
        <w:numPr>
          <w:ilvl w:val="0"/>
          <w:numId w:val="28"/>
        </w:numPr>
      </w:pPr>
      <w:r>
        <w:t>road user behaviour in flooding / road closure assessment</w:t>
      </w:r>
    </w:p>
    <w:p w14:paraId="2855BA3C" w14:textId="62672050" w:rsidR="00C12D60" w:rsidRDefault="00C12D60" w:rsidP="00BA0DE4">
      <w:pPr>
        <w:pStyle w:val="ListB1dotonly"/>
        <w:numPr>
          <w:ilvl w:val="0"/>
          <w:numId w:val="27"/>
        </w:numPr>
      </w:pPr>
      <w:r>
        <w:t>climate change and sustainability considerations</w:t>
      </w:r>
    </w:p>
    <w:p w14:paraId="7BD66822" w14:textId="689FACF1" w:rsidR="00C12D60" w:rsidRDefault="00C12D60" w:rsidP="00BA0DE4">
      <w:pPr>
        <w:pStyle w:val="ListB1dotonly"/>
        <w:numPr>
          <w:ilvl w:val="0"/>
          <w:numId w:val="27"/>
        </w:numPr>
      </w:pPr>
      <w:r>
        <w:t>construction disbenefits</w:t>
      </w:r>
    </w:p>
    <w:p w14:paraId="6B65E679" w14:textId="1E819721" w:rsidR="00C12D60" w:rsidRDefault="00C12D60" w:rsidP="00BA0DE4">
      <w:pPr>
        <w:pStyle w:val="ListB1dotonly"/>
        <w:numPr>
          <w:ilvl w:val="0"/>
          <w:numId w:val="27"/>
        </w:numPr>
      </w:pPr>
      <w:r>
        <w:t>active transport</w:t>
      </w:r>
    </w:p>
    <w:p w14:paraId="3F478F31" w14:textId="7293E3E7" w:rsidR="00C12D60" w:rsidRDefault="00C12D60" w:rsidP="00BA0DE4">
      <w:pPr>
        <w:pStyle w:val="ListB1dotonly"/>
        <w:numPr>
          <w:ilvl w:val="0"/>
          <w:numId w:val="27"/>
        </w:numPr>
      </w:pPr>
      <w:r>
        <w:t>decongestion impacts from transport initiatives</w:t>
      </w:r>
    </w:p>
    <w:p w14:paraId="374D1F8C" w14:textId="0EFBF2A2" w:rsidR="00C12D60" w:rsidRDefault="00C12D60" w:rsidP="00BA0DE4">
      <w:pPr>
        <w:pStyle w:val="ListB1dotonly"/>
        <w:numPr>
          <w:ilvl w:val="0"/>
          <w:numId w:val="27"/>
        </w:numPr>
      </w:pPr>
      <w:r>
        <w:t>induce/generated demand impacts – particularly vehicle operating costs</w:t>
      </w:r>
    </w:p>
    <w:p w14:paraId="24C0020C" w14:textId="4B7AB585" w:rsidR="00C12D60" w:rsidRDefault="00C12D60" w:rsidP="00BA0DE4">
      <w:pPr>
        <w:pStyle w:val="ListB1dotonly"/>
        <w:numPr>
          <w:ilvl w:val="0"/>
          <w:numId w:val="27"/>
        </w:numPr>
      </w:pPr>
      <w:r>
        <w:t>land use impacts</w:t>
      </w:r>
    </w:p>
    <w:p w14:paraId="751B4512" w14:textId="38E6DDBD" w:rsidR="00C12D60" w:rsidRDefault="00C12D60" w:rsidP="00BA0DE4">
      <w:pPr>
        <w:pStyle w:val="ListB1dotonly"/>
        <w:numPr>
          <w:ilvl w:val="0"/>
          <w:numId w:val="27"/>
        </w:numPr>
      </w:pPr>
      <w:r>
        <w:t>Wider Economic Benefits</w:t>
      </w:r>
    </w:p>
    <w:p w14:paraId="3235C504" w14:textId="32E89D3E" w:rsidR="00C12D60" w:rsidRDefault="00C12D60" w:rsidP="00BA0DE4">
      <w:pPr>
        <w:pStyle w:val="ListB1dotonly"/>
        <w:numPr>
          <w:ilvl w:val="0"/>
          <w:numId w:val="27"/>
        </w:numPr>
      </w:pPr>
      <w:r>
        <w:t>new technology (e.g. electric vehicles and automated vehicles)</w:t>
      </w:r>
      <w:r w:rsidR="00F03541">
        <w:t>, and</w:t>
      </w:r>
    </w:p>
    <w:p w14:paraId="53D3FF7F" w14:textId="31910F36" w:rsidR="00C12D60" w:rsidRDefault="00C12D60" w:rsidP="00BA0DE4">
      <w:pPr>
        <w:pStyle w:val="ListB1dotonly"/>
        <w:numPr>
          <w:ilvl w:val="0"/>
          <w:numId w:val="27"/>
        </w:numPr>
      </w:pPr>
      <w:r>
        <w:t>COVID-19 implications.</w:t>
      </w:r>
    </w:p>
    <w:p w14:paraId="06FD8B33" w14:textId="77777777" w:rsidR="00C12D60" w:rsidRDefault="00C12D60" w:rsidP="00C12D60">
      <w:pPr>
        <w:pStyle w:val="BodyText"/>
      </w:pPr>
      <w:r>
        <w:t>Where these (or similar gaps) are relevant to the project or initiative, the Economic Consultant is expected to use their professional judgement to provide the department with the following advice:</w:t>
      </w:r>
    </w:p>
    <w:p w14:paraId="47D1D1C2" w14:textId="110D515A" w:rsidR="00C12D60" w:rsidRDefault="00C12D60" w:rsidP="00BA0DE4">
      <w:pPr>
        <w:pStyle w:val="ListB1dotonly"/>
        <w:numPr>
          <w:ilvl w:val="0"/>
          <w:numId w:val="30"/>
        </w:numPr>
      </w:pPr>
      <w:r>
        <w:t>the relevance and availability of the required data and/or guidance</w:t>
      </w:r>
    </w:p>
    <w:p w14:paraId="5768DC16" w14:textId="4F485413" w:rsidR="00C12D60" w:rsidRDefault="00C12D60" w:rsidP="00BA0DE4">
      <w:pPr>
        <w:pStyle w:val="ListB1dotonly"/>
        <w:numPr>
          <w:ilvl w:val="0"/>
          <w:numId w:val="29"/>
        </w:numPr>
      </w:pPr>
      <w:r>
        <w:t>the expected impact to the results if included</w:t>
      </w:r>
      <w:r w:rsidR="00F03541">
        <w:t> </w:t>
      </w:r>
      <w:r>
        <w:t>/</w:t>
      </w:r>
      <w:r w:rsidR="00F03541">
        <w:t> </w:t>
      </w:r>
      <w:r>
        <w:t>excluded</w:t>
      </w:r>
      <w:r w:rsidR="00F03541">
        <w:t>, and</w:t>
      </w:r>
    </w:p>
    <w:p w14:paraId="46457C5A" w14:textId="0258FDD1" w:rsidR="00991FE3" w:rsidRDefault="00C12D60" w:rsidP="00BA0DE4">
      <w:pPr>
        <w:pStyle w:val="ListB1dotonly"/>
        <w:numPr>
          <w:ilvl w:val="0"/>
          <w:numId w:val="29"/>
        </w:numPr>
      </w:pPr>
      <w:r>
        <w:t>a proposed methodology.</w:t>
      </w:r>
    </w:p>
    <w:p w14:paraId="5851E1CC" w14:textId="5E7D630C" w:rsidR="00991FE3" w:rsidRDefault="00F03541" w:rsidP="00F03541">
      <w:pPr>
        <w:pStyle w:val="Heading1"/>
      </w:pPr>
      <w:bookmarkStart w:id="13" w:name="_Toc74817257"/>
      <w:r>
        <w:t>Background</w:t>
      </w:r>
      <w:bookmarkEnd w:id="13"/>
    </w:p>
    <w:p w14:paraId="0B4D9D6D" w14:textId="50A14B3A" w:rsidR="00F03541" w:rsidRDefault="00F03541" w:rsidP="00F03541">
      <w:pPr>
        <w:pStyle w:val="Heading2"/>
      </w:pPr>
      <w:bookmarkStart w:id="14" w:name="_Toc74817258"/>
      <w:r>
        <w:t>Project background</w:t>
      </w:r>
      <w:bookmarkEnd w:id="14"/>
    </w:p>
    <w:p w14:paraId="3ACE1075" w14:textId="1E23EF2C" w:rsidR="00F03541" w:rsidRDefault="00F03541" w:rsidP="00F03541">
      <w:pPr>
        <w:pStyle w:val="BodyText"/>
      </w:pPr>
      <w:r>
        <w:t xml:space="preserve">A </w:t>
      </w:r>
      <w:r>
        <w:fldChar w:fldCharType="begin">
          <w:ffData>
            <w:name w:val=""/>
            <w:enabled/>
            <w:calcOnExit w:val="0"/>
            <w:textInput>
              <w:default w:val="[insert project phase]"/>
            </w:textInput>
          </w:ffData>
        </w:fldChar>
      </w:r>
      <w:r>
        <w:instrText xml:space="preserve"> FORMTEXT </w:instrText>
      </w:r>
      <w:r>
        <w:fldChar w:fldCharType="separate"/>
      </w:r>
      <w:r>
        <w:rPr>
          <w:noProof/>
        </w:rPr>
        <w:t>[insert project phase]</w:t>
      </w:r>
      <w:r>
        <w:fldChar w:fldCharType="end"/>
      </w:r>
      <w:r>
        <w:t xml:space="preserve"> was completed by the department in </w:t>
      </w:r>
      <w:r>
        <w:fldChar w:fldCharType="begin">
          <w:ffData>
            <w:name w:val=""/>
            <w:enabled/>
            <w:calcOnExit w:val="0"/>
            <w:textInput>
              <w:default w:val="[insert Month Year]"/>
            </w:textInput>
          </w:ffData>
        </w:fldChar>
      </w:r>
      <w:r>
        <w:instrText xml:space="preserve"> FORMTEXT </w:instrText>
      </w:r>
      <w:r>
        <w:fldChar w:fldCharType="separate"/>
      </w:r>
      <w:r>
        <w:rPr>
          <w:noProof/>
        </w:rPr>
        <w:t>[insert Month Year]</w:t>
      </w:r>
      <w:r>
        <w:fldChar w:fldCharType="end"/>
      </w:r>
      <w:r>
        <w:t xml:space="preserve">, including </w:t>
      </w:r>
      <w:r>
        <w:fldChar w:fldCharType="begin">
          <w:ffData>
            <w:name w:val=""/>
            <w:enabled/>
            <w:calcOnExit w:val="0"/>
            <w:textInput>
              <w:default w:val="[insert analysis type undertaken (e.g. the cost-benefit analysis of the two preferred options...)]"/>
            </w:textInput>
          </w:ffData>
        </w:fldChar>
      </w:r>
      <w:r>
        <w:instrText xml:space="preserve"> FORMTEXT </w:instrText>
      </w:r>
      <w:r>
        <w:fldChar w:fldCharType="separate"/>
      </w:r>
      <w:r>
        <w:rPr>
          <w:noProof/>
        </w:rPr>
        <w:t>[insert analysis type undertaken (e.g. the cost-benefit analysis of the two preferred options...)]</w:t>
      </w:r>
      <w:r>
        <w:fldChar w:fldCharType="end"/>
      </w:r>
      <w:r>
        <w:t>.</w:t>
      </w:r>
    </w:p>
    <w:p w14:paraId="15C149A4" w14:textId="2DD495A5" w:rsidR="00991FE3" w:rsidRDefault="00F03541" w:rsidP="00F03541">
      <w:pPr>
        <w:pStyle w:val="BodyText"/>
        <w:spacing w:after="240"/>
      </w:pPr>
      <w:r>
        <w:t>The Economics Consultant is to review and confirm the analysis and findings of this previous work, as well as other relevant source documents and information (e.g. safety audits, transport modelling, project background / strategic context, and so on.) and identify and address the limitations, gaps and areas for improvement for the current economic analysis. These considerations are to be reflected in the methodology paper and final detailed economic analysis report (see Clause 4.1 of this Functional Specification).</w:t>
      </w:r>
    </w:p>
    <w:p w14:paraId="4F7DAA71" w14:textId="16D3A680" w:rsidR="00EA3AD5" w:rsidRDefault="00EA3AD5" w:rsidP="00EA3AD5">
      <w:pPr>
        <w:pStyle w:val="Heading2"/>
      </w:pPr>
      <w:bookmarkStart w:id="15" w:name="_Toc74817259"/>
      <w:r>
        <w:lastRenderedPageBreak/>
        <w:t>Benefits and costs</w:t>
      </w:r>
      <w:bookmarkEnd w:id="15"/>
    </w:p>
    <w:tbl>
      <w:tblPr>
        <w:tblStyle w:val="Commentary"/>
        <w:tblW w:w="0" w:type="auto"/>
        <w:tblLook w:val="04A0" w:firstRow="1" w:lastRow="0" w:firstColumn="1" w:lastColumn="0" w:noHBand="0" w:noVBand="1"/>
      </w:tblPr>
      <w:tblGrid>
        <w:gridCol w:w="9024"/>
      </w:tblGrid>
      <w:tr w:rsidR="00F03541" w:rsidRPr="00F03541" w14:paraId="778D6F2A" w14:textId="77777777" w:rsidTr="00F03541">
        <w:tc>
          <w:tcPr>
            <w:tcW w:w="9024" w:type="dxa"/>
          </w:tcPr>
          <w:p w14:paraId="1CC15C0C" w14:textId="77777777" w:rsidR="00F03541" w:rsidRDefault="00F03541" w:rsidP="00F03541">
            <w:pPr>
              <w:pStyle w:val="BodyText"/>
              <w:keepNext/>
            </w:pPr>
            <w:r w:rsidRPr="00F03541">
              <w:rPr>
                <w:highlight w:val="yellow"/>
              </w:rPr>
              <w:t>Delete this table before issuing:</w:t>
            </w:r>
          </w:p>
          <w:p w14:paraId="40F50430" w14:textId="689262B7" w:rsidR="00F03541" w:rsidRPr="00F03541" w:rsidRDefault="00F03541" w:rsidP="00F03541">
            <w:pPr>
              <w:pStyle w:val="BodyText"/>
              <w:keepNext/>
              <w:rPr>
                <w:rStyle w:val="BodyTextbold"/>
              </w:rPr>
            </w:pPr>
            <w:r w:rsidRPr="00F03541">
              <w:rPr>
                <w:rStyle w:val="BodyTextbold"/>
              </w:rPr>
              <w:t>Project Manager: modify the following as appropriate and ensure "</w:t>
            </w:r>
            <w:r w:rsidRPr="00F03541">
              <w:rPr>
                <w:rStyle w:val="BodyTextbold"/>
                <w:highlight w:val="yellow"/>
              </w:rPr>
              <w:t>(if required)"</w:t>
            </w:r>
            <w:r w:rsidRPr="00F03541">
              <w:rPr>
                <w:rStyle w:val="BodyTextbold"/>
              </w:rPr>
              <w:t xml:space="preserve"> is removed from the relevant deliverables.</w:t>
            </w:r>
          </w:p>
          <w:p w14:paraId="12AE7863" w14:textId="52E1E257" w:rsidR="00F03541" w:rsidRPr="00F03541" w:rsidRDefault="00F03541" w:rsidP="00F03541">
            <w:pPr>
              <w:pStyle w:val="BodyText"/>
              <w:keepNext/>
              <w:rPr>
                <w:rStyle w:val="BodyTextbold"/>
              </w:rPr>
            </w:pPr>
            <w:r w:rsidRPr="00F03541">
              <w:rPr>
                <w:rStyle w:val="BodyTextbold"/>
              </w:rPr>
              <w:t>Note: "</w:t>
            </w:r>
            <w:r w:rsidRPr="00F03541">
              <w:rPr>
                <w:rStyle w:val="BodyTextbold"/>
                <w:highlight w:val="yellow"/>
              </w:rPr>
              <w:t>(if required)</w:t>
            </w:r>
            <w:r w:rsidRPr="00F03541">
              <w:rPr>
                <w:rStyle w:val="BodyTextbold"/>
              </w:rPr>
              <w:t>" is for your reference and is not at the discretion or able to be negotiated by the consultant.</w:t>
            </w:r>
          </w:p>
          <w:p w14:paraId="4A4D245D" w14:textId="2C063AE5" w:rsidR="00F03541" w:rsidRDefault="00F03541" w:rsidP="00F03541">
            <w:pPr>
              <w:pStyle w:val="BodyText"/>
              <w:keepNext/>
            </w:pPr>
            <w:r>
              <w:t xml:space="preserve">All benefits and cost streams from any previous analysis conducted should be included in this section, as well as any previous key unquantifiable benefits / costs noted as 'areas for improvement' or that align with significant project objectives. Please contact the PEU Economics Team with any queries (Ph: 3066 4016 Email: </w:t>
            </w:r>
            <w:hyperlink r:id="rId41" w:history="1">
              <w:r w:rsidRPr="000307B7">
                <w:rPr>
                  <w:rStyle w:val="Hyperlink"/>
                </w:rPr>
                <w:t>PEU.Economics@tmr.qld.gov.au</w:t>
              </w:r>
            </w:hyperlink>
            <w:r>
              <w:t>) and see Appendix B for a generic overview of benefits by project type.</w:t>
            </w:r>
          </w:p>
          <w:p w14:paraId="35542147" w14:textId="0C78D8AF" w:rsidR="00F03541" w:rsidRPr="00F03541" w:rsidRDefault="00F03541" w:rsidP="00F03541">
            <w:pPr>
              <w:pStyle w:val="BodyText"/>
              <w:keepNext/>
              <w:rPr>
                <w:rStyle w:val="BodyTextbold"/>
              </w:rPr>
            </w:pPr>
            <w:r w:rsidRPr="00F03541">
              <w:rPr>
                <w:rStyle w:val="BodyTextbold"/>
                <w:color w:val="002060"/>
              </w:rPr>
              <w:t>To delete these guidance boxes, right-mouse click within this box and select Delete Rows.</w:t>
            </w:r>
          </w:p>
        </w:tc>
      </w:tr>
    </w:tbl>
    <w:p w14:paraId="5742742B" w14:textId="77777777" w:rsidR="00F03541" w:rsidRDefault="00F03541" w:rsidP="00F03541">
      <w:pPr>
        <w:pStyle w:val="BodyText"/>
        <w:spacing w:before="240"/>
      </w:pPr>
      <w:r>
        <w:t>The Economics Consultant is to (at a minimum) monetise the following benefits and costs:</w:t>
      </w:r>
    </w:p>
    <w:p w14:paraId="2B6F8125" w14:textId="7C47C903" w:rsidR="00F03541" w:rsidRDefault="00F03541" w:rsidP="00F03541">
      <w:pPr>
        <w:pStyle w:val="BodyText"/>
      </w:pPr>
      <w:r>
        <w:fldChar w:fldCharType="begin">
          <w:ffData>
            <w:name w:val=""/>
            <w:enabled/>
            <w:calcOnExit w:val="0"/>
            <w:textInput>
              <w:default w:val="[Insert relevant benefits and costs]  See Appendix B / contact PEU Economics to discuss.]"/>
            </w:textInput>
          </w:ffData>
        </w:fldChar>
      </w:r>
      <w:r>
        <w:instrText xml:space="preserve"> FORMTEXT </w:instrText>
      </w:r>
      <w:r>
        <w:fldChar w:fldCharType="separate"/>
      </w:r>
      <w:r>
        <w:rPr>
          <w:noProof/>
        </w:rPr>
        <w:t>[Insert relevant benefits and costs]  See Appendix B / contact PEU Economics to discuss.]</w:t>
      </w:r>
      <w:r>
        <w:fldChar w:fldCharType="end"/>
      </w:r>
    </w:p>
    <w:p w14:paraId="143AD217" w14:textId="311CC2F1" w:rsidR="00991FE3" w:rsidRDefault="00F03541" w:rsidP="00F03541">
      <w:pPr>
        <w:pStyle w:val="BodyText"/>
      </w:pPr>
      <w:r>
        <w:t>The benefits should align with the key objectives and service requirements of the project. The Economic Consultant is to also provide the relevant analysis, commentary and caveats to the monetised benefits to allow for further understanding and interpretation by a layperson in the final detailed economic analysis report. The Economics Consultant is to quantitatively (using metrics) and/or qualitatively describe all other relevant benefits and costs.</w:t>
      </w:r>
    </w:p>
    <w:p w14:paraId="52F4CDB9" w14:textId="44954714" w:rsidR="00991FE3" w:rsidRDefault="00EA3AD5" w:rsidP="00EA3AD5">
      <w:pPr>
        <w:pStyle w:val="Heading3"/>
      </w:pPr>
      <w:bookmarkStart w:id="16" w:name="_Toc74817260"/>
      <w:r>
        <w:t>Areas for improvement</w:t>
      </w:r>
      <w:bookmarkEnd w:id="16"/>
    </w:p>
    <w:p w14:paraId="4F7C7669" w14:textId="68A4AD60" w:rsidR="00991FE3" w:rsidRDefault="00EA3AD5" w:rsidP="00B8333F">
      <w:pPr>
        <w:pStyle w:val="BodyText"/>
      </w:pPr>
      <w:r w:rsidRPr="00EA3AD5">
        <w:t>The Economics Consultant is to address these specific areas for improvement (if required):</w:t>
      </w:r>
    </w:p>
    <w:p w14:paraId="3C499491" w14:textId="75945D46" w:rsidR="00EA3AD5" w:rsidRDefault="00EA3AD5" w:rsidP="00EA3AD5">
      <w:pPr>
        <w:pStyle w:val="BodyText"/>
      </w:pPr>
      <w:r>
        <w:fldChar w:fldCharType="begin">
          <w:ffData>
            <w:name w:val=""/>
            <w:enabled/>
            <w:calcOnExit w:val="0"/>
            <w:textInput>
              <w:default w:val="[Insert other areas for improvement noted in previous analysis (like in the OA or PE)]"/>
            </w:textInput>
          </w:ffData>
        </w:fldChar>
      </w:r>
      <w:r>
        <w:instrText xml:space="preserve"> FORMTEXT </w:instrText>
      </w:r>
      <w:r>
        <w:fldChar w:fldCharType="separate"/>
      </w:r>
      <w:r>
        <w:rPr>
          <w:noProof/>
        </w:rPr>
        <w:t>[Insert other areas for improvement noted in previous analysis (like in the OA or PE)]</w:t>
      </w:r>
      <w:r>
        <w:fldChar w:fldCharType="end"/>
      </w:r>
    </w:p>
    <w:p w14:paraId="086C9D84" w14:textId="647CA7BD" w:rsidR="00991FE3" w:rsidRDefault="00EA3AD5" w:rsidP="00A54E7F">
      <w:pPr>
        <w:pStyle w:val="Heading1"/>
        <w:keepLines/>
        <w:spacing w:after="240"/>
      </w:pPr>
      <w:bookmarkStart w:id="17" w:name="_Toc74817261"/>
      <w:r>
        <w:lastRenderedPageBreak/>
        <w:t>Key activities and deliverables</w:t>
      </w:r>
      <w:bookmarkEnd w:id="17"/>
    </w:p>
    <w:tbl>
      <w:tblPr>
        <w:tblStyle w:val="Commentary"/>
        <w:tblW w:w="0" w:type="auto"/>
        <w:tblLook w:val="04A0" w:firstRow="1" w:lastRow="0" w:firstColumn="1" w:lastColumn="0" w:noHBand="0" w:noVBand="1"/>
      </w:tblPr>
      <w:tblGrid>
        <w:gridCol w:w="9024"/>
      </w:tblGrid>
      <w:tr w:rsidR="00EA3AD5" w14:paraId="7B2C91C9" w14:textId="77777777" w:rsidTr="00EA3AD5">
        <w:tc>
          <w:tcPr>
            <w:tcW w:w="9024" w:type="dxa"/>
          </w:tcPr>
          <w:p w14:paraId="4C036B00" w14:textId="77777777" w:rsidR="00EA3AD5" w:rsidRDefault="00EA3AD5" w:rsidP="00A54E7F">
            <w:pPr>
              <w:pStyle w:val="BodyText"/>
              <w:keepNext/>
              <w:keepLines/>
            </w:pPr>
            <w:r w:rsidRPr="00EA3AD5">
              <w:rPr>
                <w:highlight w:val="yellow"/>
              </w:rPr>
              <w:t>Delete this table before issuing:</w:t>
            </w:r>
          </w:p>
          <w:p w14:paraId="3A2CCE7E" w14:textId="4C5514AF" w:rsidR="00EA3AD5" w:rsidRPr="00EA3AD5" w:rsidRDefault="00EA3AD5" w:rsidP="00A54E7F">
            <w:pPr>
              <w:pStyle w:val="BodyText"/>
              <w:keepNext/>
              <w:keepLines/>
              <w:rPr>
                <w:rStyle w:val="BodyTextbold"/>
              </w:rPr>
            </w:pPr>
            <w:r w:rsidRPr="00EA3AD5">
              <w:rPr>
                <w:rStyle w:val="BodyTextbold"/>
              </w:rPr>
              <w:t>Project Manager: modify the following as appropriate and ensure "</w:t>
            </w:r>
            <w:r w:rsidRPr="00EA3AD5">
              <w:rPr>
                <w:rStyle w:val="BodyTextbold"/>
                <w:highlight w:val="yellow"/>
              </w:rPr>
              <w:t>(if required)</w:t>
            </w:r>
            <w:r w:rsidRPr="00EA3AD5">
              <w:rPr>
                <w:rStyle w:val="BodyTextbold"/>
              </w:rPr>
              <w:t>" is removed from the relevant deliverables.</w:t>
            </w:r>
          </w:p>
          <w:p w14:paraId="63FA9C66" w14:textId="77076C51" w:rsidR="00EA3AD5" w:rsidRPr="00EA3AD5" w:rsidRDefault="00EA3AD5" w:rsidP="00A54E7F">
            <w:pPr>
              <w:pStyle w:val="BodyText"/>
              <w:keepNext/>
              <w:keepLines/>
              <w:rPr>
                <w:rStyle w:val="BodyTextbold"/>
              </w:rPr>
            </w:pPr>
            <w:r w:rsidRPr="00EA3AD5">
              <w:rPr>
                <w:rStyle w:val="BodyTextbold"/>
              </w:rPr>
              <w:t>Note: "</w:t>
            </w:r>
            <w:r w:rsidRPr="00EA3AD5">
              <w:rPr>
                <w:rStyle w:val="BodyTextbold"/>
                <w:highlight w:val="yellow"/>
              </w:rPr>
              <w:t>(if required)</w:t>
            </w:r>
            <w:r w:rsidRPr="00EA3AD5">
              <w:rPr>
                <w:rStyle w:val="BodyTextbold"/>
              </w:rPr>
              <w:t>" is for your reference and is not at the discretion or able to be negotiated by the consultant.</w:t>
            </w:r>
          </w:p>
          <w:p w14:paraId="204EF316" w14:textId="166A881A" w:rsidR="00EA3AD5" w:rsidRDefault="00EA3AD5" w:rsidP="00A54E7F">
            <w:pPr>
              <w:pStyle w:val="BodyText"/>
              <w:keepNext/>
              <w:keepLines/>
            </w:pPr>
            <w:r>
              <w:t>The following is a comprehensive list of potential deliverables the consultant should price for in the 'Calculation of the BCR' / 'Cost Benefit Analysis'. Amend the following as required, noting the relevant estimated project capital cost thresholds and funding arrangements being sought (see Appendix A) and reporting requirements.</w:t>
            </w:r>
          </w:p>
          <w:p w14:paraId="0FD05A67" w14:textId="28CBFF35" w:rsidR="00EA3AD5" w:rsidRDefault="00EA3AD5" w:rsidP="00A54E7F">
            <w:pPr>
              <w:pStyle w:val="BodyText"/>
              <w:keepNext/>
              <w:keepLines/>
            </w:pPr>
            <w:r w:rsidRPr="00EA3AD5">
              <w:rPr>
                <w:u w:val="single"/>
              </w:rPr>
              <w:t>It is the department's preference that CBA models (unlocked, soft-coded) are a 'must include' item in the deliverables of major projects (see Deliverables in Clause</w:t>
            </w:r>
            <w:r>
              <w:rPr>
                <w:u w:val="single"/>
              </w:rPr>
              <w:t> </w:t>
            </w:r>
            <w:r w:rsidRPr="00EA3AD5">
              <w:rPr>
                <w:u w:val="single"/>
              </w:rPr>
              <w:t>4.1 below)</w:t>
            </w:r>
            <w:r>
              <w:t xml:space="preserve">. To ensure the models are available to the department, it is imperative that Clause 1.12 ‘Intellectual Property Rights’ on form C7585 </w:t>
            </w:r>
            <w:r w:rsidRPr="00EA3AD5">
              <w:rPr>
                <w:rStyle w:val="BodyTextitalic"/>
              </w:rPr>
              <w:t>Invitation for Offer for Consultant Services</w:t>
            </w:r>
            <w:r>
              <w:t xml:space="preserve"> has been changed from vested 'with Consultant' to vested 'with Principal' and that the deliverable is included below and/or in the ECS Project Brief.</w:t>
            </w:r>
          </w:p>
          <w:p w14:paraId="4728D8DD" w14:textId="24DAA570" w:rsidR="00EA3AD5" w:rsidRDefault="00EA3AD5" w:rsidP="00A54E7F">
            <w:pPr>
              <w:pStyle w:val="BodyText"/>
              <w:keepNext/>
              <w:keepLines/>
            </w:pPr>
            <w:r>
              <w:t>Obtaining the CBA model from a consultant may result in some additional cost for the project. However, the impact on cost should not be significant. Some negotiation may also be required to establish governance of the model or suitable indemnity agreements.</w:t>
            </w:r>
          </w:p>
          <w:p w14:paraId="05148003" w14:textId="2FC19D20" w:rsidR="00EA3AD5" w:rsidRDefault="00EA3AD5" w:rsidP="00A54E7F">
            <w:pPr>
              <w:pStyle w:val="BodyText"/>
              <w:keepNext/>
              <w:keepLines/>
            </w:pPr>
            <w:r>
              <w:t>Ensure you are familiar and comfortable with the last dot point in Clause</w:t>
            </w:r>
            <w:r w:rsidR="000B4A17">
              <w:t> </w:t>
            </w:r>
            <w:r>
              <w:t>4.3, where consultants may be required to be engaged for long periods so they can address clarifications from IA. Consider an approach most appropriate to the project</w:t>
            </w:r>
            <w:r w:rsidR="000B4A17">
              <w:t> </w:t>
            </w:r>
            <w:r>
              <w:t>/</w:t>
            </w:r>
            <w:r w:rsidR="000B4A17">
              <w:t> </w:t>
            </w:r>
            <w:r>
              <w:t>available resources.</w:t>
            </w:r>
          </w:p>
          <w:p w14:paraId="7E7FB1E0" w14:textId="77777777" w:rsidR="00EA3AD5" w:rsidRDefault="00EA3AD5" w:rsidP="00A54E7F">
            <w:pPr>
              <w:pStyle w:val="BodyText"/>
              <w:keepNext/>
              <w:keepLines/>
            </w:pPr>
            <w:r>
              <w:t>One approach may be to include an ‘if required’ clause in the (ECS) Project Brief or this Functional Specification, allowing the Consultant to price-in the potential of additional engagement throughout the evaluation process. Alternatively, the Consultant may be requested to provide a fixed hourly rate in the schedule of costs and ensure availability to answer any potential clarification questions issued by IA. The duration of the support will be subject to IA processes.</w:t>
            </w:r>
          </w:p>
          <w:p w14:paraId="03D7E6D3" w14:textId="77777777" w:rsidR="00EA3AD5" w:rsidRDefault="00EA3AD5" w:rsidP="00A54E7F">
            <w:pPr>
              <w:pStyle w:val="BodyText"/>
              <w:keepNext/>
              <w:keepLines/>
            </w:pPr>
            <w:r w:rsidRPr="000B4A17">
              <w:rPr>
                <w:rStyle w:val="BodyTextitalic"/>
              </w:rPr>
              <w:t>Note</w:t>
            </w:r>
            <w:r>
              <w:t>: When Infrastructure Australia assessment is required, the CBA model developed by the consultant will be requested to support the submission.</w:t>
            </w:r>
          </w:p>
          <w:p w14:paraId="1DAFC530" w14:textId="0CBED74A" w:rsidR="00EA3AD5" w:rsidRPr="000B4A17" w:rsidRDefault="00EA3AD5" w:rsidP="00A54E7F">
            <w:pPr>
              <w:pStyle w:val="BodyText"/>
              <w:keepNext/>
              <w:keepLines/>
              <w:rPr>
                <w:rStyle w:val="BodyTextbold"/>
              </w:rPr>
            </w:pPr>
            <w:r w:rsidRPr="000B4A17">
              <w:rPr>
                <w:rStyle w:val="BodyTextbold"/>
                <w:color w:val="002060"/>
              </w:rPr>
              <w:t>To delete these guidance boxes, right-mouse click within this box and select Delete Rows.</w:t>
            </w:r>
          </w:p>
        </w:tc>
      </w:tr>
    </w:tbl>
    <w:p w14:paraId="38B83D7F" w14:textId="23768284" w:rsidR="00991FE3" w:rsidRDefault="000B4A17" w:rsidP="000B4A17">
      <w:pPr>
        <w:pStyle w:val="BodyText"/>
        <w:spacing w:before="240" w:after="240"/>
      </w:pPr>
      <w:r w:rsidRPr="000B4A17">
        <w:t>The scope for this engagement includes the preparation and completion of all works detailed in Clauses</w:t>
      </w:r>
      <w:r>
        <w:t> </w:t>
      </w:r>
      <w:r w:rsidRPr="000B4A17">
        <w:t>4.1, 4.2, 4.3 and 4.4 below but may also include additional items, which can be negotiated if required</w:t>
      </w:r>
      <w:r>
        <w:t> </w:t>
      </w:r>
      <w:r w:rsidRPr="000B4A17">
        <w:t>/</w:t>
      </w:r>
      <w:r>
        <w:t> </w:t>
      </w:r>
      <w:r w:rsidRPr="000B4A17">
        <w:t>when discussed.</w:t>
      </w:r>
    </w:p>
    <w:tbl>
      <w:tblPr>
        <w:tblStyle w:val="TableGrid"/>
        <w:tblW w:w="0" w:type="auto"/>
        <w:tblLook w:val="04A0" w:firstRow="1" w:lastRow="0" w:firstColumn="1" w:lastColumn="0" w:noHBand="0" w:noVBand="1"/>
      </w:tblPr>
      <w:tblGrid>
        <w:gridCol w:w="1980"/>
        <w:gridCol w:w="4678"/>
        <w:gridCol w:w="2402"/>
      </w:tblGrid>
      <w:tr w:rsidR="000B4A17" w14:paraId="12382CFE" w14:textId="77777777" w:rsidTr="00A54E7F">
        <w:trPr>
          <w:tblHeader/>
        </w:trPr>
        <w:tc>
          <w:tcPr>
            <w:tcW w:w="1980" w:type="dxa"/>
          </w:tcPr>
          <w:p w14:paraId="175BC8C2" w14:textId="6B494D73" w:rsidR="000B4A17" w:rsidRDefault="000B4A17" w:rsidP="00A54E7F">
            <w:pPr>
              <w:pStyle w:val="TableHeading"/>
              <w:keepNext w:val="0"/>
              <w:keepLines w:val="0"/>
              <w:widowControl w:val="0"/>
            </w:pPr>
            <w:r>
              <w:lastRenderedPageBreak/>
              <w:t>Category</w:t>
            </w:r>
          </w:p>
        </w:tc>
        <w:tc>
          <w:tcPr>
            <w:tcW w:w="4678" w:type="dxa"/>
          </w:tcPr>
          <w:p w14:paraId="3731767F" w14:textId="787193E1" w:rsidR="000B4A17" w:rsidRDefault="000B4A17" w:rsidP="00A54E7F">
            <w:pPr>
              <w:pStyle w:val="TableHeading"/>
              <w:keepNext w:val="0"/>
              <w:keepLines w:val="0"/>
              <w:widowControl w:val="0"/>
            </w:pPr>
            <w:r>
              <w:t>Activities</w:t>
            </w:r>
          </w:p>
        </w:tc>
        <w:tc>
          <w:tcPr>
            <w:tcW w:w="2402" w:type="dxa"/>
          </w:tcPr>
          <w:p w14:paraId="7F9BAC91" w14:textId="31B9190D" w:rsidR="000B4A17" w:rsidRDefault="000B4A17" w:rsidP="00A54E7F">
            <w:pPr>
              <w:pStyle w:val="TableHeading"/>
              <w:keepNext w:val="0"/>
              <w:keepLines w:val="0"/>
              <w:widowControl w:val="0"/>
            </w:pPr>
            <w:r>
              <w:t>Deliverables</w:t>
            </w:r>
          </w:p>
        </w:tc>
      </w:tr>
      <w:tr w:rsidR="000B4A17" w14:paraId="1B4AE6E3" w14:textId="77777777" w:rsidTr="001D1F7E">
        <w:tc>
          <w:tcPr>
            <w:tcW w:w="1980" w:type="dxa"/>
            <w:vAlign w:val="top"/>
          </w:tcPr>
          <w:p w14:paraId="1022B88F" w14:textId="5B634FB4" w:rsidR="000B4A17" w:rsidRDefault="000B4A17" w:rsidP="00A54E7F">
            <w:pPr>
              <w:pStyle w:val="TableBodyText"/>
              <w:keepNext w:val="0"/>
              <w:widowControl w:val="0"/>
            </w:pPr>
            <w:r w:rsidRPr="000B4A17">
              <w:rPr>
                <w:b/>
                <w:bCs/>
              </w:rPr>
              <w:t>4.1</w:t>
            </w:r>
            <w:r>
              <w:t xml:space="preserve"> – Economic Analysis (CBA)</w:t>
            </w:r>
          </w:p>
        </w:tc>
        <w:tc>
          <w:tcPr>
            <w:tcW w:w="4678" w:type="dxa"/>
            <w:vAlign w:val="top"/>
          </w:tcPr>
          <w:p w14:paraId="48803471" w14:textId="1695CC00" w:rsidR="000B4A17" w:rsidRPr="000B4A17" w:rsidRDefault="000B4A17" w:rsidP="00A54E7F">
            <w:pPr>
              <w:pStyle w:val="TableBodyText"/>
              <w:keepNext w:val="0"/>
              <w:widowControl w:val="0"/>
              <w:rPr>
                <w:b/>
                <w:bCs/>
              </w:rPr>
            </w:pPr>
            <w:r w:rsidRPr="000B4A17">
              <w:rPr>
                <w:b/>
                <w:bCs/>
              </w:rPr>
              <w:t>Methodology (if required):</w:t>
            </w:r>
          </w:p>
          <w:p w14:paraId="7968C05E" w14:textId="7783620B" w:rsidR="000B4A17" w:rsidRDefault="000B4A17" w:rsidP="00A54E7F">
            <w:pPr>
              <w:pStyle w:val="ListB1dotonly"/>
              <w:keepNext w:val="0"/>
              <w:widowControl w:val="0"/>
              <w:numPr>
                <w:ilvl w:val="0"/>
                <w:numId w:val="32"/>
              </w:numPr>
            </w:pPr>
            <w:r>
              <w:t>Provide a proposed economic analysis methodology and detailed work program to the department for review and agreement; the methodology is to incorporate contemporary best practice and may identify areas for further methodological development.</w:t>
            </w:r>
          </w:p>
          <w:p w14:paraId="42A8D6E0" w14:textId="0F3C39E6" w:rsidR="000B4A17" w:rsidRDefault="000B4A17" w:rsidP="00A54E7F">
            <w:pPr>
              <w:pStyle w:val="ListB1dotonly"/>
              <w:keepNext w:val="0"/>
              <w:widowControl w:val="0"/>
              <w:numPr>
                <w:ilvl w:val="0"/>
                <w:numId w:val="31"/>
              </w:numPr>
            </w:pPr>
            <w:r>
              <w:t>The methodology must include an approach for quantifying each of the benefit streams identified in Clause 3.2 above including identifying and scoping the required inputs (i.e. transport modelling, or other as required) from the project team and any external advisors.</w:t>
            </w:r>
          </w:p>
          <w:p w14:paraId="769C0439" w14:textId="5D9ECE93" w:rsidR="00377C5F" w:rsidRDefault="000B4A17" w:rsidP="00A54E7F">
            <w:pPr>
              <w:pStyle w:val="ListB1dotonly"/>
              <w:keepNext w:val="0"/>
              <w:widowControl w:val="0"/>
              <w:numPr>
                <w:ilvl w:val="0"/>
                <w:numId w:val="33"/>
              </w:numPr>
            </w:pPr>
            <w:r>
              <w:t>Address any feedback received on the draft methodology from the department and produce a final methodology.</w:t>
            </w:r>
          </w:p>
          <w:p w14:paraId="05BDF085" w14:textId="77777777" w:rsidR="000B4A17" w:rsidRPr="000B4A17" w:rsidRDefault="000B4A17" w:rsidP="00A54E7F">
            <w:pPr>
              <w:pStyle w:val="TableBodyText"/>
              <w:keepNext w:val="0"/>
              <w:widowControl w:val="0"/>
              <w:rPr>
                <w:b/>
                <w:bCs/>
              </w:rPr>
            </w:pPr>
            <w:r w:rsidRPr="000B4A17">
              <w:rPr>
                <w:b/>
                <w:bCs/>
              </w:rPr>
              <w:t>Economic Analysis – Cost Benefit Analysis (CBA):</w:t>
            </w:r>
          </w:p>
          <w:p w14:paraId="62C0C08F" w14:textId="21974577" w:rsidR="000B4A17" w:rsidRDefault="000B4A17" w:rsidP="00A54E7F">
            <w:pPr>
              <w:pStyle w:val="TableBodyText"/>
              <w:keepNext w:val="0"/>
              <w:widowControl w:val="0"/>
              <w:numPr>
                <w:ilvl w:val="0"/>
                <w:numId w:val="45"/>
              </w:numPr>
            </w:pPr>
            <w:r>
              <w:t xml:space="preserve">Work with the relevant advisor to </w:t>
            </w:r>
            <w:r w:rsidR="00377C5F">
              <w:fldChar w:fldCharType="begin">
                <w:ffData>
                  <w:name w:val=""/>
                  <w:enabled/>
                  <w:calcOnExit w:val="0"/>
                  <w:textInput>
                    <w:default w:val="[develop a suitable transport modelling methodology (base case definition) and modelling outputs OR relevant road data]"/>
                  </w:textInput>
                </w:ffData>
              </w:fldChar>
            </w:r>
            <w:r w:rsidR="00377C5F">
              <w:instrText xml:space="preserve"> FORMTEXT </w:instrText>
            </w:r>
            <w:r w:rsidR="00377C5F">
              <w:fldChar w:fldCharType="separate"/>
            </w:r>
            <w:r w:rsidR="00377C5F">
              <w:rPr>
                <w:noProof/>
              </w:rPr>
              <w:t>[develop a suitable transport modelling methodology (base case definition) and modelling outputs OR relevant road data]</w:t>
            </w:r>
            <w:r w:rsidR="00377C5F">
              <w:fldChar w:fldCharType="end"/>
            </w:r>
            <w:r w:rsidR="00377C5F">
              <w:t xml:space="preserve"> </w:t>
            </w:r>
            <w:r>
              <w:t>to complete the economic appraisal of:</w:t>
            </w:r>
          </w:p>
          <w:p w14:paraId="17A8082A" w14:textId="7C54705B" w:rsidR="000B4A17" w:rsidRDefault="000B4A17" w:rsidP="00A54E7F">
            <w:pPr>
              <w:pStyle w:val="TableBodyText"/>
              <w:keepNext w:val="0"/>
              <w:widowControl w:val="0"/>
              <w:numPr>
                <w:ilvl w:val="1"/>
                <w:numId w:val="45"/>
              </w:numPr>
            </w:pPr>
            <w:r>
              <w:t>Base Case</w:t>
            </w:r>
          </w:p>
          <w:p w14:paraId="244E0169" w14:textId="67886EAB" w:rsidR="000B4A17" w:rsidRDefault="00377C5F" w:rsidP="00A54E7F">
            <w:pPr>
              <w:pStyle w:val="TableBodyText"/>
              <w:keepNext w:val="0"/>
              <w:widowControl w:val="0"/>
              <w:numPr>
                <w:ilvl w:val="1"/>
                <w:numId w:val="45"/>
              </w:numPr>
            </w:pPr>
            <w:r>
              <w:fldChar w:fldCharType="begin">
                <w:ffData>
                  <w:name w:val=""/>
                  <w:enabled/>
                  <w:calcOnExit w:val="0"/>
                  <w:textInput>
                    <w:default w:val="[Insert relevant project options / scenarios]"/>
                  </w:textInput>
                </w:ffData>
              </w:fldChar>
            </w:r>
            <w:r>
              <w:instrText xml:space="preserve"> FORMTEXT </w:instrText>
            </w:r>
            <w:r>
              <w:fldChar w:fldCharType="separate"/>
            </w:r>
            <w:r>
              <w:rPr>
                <w:noProof/>
              </w:rPr>
              <w:t>[Insert relevant project options / scenarios]</w:t>
            </w:r>
            <w:r>
              <w:fldChar w:fldCharType="end"/>
            </w:r>
          </w:p>
          <w:p w14:paraId="5F98DDED" w14:textId="3A0712A3" w:rsidR="000B4A17" w:rsidRDefault="000B4A17" w:rsidP="00A54E7F">
            <w:pPr>
              <w:pStyle w:val="TableBodyText"/>
              <w:keepNext w:val="0"/>
              <w:widowControl w:val="0"/>
              <w:numPr>
                <w:ilvl w:val="0"/>
                <w:numId w:val="45"/>
              </w:numPr>
            </w:pPr>
            <w:r>
              <w:t>Collaborate with the department and relevant advisors to obtain the inputs required in a suitable format to complete the economic analysis, including but not limited to:</w:t>
            </w:r>
          </w:p>
          <w:p w14:paraId="0686C390" w14:textId="35A49BA3" w:rsidR="000B4A17" w:rsidRDefault="000B4A17" w:rsidP="00A54E7F">
            <w:pPr>
              <w:pStyle w:val="TableBodyText"/>
              <w:keepNext w:val="0"/>
              <w:widowControl w:val="0"/>
              <w:numPr>
                <w:ilvl w:val="1"/>
                <w:numId w:val="45"/>
              </w:numPr>
            </w:pPr>
            <w:r>
              <w:t>Risk adjusted cost estimates (CAPEX and OPEX)</w:t>
            </w:r>
          </w:p>
          <w:p w14:paraId="7B092574" w14:textId="4B06DACA" w:rsidR="000B4A17" w:rsidRDefault="000B4A17" w:rsidP="00A54E7F">
            <w:pPr>
              <w:pStyle w:val="TableBodyText"/>
              <w:keepNext w:val="0"/>
              <w:widowControl w:val="0"/>
              <w:numPr>
                <w:ilvl w:val="1"/>
                <w:numId w:val="45"/>
              </w:numPr>
            </w:pPr>
            <w:r>
              <w:t xml:space="preserve">Strategic transport modelling results </w:t>
            </w:r>
          </w:p>
          <w:p w14:paraId="28EED18C" w14:textId="7FE5EFC5" w:rsidR="000B4A17" w:rsidRDefault="000B4A17" w:rsidP="00A54E7F">
            <w:pPr>
              <w:pStyle w:val="TableBodyText"/>
              <w:keepNext w:val="0"/>
              <w:widowControl w:val="0"/>
              <w:numPr>
                <w:ilvl w:val="1"/>
                <w:numId w:val="45"/>
              </w:numPr>
            </w:pPr>
            <w:r>
              <w:t>Traffic simulation modelling results</w:t>
            </w:r>
          </w:p>
          <w:p w14:paraId="6CE9ABD1" w14:textId="45B861F0" w:rsidR="000B4A17" w:rsidRDefault="000B4A17" w:rsidP="00A54E7F">
            <w:pPr>
              <w:pStyle w:val="TableBodyText"/>
              <w:keepNext w:val="0"/>
              <w:widowControl w:val="0"/>
              <w:numPr>
                <w:ilvl w:val="1"/>
                <w:numId w:val="45"/>
              </w:numPr>
            </w:pPr>
            <w:r>
              <w:t xml:space="preserve">Road and traffic data </w:t>
            </w:r>
          </w:p>
          <w:p w14:paraId="5B716776" w14:textId="751D2C23" w:rsidR="000B4A17" w:rsidRDefault="000B4A17" w:rsidP="00A54E7F">
            <w:pPr>
              <w:pStyle w:val="TableBodyText"/>
              <w:keepNext w:val="0"/>
              <w:widowControl w:val="0"/>
              <w:numPr>
                <w:ilvl w:val="1"/>
                <w:numId w:val="45"/>
              </w:numPr>
            </w:pPr>
            <w:r>
              <w:t>Demographics data inputs.</w:t>
            </w:r>
          </w:p>
          <w:p w14:paraId="289B017F" w14:textId="77777777" w:rsidR="000B4A17" w:rsidRDefault="000B4A17" w:rsidP="00A54E7F">
            <w:pPr>
              <w:pStyle w:val="TableBodyText"/>
              <w:keepNext w:val="0"/>
              <w:widowControl w:val="0"/>
              <w:ind w:left="227"/>
            </w:pPr>
            <w:r>
              <w:t xml:space="preserve">Any other data that is required to complete the economic analysis can be discussed and may be provided by the project team. An </w:t>
            </w:r>
            <w:proofErr w:type="gramStart"/>
            <w:r>
              <w:t>assumptions</w:t>
            </w:r>
            <w:proofErr w:type="gramEnd"/>
            <w:r>
              <w:t xml:space="preserve"> register and model schematic is to be produced to support the model. </w:t>
            </w:r>
          </w:p>
          <w:p w14:paraId="5D9520A1" w14:textId="02130A01" w:rsidR="000B4A17" w:rsidRDefault="000B4A17" w:rsidP="00A54E7F">
            <w:pPr>
              <w:pStyle w:val="TableBodyText"/>
              <w:keepNext w:val="0"/>
              <w:widowControl w:val="0"/>
              <w:numPr>
                <w:ilvl w:val="0"/>
                <w:numId w:val="45"/>
              </w:numPr>
            </w:pPr>
            <w:r>
              <w:t>Calculate the present value of relevant benefit and costs streams at 7% discount rate in the central case and sensitivity testing at 4% and 10% discount rates.</w:t>
            </w:r>
          </w:p>
          <w:p w14:paraId="3D11A2DF" w14:textId="2F737C97" w:rsidR="000B4A17" w:rsidRDefault="000B4A17" w:rsidP="00A54E7F">
            <w:pPr>
              <w:pStyle w:val="TableBodyText"/>
              <w:keepNext w:val="0"/>
              <w:widowControl w:val="0"/>
              <w:numPr>
                <w:ilvl w:val="0"/>
                <w:numId w:val="46"/>
              </w:numPr>
            </w:pPr>
            <w:r>
              <w:lastRenderedPageBreak/>
              <w:t>Conduct detailed economic analysis of the preferred project option(s) to produce economic indicators, such as the Net Present Value (NPV), Benefit Cost Ratio (BCR), Incremental Benefit Cost Ratio (IBCR), First Year Rate of Return (FYRR), and Internal Rate of Return (IRR), as agreed.</w:t>
            </w:r>
          </w:p>
          <w:p w14:paraId="68A20B71" w14:textId="18C9279D" w:rsidR="000B4A17" w:rsidRDefault="000B4A17" w:rsidP="00A54E7F">
            <w:pPr>
              <w:pStyle w:val="TableBodyText"/>
              <w:keepNext w:val="0"/>
              <w:widowControl w:val="0"/>
              <w:numPr>
                <w:ilvl w:val="0"/>
                <w:numId w:val="46"/>
              </w:numPr>
            </w:pPr>
            <w:r>
              <w:t>Facilitate a workshop(s) to discuss the scope, methodology and assumptions underpinning the economic analysis with the department's subject matter experts, including the PEU Economics Team.</w:t>
            </w:r>
          </w:p>
          <w:p w14:paraId="2B9DE45D" w14:textId="4117BD98" w:rsidR="000B4A17" w:rsidRDefault="000B4A17" w:rsidP="00A54E7F">
            <w:pPr>
              <w:pStyle w:val="TableBodyText"/>
              <w:keepNext w:val="0"/>
              <w:widowControl w:val="0"/>
              <w:numPr>
                <w:ilvl w:val="0"/>
                <w:numId w:val="46"/>
              </w:numPr>
            </w:pPr>
            <w:r>
              <w:t>Incorporate into the economic analysis the risk-adjusted whole of life (capital and operating) P90 and P50 cost estimation inputs that will be provided by the Cost Estimator and ensure consistency with the financial analysis.</w:t>
            </w:r>
          </w:p>
          <w:p w14:paraId="634E965B" w14:textId="638F1017" w:rsidR="000B4A17" w:rsidRDefault="000B4A17" w:rsidP="00A54E7F">
            <w:pPr>
              <w:pStyle w:val="TableBodyText"/>
              <w:keepNext w:val="0"/>
              <w:widowControl w:val="0"/>
              <w:numPr>
                <w:ilvl w:val="0"/>
                <w:numId w:val="47"/>
              </w:numPr>
            </w:pPr>
            <w:r>
              <w:t>Include the relevant sensitivity and scenario tests, where suitable or discussed with the department. At a minimum, the consultant must include:</w:t>
            </w:r>
          </w:p>
          <w:p w14:paraId="58EB0157" w14:textId="70643D0D" w:rsidR="000B4A17" w:rsidRDefault="00377C5F" w:rsidP="00A54E7F">
            <w:pPr>
              <w:pStyle w:val="TableBodyText"/>
              <w:keepNext w:val="0"/>
              <w:widowControl w:val="0"/>
              <w:numPr>
                <w:ilvl w:val="1"/>
                <w:numId w:val="47"/>
              </w:numPr>
            </w:pPr>
            <w:r>
              <w:fldChar w:fldCharType="begin">
                <w:ffData>
                  <w:name w:val=""/>
                  <w:enabled/>
                  <w:calcOnExit w:val="0"/>
                  <w:textInput>
                    <w:default w:val="[insert relevant sensitivity and scenario tests]"/>
                  </w:textInput>
                </w:ffData>
              </w:fldChar>
            </w:r>
            <w:r>
              <w:instrText xml:space="preserve"> FORMTEXT </w:instrText>
            </w:r>
            <w:r>
              <w:fldChar w:fldCharType="separate"/>
            </w:r>
            <w:r>
              <w:rPr>
                <w:noProof/>
              </w:rPr>
              <w:t>[insert relevant sensitivity and scenario tests]</w:t>
            </w:r>
            <w:r>
              <w:fldChar w:fldCharType="end"/>
            </w:r>
          </w:p>
          <w:p w14:paraId="4A9F501B" w14:textId="67618635" w:rsidR="000B4A17" w:rsidRDefault="000B4A17" w:rsidP="00A54E7F">
            <w:pPr>
              <w:pStyle w:val="TableBodyText"/>
              <w:keepNext w:val="0"/>
              <w:widowControl w:val="0"/>
              <w:numPr>
                <w:ilvl w:val="0"/>
                <w:numId w:val="47"/>
              </w:numPr>
            </w:pPr>
            <w:r>
              <w:t>Produce a standalone economic analysis report, providing all necessary detail to ensure transparency.</w:t>
            </w:r>
          </w:p>
          <w:p w14:paraId="5CD0EC0E" w14:textId="4035363E" w:rsidR="000B4A17" w:rsidRPr="00377C5F" w:rsidRDefault="000B4A17" w:rsidP="00A54E7F">
            <w:pPr>
              <w:pStyle w:val="TableBodyText"/>
              <w:keepNext w:val="0"/>
              <w:widowControl w:val="0"/>
              <w:rPr>
                <w:b/>
                <w:bCs/>
              </w:rPr>
            </w:pPr>
            <w:r w:rsidRPr="00377C5F">
              <w:rPr>
                <w:b/>
                <w:bCs/>
              </w:rPr>
              <w:t xml:space="preserve">Other analysis </w:t>
            </w:r>
            <w:r w:rsidR="00377C5F">
              <w:fldChar w:fldCharType="begin">
                <w:ffData>
                  <w:name w:val=""/>
                  <w:enabled/>
                  <w:calcOnExit w:val="0"/>
                  <w:textInput>
                    <w:default w:val="[insert relevant other analysis]"/>
                  </w:textInput>
                </w:ffData>
              </w:fldChar>
            </w:r>
            <w:r w:rsidR="00377C5F">
              <w:instrText xml:space="preserve"> FORMTEXT </w:instrText>
            </w:r>
            <w:r w:rsidR="00377C5F">
              <w:fldChar w:fldCharType="separate"/>
            </w:r>
            <w:r w:rsidR="00377C5F">
              <w:rPr>
                <w:noProof/>
              </w:rPr>
              <w:t>[insert relevant other analysis]</w:t>
            </w:r>
            <w:r w:rsidR="00377C5F">
              <w:fldChar w:fldCharType="end"/>
            </w:r>
            <w:r w:rsidRPr="00377C5F">
              <w:rPr>
                <w:b/>
                <w:bCs/>
              </w:rPr>
              <w:t>:</w:t>
            </w:r>
          </w:p>
          <w:p w14:paraId="1F0F06D7" w14:textId="77777777" w:rsidR="000B4A17" w:rsidRDefault="000B4A17" w:rsidP="00A54E7F">
            <w:pPr>
              <w:pStyle w:val="TableBodyText"/>
              <w:keepNext w:val="0"/>
              <w:widowControl w:val="0"/>
            </w:pPr>
          </w:p>
        </w:tc>
        <w:tc>
          <w:tcPr>
            <w:tcW w:w="2402" w:type="dxa"/>
            <w:vAlign w:val="top"/>
          </w:tcPr>
          <w:p w14:paraId="69A010D1" w14:textId="0B1C4256" w:rsidR="001D1F7E" w:rsidRDefault="001D1F7E" w:rsidP="00A54E7F">
            <w:pPr>
              <w:pStyle w:val="TableBodyText"/>
              <w:keepNext w:val="0"/>
              <w:widowControl w:val="0"/>
              <w:numPr>
                <w:ilvl w:val="0"/>
                <w:numId w:val="38"/>
              </w:numPr>
            </w:pPr>
            <w:r>
              <w:lastRenderedPageBreak/>
              <w:t xml:space="preserve">Methodology paper including agreed economic analysis approach, parameters, benefits and required inputs </w:t>
            </w:r>
            <w:r w:rsidRPr="001D1F7E">
              <w:rPr>
                <w:highlight w:val="yellow"/>
              </w:rPr>
              <w:t>(if required)</w:t>
            </w:r>
          </w:p>
          <w:p w14:paraId="3CB206A1" w14:textId="166D7451" w:rsidR="001D1F7E" w:rsidRDefault="001D1F7E" w:rsidP="00A54E7F">
            <w:pPr>
              <w:pStyle w:val="TableBodyText"/>
              <w:keepNext w:val="0"/>
              <w:widowControl w:val="0"/>
              <w:numPr>
                <w:ilvl w:val="0"/>
                <w:numId w:val="39"/>
              </w:numPr>
            </w:pPr>
            <w:r>
              <w:t xml:space="preserve">Draft analysis and findings workshop </w:t>
            </w:r>
            <w:r w:rsidRPr="001D1F7E">
              <w:rPr>
                <w:highlight w:val="yellow"/>
              </w:rPr>
              <w:t>(if required)</w:t>
            </w:r>
          </w:p>
          <w:p w14:paraId="14B52D20" w14:textId="1AEED1AF" w:rsidR="001D1F7E" w:rsidRDefault="001D1F7E" w:rsidP="00A54E7F">
            <w:pPr>
              <w:pStyle w:val="TableBodyText"/>
              <w:keepNext w:val="0"/>
              <w:widowControl w:val="0"/>
              <w:numPr>
                <w:ilvl w:val="0"/>
                <w:numId w:val="40"/>
              </w:numPr>
            </w:pPr>
            <w:r>
              <w:t>Detailed economic analysis report (draft and final)</w:t>
            </w:r>
          </w:p>
          <w:p w14:paraId="0590E7EA" w14:textId="28A530B1" w:rsidR="001D1F7E" w:rsidRDefault="001D1F7E" w:rsidP="00A54E7F">
            <w:pPr>
              <w:pStyle w:val="TableBodyText"/>
              <w:keepNext w:val="0"/>
              <w:widowControl w:val="0"/>
              <w:numPr>
                <w:ilvl w:val="0"/>
                <w:numId w:val="41"/>
              </w:numPr>
            </w:pPr>
            <w:r>
              <w:t xml:space="preserve">Economic Analysis chapter </w:t>
            </w:r>
            <w:r w:rsidRPr="001D1F7E">
              <w:rPr>
                <w:highlight w:val="yellow"/>
              </w:rPr>
              <w:t>(if required)</w:t>
            </w:r>
          </w:p>
          <w:p w14:paraId="231DB3D5" w14:textId="2B6BFA71" w:rsidR="001D1F7E" w:rsidRDefault="001D1F7E" w:rsidP="00A54E7F">
            <w:pPr>
              <w:pStyle w:val="TableBodyText"/>
              <w:keepNext w:val="0"/>
              <w:widowControl w:val="0"/>
              <w:numPr>
                <w:ilvl w:val="0"/>
                <w:numId w:val="42"/>
              </w:numPr>
            </w:pPr>
            <w:r>
              <w:t xml:space="preserve">Inputs to </w:t>
            </w:r>
            <w:r>
              <w:fldChar w:fldCharType="begin">
                <w:ffData>
                  <w:name w:val=""/>
                  <w:enabled/>
                  <w:calcOnExit w:val="0"/>
                  <w:textInput>
                    <w:default w:val="[Insert relevant submission type and associated deliverables (e.g. IA submission / PPR / Other)]"/>
                  </w:textInput>
                </w:ffData>
              </w:fldChar>
            </w:r>
            <w:r>
              <w:instrText xml:space="preserve"> FORMTEXT </w:instrText>
            </w:r>
            <w:r>
              <w:fldChar w:fldCharType="separate"/>
            </w:r>
            <w:r>
              <w:rPr>
                <w:noProof/>
              </w:rPr>
              <w:t>[Insert relevant submission type and associated deliverables (e.g. IA submission / PPR / Other)]</w:t>
            </w:r>
            <w:r>
              <w:fldChar w:fldCharType="end"/>
            </w:r>
            <w:r>
              <w:t xml:space="preserve"> </w:t>
            </w:r>
          </w:p>
          <w:p w14:paraId="4588B238" w14:textId="215B5E58" w:rsidR="001D1F7E" w:rsidRDefault="001D1F7E" w:rsidP="00A54E7F">
            <w:pPr>
              <w:pStyle w:val="TableBodyText"/>
              <w:keepNext w:val="0"/>
              <w:widowControl w:val="0"/>
              <w:numPr>
                <w:ilvl w:val="0"/>
                <w:numId w:val="43"/>
              </w:numPr>
            </w:pPr>
            <w:r>
              <w:t>Unlocked, soft-coded model with scenarios and sensitivity-testing incorporated</w:t>
            </w:r>
          </w:p>
          <w:p w14:paraId="1E86251F" w14:textId="2F8FCCC0" w:rsidR="000B4A17" w:rsidRDefault="001D1F7E" w:rsidP="00A54E7F">
            <w:pPr>
              <w:pStyle w:val="TableBodyText"/>
              <w:keepNext w:val="0"/>
              <w:widowControl w:val="0"/>
              <w:numPr>
                <w:ilvl w:val="0"/>
                <w:numId w:val="44"/>
              </w:numPr>
            </w:pPr>
            <w:r>
              <w:t xml:space="preserve">Model walk-through workshop </w:t>
            </w:r>
            <w:r w:rsidRPr="001D1F7E">
              <w:rPr>
                <w:highlight w:val="yellow"/>
              </w:rPr>
              <w:t>(if required)</w:t>
            </w:r>
          </w:p>
        </w:tc>
      </w:tr>
      <w:tr w:rsidR="000B4A17" w14:paraId="60154F89" w14:textId="77777777" w:rsidTr="001D1F7E">
        <w:tc>
          <w:tcPr>
            <w:tcW w:w="1980" w:type="dxa"/>
            <w:vAlign w:val="top"/>
          </w:tcPr>
          <w:p w14:paraId="23885707" w14:textId="25009B51" w:rsidR="000B4A17" w:rsidRDefault="001D1F7E" w:rsidP="00A54E7F">
            <w:pPr>
              <w:pStyle w:val="TableBodyText"/>
              <w:keepNext w:val="0"/>
              <w:keepLines w:val="0"/>
              <w:widowControl w:val="0"/>
            </w:pPr>
            <w:r w:rsidRPr="001D1F7E">
              <w:rPr>
                <w:b/>
                <w:bCs/>
              </w:rPr>
              <w:t>4.2</w:t>
            </w:r>
            <w:r>
              <w:t xml:space="preserve"> – Base Case and Project Case</w:t>
            </w:r>
          </w:p>
        </w:tc>
        <w:tc>
          <w:tcPr>
            <w:tcW w:w="4678" w:type="dxa"/>
            <w:vAlign w:val="top"/>
          </w:tcPr>
          <w:p w14:paraId="6A64D92D" w14:textId="737FEC5A" w:rsidR="001D1F7E" w:rsidRDefault="001D1F7E" w:rsidP="00A54E7F">
            <w:pPr>
              <w:pStyle w:val="TableBodyText"/>
              <w:keepNext w:val="0"/>
              <w:keepLines w:val="0"/>
              <w:widowControl w:val="0"/>
              <w:numPr>
                <w:ilvl w:val="0"/>
                <w:numId w:val="48"/>
              </w:numPr>
            </w:pPr>
            <w:r>
              <w:t xml:space="preserve">Document the Base Case and Project Case(s) intended to be used in the economic analysis, ensuring they align with the broader project documentation and intended project purpose / objectives. </w:t>
            </w:r>
          </w:p>
          <w:p w14:paraId="407F62BD" w14:textId="20A6ABB1" w:rsidR="000B4A17" w:rsidRDefault="001D1F7E" w:rsidP="00A54E7F">
            <w:pPr>
              <w:pStyle w:val="TableBodyText"/>
              <w:keepNext w:val="0"/>
              <w:keepLines w:val="0"/>
              <w:widowControl w:val="0"/>
              <w:numPr>
                <w:ilvl w:val="0"/>
                <w:numId w:val="48"/>
              </w:numPr>
            </w:pPr>
            <w:r>
              <w:t>The Economics Consultant will work with the relevant advisors to determine suitable Base Case assumptions and requirements.</w:t>
            </w:r>
          </w:p>
        </w:tc>
        <w:tc>
          <w:tcPr>
            <w:tcW w:w="2402" w:type="dxa"/>
            <w:vAlign w:val="top"/>
          </w:tcPr>
          <w:p w14:paraId="71FBB32A" w14:textId="75F2E2F8" w:rsidR="000B4A17" w:rsidRDefault="001D1F7E" w:rsidP="00A54E7F">
            <w:pPr>
              <w:pStyle w:val="TableBodyText"/>
              <w:keepNext w:val="0"/>
              <w:keepLines w:val="0"/>
              <w:widowControl w:val="0"/>
              <w:numPr>
                <w:ilvl w:val="0"/>
                <w:numId w:val="16"/>
              </w:numPr>
            </w:pPr>
            <w:r w:rsidRPr="001D1F7E">
              <w:t>Written advice on Base Case (if required)</w:t>
            </w:r>
          </w:p>
        </w:tc>
      </w:tr>
      <w:tr w:rsidR="000B4A17" w14:paraId="3D294BA5" w14:textId="77777777" w:rsidTr="001D1F7E">
        <w:tc>
          <w:tcPr>
            <w:tcW w:w="1980" w:type="dxa"/>
            <w:vAlign w:val="top"/>
          </w:tcPr>
          <w:p w14:paraId="2C992F96" w14:textId="6F0B90A1" w:rsidR="000B4A17" w:rsidRDefault="001D1F7E" w:rsidP="00A54E7F">
            <w:pPr>
              <w:pStyle w:val="TableBodyText"/>
              <w:keepNext w:val="0"/>
              <w:keepLines w:val="0"/>
              <w:widowControl w:val="0"/>
            </w:pPr>
            <w:r w:rsidRPr="001D1F7E">
              <w:rPr>
                <w:b/>
                <w:bCs/>
              </w:rPr>
              <w:t>4.3</w:t>
            </w:r>
            <w:r>
              <w:t xml:space="preserve"> – Stakeholders</w:t>
            </w:r>
          </w:p>
        </w:tc>
        <w:tc>
          <w:tcPr>
            <w:tcW w:w="4678" w:type="dxa"/>
            <w:vAlign w:val="top"/>
          </w:tcPr>
          <w:p w14:paraId="070D5AF9" w14:textId="5269F313" w:rsidR="001D1F7E" w:rsidRDefault="001D1F7E" w:rsidP="00A54E7F">
            <w:pPr>
              <w:pStyle w:val="TableBodyText"/>
              <w:keepNext w:val="0"/>
              <w:keepLines w:val="0"/>
              <w:widowControl w:val="0"/>
              <w:numPr>
                <w:ilvl w:val="0"/>
                <w:numId w:val="49"/>
              </w:numPr>
            </w:pPr>
            <w:r>
              <w:t>Engagement with key project stakeholders at state and federal government level, where necessary, including Queensland central government agencies, Infrastructure Australia and the Department of Infrastructure, Transport, Regional Development, and Communications (DITRDC).</w:t>
            </w:r>
          </w:p>
          <w:p w14:paraId="2667AB85" w14:textId="25B158BF" w:rsidR="001D1F7E" w:rsidRDefault="001D1F7E" w:rsidP="00A54E7F">
            <w:pPr>
              <w:pStyle w:val="TableBodyText"/>
              <w:keepNext w:val="0"/>
              <w:keepLines w:val="0"/>
              <w:widowControl w:val="0"/>
              <w:numPr>
                <w:ilvl w:val="0"/>
                <w:numId w:val="49"/>
              </w:numPr>
            </w:pPr>
            <w:r>
              <w:t xml:space="preserve">Payment and pricing should reflect the potential engagement requirements of the project </w:t>
            </w:r>
            <w:r w:rsidRPr="001D1F7E">
              <w:rPr>
                <w:highlight w:val="yellow"/>
              </w:rPr>
              <w:t>(if required)</w:t>
            </w:r>
            <w:r>
              <w:t>.</w:t>
            </w:r>
          </w:p>
          <w:p w14:paraId="0BC347CA" w14:textId="46A68E31" w:rsidR="000B4A17" w:rsidRDefault="001D1F7E" w:rsidP="00A54E7F">
            <w:pPr>
              <w:pStyle w:val="TableBodyText"/>
              <w:keepNext w:val="0"/>
              <w:keepLines w:val="0"/>
              <w:widowControl w:val="0"/>
              <w:numPr>
                <w:ilvl w:val="0"/>
                <w:numId w:val="49"/>
              </w:numPr>
            </w:pPr>
            <w:r>
              <w:t>For projects subject to Infrastructure Australia scrutiny, the Economics Consultant is to remain available / engaged to provide relevant input or responses to clarification questions (this process generally lasts up to 6</w:t>
            </w:r>
            <w:r w:rsidR="003E2958">
              <w:t> </w:t>
            </w:r>
            <w:r>
              <w:t>months and will be enacted on an 'as needed' basis).</w:t>
            </w:r>
          </w:p>
        </w:tc>
        <w:tc>
          <w:tcPr>
            <w:tcW w:w="2402" w:type="dxa"/>
            <w:vAlign w:val="top"/>
          </w:tcPr>
          <w:p w14:paraId="1F210DB7" w14:textId="1758C357" w:rsidR="001D1F7E" w:rsidRDefault="001D1F7E" w:rsidP="00A54E7F">
            <w:pPr>
              <w:pStyle w:val="TableBodyText"/>
              <w:keepNext w:val="0"/>
              <w:keepLines w:val="0"/>
              <w:widowControl w:val="0"/>
              <w:numPr>
                <w:ilvl w:val="0"/>
                <w:numId w:val="50"/>
              </w:numPr>
            </w:pPr>
            <w:r>
              <w:t>Input for briefing notes, meeting agendas and presentation</w:t>
            </w:r>
          </w:p>
          <w:p w14:paraId="5217E5D8" w14:textId="41635061" w:rsidR="001D1F7E" w:rsidRDefault="001D1F7E" w:rsidP="00A54E7F">
            <w:pPr>
              <w:pStyle w:val="TableBodyText"/>
              <w:keepNext w:val="0"/>
              <w:keepLines w:val="0"/>
              <w:widowControl w:val="0"/>
              <w:numPr>
                <w:ilvl w:val="0"/>
                <w:numId w:val="50"/>
              </w:numPr>
            </w:pPr>
            <w:r>
              <w:t>Detailed responses to relevant clarification questions.</w:t>
            </w:r>
          </w:p>
          <w:p w14:paraId="5DA5CFFF" w14:textId="1E819AA6" w:rsidR="000B4A17" w:rsidRDefault="001D1F7E" w:rsidP="00A54E7F">
            <w:pPr>
              <w:pStyle w:val="TableBodyText"/>
              <w:keepNext w:val="0"/>
              <w:keepLines w:val="0"/>
              <w:widowControl w:val="0"/>
              <w:numPr>
                <w:ilvl w:val="0"/>
                <w:numId w:val="50"/>
              </w:numPr>
            </w:pPr>
            <w:r>
              <w:t>Attendance at relevant meetings</w:t>
            </w:r>
          </w:p>
        </w:tc>
      </w:tr>
      <w:tr w:rsidR="000B4A17" w14:paraId="17EBEE44" w14:textId="77777777" w:rsidTr="001D1F7E">
        <w:tc>
          <w:tcPr>
            <w:tcW w:w="1980" w:type="dxa"/>
            <w:vAlign w:val="top"/>
          </w:tcPr>
          <w:p w14:paraId="7447C2E5" w14:textId="7EA1AAAB" w:rsidR="000B4A17" w:rsidRDefault="003E2958" w:rsidP="00A54E7F">
            <w:pPr>
              <w:pStyle w:val="TableBodyText"/>
              <w:keepNext w:val="0"/>
              <w:widowControl w:val="0"/>
            </w:pPr>
            <w:r w:rsidRPr="003E2958">
              <w:rPr>
                <w:b/>
                <w:bCs/>
              </w:rPr>
              <w:lastRenderedPageBreak/>
              <w:t>4.4</w:t>
            </w:r>
            <w:r>
              <w:t xml:space="preserve"> – Reporting, meetings and ad hoc tasks</w:t>
            </w:r>
          </w:p>
        </w:tc>
        <w:tc>
          <w:tcPr>
            <w:tcW w:w="4678" w:type="dxa"/>
            <w:vAlign w:val="top"/>
          </w:tcPr>
          <w:p w14:paraId="0D81DE0A" w14:textId="47E6AF02" w:rsidR="003E2958" w:rsidRDefault="003E2958" w:rsidP="00A54E7F">
            <w:pPr>
              <w:pStyle w:val="TableBodyText"/>
              <w:keepNext w:val="0"/>
              <w:widowControl w:val="0"/>
              <w:numPr>
                <w:ilvl w:val="0"/>
                <w:numId w:val="19"/>
              </w:numPr>
            </w:pPr>
            <w:r>
              <w:t>Adequately and thoroughly address all questions and concerns raised in the review and assurance processes.</w:t>
            </w:r>
          </w:p>
          <w:p w14:paraId="4A2FD55D" w14:textId="3827729B" w:rsidR="003E2958" w:rsidRDefault="003E2958" w:rsidP="00A54E7F">
            <w:pPr>
              <w:pStyle w:val="TableBodyText"/>
              <w:keepNext w:val="0"/>
              <w:widowControl w:val="0"/>
              <w:numPr>
                <w:ilvl w:val="0"/>
                <w:numId w:val="19"/>
              </w:numPr>
            </w:pPr>
            <w:r>
              <w:t>Prepare inputs for briefing notes, correspondence, reports, as required.</w:t>
            </w:r>
          </w:p>
          <w:p w14:paraId="000CAFC0" w14:textId="14CCDA8D" w:rsidR="000B4A17" w:rsidRDefault="003E2958" w:rsidP="00A54E7F">
            <w:pPr>
              <w:pStyle w:val="TableBodyText"/>
              <w:keepNext w:val="0"/>
              <w:widowControl w:val="0"/>
              <w:numPr>
                <w:ilvl w:val="0"/>
                <w:numId w:val="19"/>
              </w:numPr>
            </w:pPr>
            <w:r>
              <w:t>Attend meetings and workshops, including working groups and governance meetings.</w:t>
            </w:r>
          </w:p>
        </w:tc>
        <w:tc>
          <w:tcPr>
            <w:tcW w:w="2402" w:type="dxa"/>
            <w:vAlign w:val="top"/>
          </w:tcPr>
          <w:p w14:paraId="25D41B2A" w14:textId="42254DA9" w:rsidR="003E2958" w:rsidRDefault="003E2958" w:rsidP="00A54E7F">
            <w:pPr>
              <w:pStyle w:val="TableBodyText"/>
              <w:keepNext w:val="0"/>
              <w:widowControl w:val="0"/>
              <w:numPr>
                <w:ilvl w:val="0"/>
                <w:numId w:val="51"/>
              </w:numPr>
            </w:pPr>
            <w:r>
              <w:t>Input for briefing notes, reports and correspondence (as required).</w:t>
            </w:r>
          </w:p>
          <w:p w14:paraId="01BF033D" w14:textId="106E0A55" w:rsidR="000B4A17" w:rsidRDefault="003E2958" w:rsidP="00A54E7F">
            <w:pPr>
              <w:pStyle w:val="TableBodyText"/>
              <w:keepNext w:val="0"/>
              <w:widowControl w:val="0"/>
              <w:numPr>
                <w:ilvl w:val="0"/>
                <w:numId w:val="51"/>
              </w:numPr>
            </w:pPr>
            <w:r>
              <w:t>Detailed action comments into issues log.</w:t>
            </w:r>
          </w:p>
        </w:tc>
      </w:tr>
    </w:tbl>
    <w:p w14:paraId="1479C23F" w14:textId="16AB753D" w:rsidR="000B4A17" w:rsidRDefault="003E2958" w:rsidP="003E2958">
      <w:pPr>
        <w:pStyle w:val="Heading1"/>
      </w:pPr>
      <w:bookmarkStart w:id="18" w:name="_Toc74817262"/>
      <w:r>
        <w:t>Engagement and assurance</w:t>
      </w:r>
      <w:bookmarkEnd w:id="18"/>
    </w:p>
    <w:p w14:paraId="220D66F6" w14:textId="74E264D4" w:rsidR="003E2958" w:rsidRDefault="003E2958" w:rsidP="003E2958">
      <w:pPr>
        <w:pStyle w:val="Heading2"/>
      </w:pPr>
      <w:bookmarkStart w:id="19" w:name="_Toc74817263"/>
      <w:r>
        <w:t>Engagement</w:t>
      </w:r>
      <w:bookmarkEnd w:id="19"/>
    </w:p>
    <w:p w14:paraId="7733B22C" w14:textId="11C3D510" w:rsidR="003E2958" w:rsidRDefault="003E2958" w:rsidP="003E2958">
      <w:pPr>
        <w:pStyle w:val="BodyText"/>
      </w:pPr>
      <w:r>
        <w:t>In addition to the requirement of proposed methodology, the Economics Consultant may also engage the PEU Economics Team (subject to agreement from the Project Manager) to clarify and/or workshop complex or uncertain elements of the analysis. The appropriate point of contact for this engagement is the Manager (Economics) in Project Evaluation.</w:t>
      </w:r>
    </w:p>
    <w:p w14:paraId="154734C7" w14:textId="20D18BAD" w:rsidR="003E2958" w:rsidRDefault="003E2958" w:rsidP="003E2958">
      <w:pPr>
        <w:pStyle w:val="BodyText"/>
      </w:pPr>
      <w:r>
        <w:t>For projects subject to the requirements of IA, engagement with IA can be arranged through contact with the PEU Economics Team (subject to agreement between the Project Manager and Director (Project Evaluation)). The Economics Consultant, in consultation with the department, must clearly articulate the issues and develop potential solutions before engagement with IA will be arranged.</w:t>
      </w:r>
    </w:p>
    <w:p w14:paraId="67C07442" w14:textId="5F13B2EB" w:rsidR="003E2958" w:rsidRDefault="003E2958" w:rsidP="003E2958">
      <w:pPr>
        <w:pStyle w:val="Heading2"/>
      </w:pPr>
      <w:bookmarkStart w:id="20" w:name="_Toc74817264"/>
      <w:r>
        <w:t>Assurance</w:t>
      </w:r>
      <w:bookmarkEnd w:id="20"/>
    </w:p>
    <w:p w14:paraId="5D38EA22" w14:textId="77777777" w:rsidR="003E2958" w:rsidRDefault="003E2958" w:rsidP="003E2958">
      <w:pPr>
        <w:pStyle w:val="BodyText"/>
      </w:pPr>
      <w:r>
        <w:t>There are two key milestones within the process (as reflected in the key deliverables above) subject to the review and approval of the PEU Economics Team:</w:t>
      </w:r>
    </w:p>
    <w:p w14:paraId="6B7AF23D" w14:textId="609C299C" w:rsidR="003E2958" w:rsidRDefault="003E2958" w:rsidP="003E2958">
      <w:pPr>
        <w:pStyle w:val="ListB1dotonly"/>
      </w:pPr>
      <w:r>
        <w:t>methodology paper</w:t>
      </w:r>
    </w:p>
    <w:p w14:paraId="66AC10D5" w14:textId="74F029A6" w:rsidR="003E2958" w:rsidRDefault="003E2958" w:rsidP="003E2958">
      <w:pPr>
        <w:pStyle w:val="ListB1dotonly"/>
      </w:pPr>
      <w:r>
        <w:t>economic analysis outputs (economic model (if required), results and reporting (detailed report, relevant chapters and submission requirements)).</w:t>
      </w:r>
    </w:p>
    <w:p w14:paraId="720EB330" w14:textId="1C1DE7C1" w:rsidR="003E2958" w:rsidRDefault="003E2958" w:rsidP="003E2958">
      <w:pPr>
        <w:pStyle w:val="BodyText"/>
      </w:pPr>
      <w:r>
        <w:t>The methodology paper must be reviewed and approved by the PEU Economics Team prior to the commencement of the primary economic analysis (i.e. CBA). This is only a mandatory requirement for projects exceeding $50 million or that require the application of complex or experimental methodologies (also see Appendix A).</w:t>
      </w:r>
    </w:p>
    <w:p w14:paraId="3F48C83D" w14:textId="0C40C61C" w:rsidR="00991FE3" w:rsidRDefault="003E2958" w:rsidP="003E2958">
      <w:pPr>
        <w:pStyle w:val="BodyText"/>
      </w:pPr>
      <w:r>
        <w:t xml:space="preserve">The final economic analysis and detailed economic analysis report must action / resolve all issues identified in the review of the draft detailed economic analysis report or provide acceptable alternatives / justification in order to finalise the assurance process. For major projects, the PEU Economics Team will provide confirmation of the outcome of the assurance process to the Project Manager. The Economics Consultant is to allow for up to </w:t>
      </w:r>
      <w:r>
        <w:fldChar w:fldCharType="begin">
          <w:ffData>
            <w:name w:val=""/>
            <w:enabled/>
            <w:calcOnExit w:val="0"/>
            <w:textInput>
              <w:default w:val="[insert number of rounds]"/>
            </w:textInput>
          </w:ffData>
        </w:fldChar>
      </w:r>
      <w:r>
        <w:instrText xml:space="preserve"> FORMTEXT </w:instrText>
      </w:r>
      <w:r>
        <w:fldChar w:fldCharType="separate"/>
      </w:r>
      <w:r>
        <w:rPr>
          <w:noProof/>
        </w:rPr>
        <w:t>[insert number of rounds]</w:t>
      </w:r>
      <w:r>
        <w:fldChar w:fldCharType="end"/>
      </w:r>
      <w:r>
        <w:t xml:space="preserve"> rounds of feedback to facilitate this process.</w:t>
      </w:r>
    </w:p>
    <w:p w14:paraId="2F39057E" w14:textId="77777777" w:rsidR="003E2958" w:rsidRDefault="003E2958" w:rsidP="00B8333F">
      <w:pPr>
        <w:pStyle w:val="BodyText"/>
      </w:pPr>
    </w:p>
    <w:p w14:paraId="17BA21D1" w14:textId="5AB00EEA" w:rsidR="003E2958" w:rsidRDefault="003E2958" w:rsidP="00B8333F">
      <w:pPr>
        <w:pStyle w:val="BodyText"/>
        <w:sectPr w:rsidR="003E2958" w:rsidSect="00275DDB">
          <w:headerReference w:type="default" r:id="rId42"/>
          <w:footerReference w:type="default" r:id="rId43"/>
          <w:pgSz w:w="11906" w:h="16838" w:code="9"/>
          <w:pgMar w:top="1418" w:right="1418" w:bottom="1418" w:left="1418" w:header="454" w:footer="454" w:gutter="0"/>
          <w:pgNumType w:start="1"/>
          <w:cols w:space="708"/>
          <w:docGrid w:linePitch="360"/>
        </w:sectPr>
      </w:pPr>
    </w:p>
    <w:p w14:paraId="57CAB3D8" w14:textId="32196F29" w:rsidR="00991FE3" w:rsidRDefault="003E2958" w:rsidP="003E2958">
      <w:pPr>
        <w:pStyle w:val="Heading1"/>
        <w:numPr>
          <w:ilvl w:val="0"/>
          <w:numId w:val="0"/>
        </w:numPr>
        <w:ind w:left="431" w:hanging="431"/>
      </w:pPr>
      <w:bookmarkStart w:id="21" w:name="_Toc74817265"/>
      <w:r>
        <w:lastRenderedPageBreak/>
        <w:t>Appendix A – CAPEX and funding thresholds</w:t>
      </w:r>
      <w:bookmarkEnd w:id="21"/>
    </w:p>
    <w:p w14:paraId="566D99F8" w14:textId="6E1A514E" w:rsidR="00991FE3" w:rsidRDefault="003E2958" w:rsidP="00572680">
      <w:pPr>
        <w:pStyle w:val="BodyText"/>
        <w:spacing w:after="240"/>
      </w:pPr>
      <w:r>
        <w:t>The Economic Consultant is to produce deliverables (as applicable), with consideration of the following expectations, funding thresholds and frameworks.</w:t>
      </w:r>
    </w:p>
    <w:tbl>
      <w:tblPr>
        <w:tblStyle w:val="TableGrid"/>
        <w:tblW w:w="0" w:type="auto"/>
        <w:tblLayout w:type="fixed"/>
        <w:tblLook w:val="04A0" w:firstRow="1" w:lastRow="0" w:firstColumn="1" w:lastColumn="0" w:noHBand="0" w:noVBand="1"/>
      </w:tblPr>
      <w:tblGrid>
        <w:gridCol w:w="5500"/>
        <w:gridCol w:w="1628"/>
        <w:gridCol w:w="1701"/>
        <w:gridCol w:w="1701"/>
        <w:gridCol w:w="1701"/>
        <w:gridCol w:w="1701"/>
      </w:tblGrid>
      <w:tr w:rsidR="002E766A" w14:paraId="246A6113" w14:textId="77777777" w:rsidTr="008B58F4">
        <w:tc>
          <w:tcPr>
            <w:tcW w:w="5500" w:type="dxa"/>
            <w:shd w:val="clear" w:color="auto" w:fill="003C6A"/>
          </w:tcPr>
          <w:p w14:paraId="642397C3" w14:textId="77777777" w:rsidR="002E766A" w:rsidRPr="008B58F4" w:rsidRDefault="002E766A" w:rsidP="002E766A">
            <w:pPr>
              <w:pStyle w:val="TableHeading"/>
              <w:rPr>
                <w:color w:val="FFFFFF" w:themeColor="background1"/>
                <w:sz w:val="16"/>
                <w:szCs w:val="18"/>
              </w:rPr>
            </w:pPr>
          </w:p>
        </w:tc>
        <w:tc>
          <w:tcPr>
            <w:tcW w:w="3329" w:type="dxa"/>
            <w:gridSpan w:val="2"/>
            <w:shd w:val="clear" w:color="auto" w:fill="003C6A"/>
          </w:tcPr>
          <w:p w14:paraId="485F942F" w14:textId="361C78B4" w:rsidR="002E766A" w:rsidRPr="008B58F4" w:rsidRDefault="002E766A" w:rsidP="008B58F4">
            <w:pPr>
              <w:pStyle w:val="TableHeading"/>
              <w:rPr>
                <w:color w:val="FFFFFF" w:themeColor="background1"/>
                <w:sz w:val="16"/>
                <w:szCs w:val="18"/>
              </w:rPr>
            </w:pPr>
            <w:r w:rsidRPr="008B58F4">
              <w:rPr>
                <w:color w:val="FFFFFF" w:themeColor="background1"/>
                <w:sz w:val="16"/>
                <w:szCs w:val="18"/>
              </w:rPr>
              <w:t>Transport and road projects</w:t>
            </w:r>
            <w:r w:rsidR="008B58F4" w:rsidRPr="008B58F4">
              <w:rPr>
                <w:color w:val="FFFFFF" w:themeColor="background1"/>
                <w:sz w:val="16"/>
                <w:szCs w:val="18"/>
              </w:rPr>
              <w:br/>
            </w:r>
            <w:r w:rsidRPr="008B58F4">
              <w:rPr>
                <w:color w:val="FFFFFF" w:themeColor="background1"/>
                <w:sz w:val="16"/>
                <w:szCs w:val="18"/>
              </w:rPr>
              <w:t>(100% State funded)</w:t>
            </w:r>
          </w:p>
        </w:tc>
        <w:tc>
          <w:tcPr>
            <w:tcW w:w="5103" w:type="dxa"/>
            <w:gridSpan w:val="3"/>
            <w:shd w:val="clear" w:color="auto" w:fill="003C6A"/>
          </w:tcPr>
          <w:p w14:paraId="22E7746E" w14:textId="68DAF524" w:rsidR="002E766A" w:rsidRPr="008B58F4" w:rsidRDefault="002E766A" w:rsidP="008B58F4">
            <w:pPr>
              <w:pStyle w:val="TableHeading"/>
              <w:rPr>
                <w:color w:val="FFFFFF" w:themeColor="background1"/>
                <w:sz w:val="16"/>
                <w:szCs w:val="18"/>
              </w:rPr>
            </w:pPr>
            <w:r w:rsidRPr="008B58F4">
              <w:rPr>
                <w:color w:val="FFFFFF" w:themeColor="background1"/>
                <w:sz w:val="16"/>
                <w:szCs w:val="18"/>
              </w:rPr>
              <w:t>Transport and road projects</w:t>
            </w:r>
            <w:r w:rsidRPr="008B58F4">
              <w:rPr>
                <w:color w:val="FFFFFF" w:themeColor="background1"/>
                <w:sz w:val="16"/>
                <w:szCs w:val="18"/>
              </w:rPr>
              <w:br/>
              <w:t>(with federal funding component)</w:t>
            </w:r>
          </w:p>
        </w:tc>
      </w:tr>
      <w:tr w:rsidR="002E766A" w14:paraId="19D6CF5D" w14:textId="77777777" w:rsidTr="002E766A">
        <w:tc>
          <w:tcPr>
            <w:tcW w:w="5500" w:type="dxa"/>
            <w:vAlign w:val="top"/>
          </w:tcPr>
          <w:p w14:paraId="201AE9D3" w14:textId="531C32E1" w:rsidR="002E766A" w:rsidRPr="00FF17DC" w:rsidRDefault="002E766A" w:rsidP="002E766A">
            <w:pPr>
              <w:pStyle w:val="TableBodyText"/>
              <w:rPr>
                <w:b/>
                <w:bCs/>
                <w:sz w:val="16"/>
                <w:szCs w:val="18"/>
              </w:rPr>
            </w:pPr>
            <w:r w:rsidRPr="00FF17DC">
              <w:rPr>
                <w:b/>
                <w:bCs/>
                <w:sz w:val="16"/>
                <w:szCs w:val="18"/>
              </w:rPr>
              <w:t>Estimated project capital expenditure</w:t>
            </w:r>
          </w:p>
        </w:tc>
        <w:tc>
          <w:tcPr>
            <w:tcW w:w="1628" w:type="dxa"/>
          </w:tcPr>
          <w:p w14:paraId="438907EA" w14:textId="42BF3491" w:rsidR="002E766A" w:rsidRPr="00FF17DC" w:rsidRDefault="002E766A" w:rsidP="002E766A">
            <w:pPr>
              <w:pStyle w:val="TableBodyText"/>
              <w:jc w:val="center"/>
              <w:rPr>
                <w:b/>
                <w:bCs/>
                <w:sz w:val="16"/>
                <w:szCs w:val="18"/>
              </w:rPr>
            </w:pPr>
            <w:r w:rsidRPr="00FF17DC">
              <w:rPr>
                <w:b/>
                <w:bCs/>
                <w:sz w:val="16"/>
                <w:szCs w:val="18"/>
              </w:rPr>
              <w:t>&lt;$100 mil</w:t>
            </w:r>
          </w:p>
        </w:tc>
        <w:tc>
          <w:tcPr>
            <w:tcW w:w="1701" w:type="dxa"/>
          </w:tcPr>
          <w:p w14:paraId="7B0161B0" w14:textId="4BAA9E7D" w:rsidR="002E766A" w:rsidRPr="00FF17DC" w:rsidRDefault="00FF17DC" w:rsidP="002E766A">
            <w:pPr>
              <w:pStyle w:val="TableBodyText"/>
              <w:jc w:val="center"/>
              <w:rPr>
                <w:b/>
                <w:bCs/>
                <w:sz w:val="16"/>
                <w:szCs w:val="18"/>
              </w:rPr>
            </w:pPr>
            <w:r>
              <w:rPr>
                <w:b/>
                <w:bCs/>
                <w:sz w:val="16"/>
                <w:szCs w:val="18"/>
              </w:rPr>
              <w:t>&gt;</w:t>
            </w:r>
            <w:r w:rsidR="002E766A" w:rsidRPr="00FF17DC">
              <w:rPr>
                <w:b/>
                <w:bCs/>
                <w:sz w:val="16"/>
                <w:szCs w:val="18"/>
              </w:rPr>
              <w:t>$100 mil</w:t>
            </w:r>
          </w:p>
        </w:tc>
        <w:tc>
          <w:tcPr>
            <w:tcW w:w="1701" w:type="dxa"/>
          </w:tcPr>
          <w:p w14:paraId="7F0D9A4A" w14:textId="385B1AC0" w:rsidR="002E766A" w:rsidRPr="00FF17DC" w:rsidRDefault="002E766A" w:rsidP="002E766A">
            <w:pPr>
              <w:pStyle w:val="TableBodyText"/>
              <w:jc w:val="center"/>
              <w:rPr>
                <w:b/>
                <w:bCs/>
                <w:sz w:val="16"/>
                <w:szCs w:val="18"/>
              </w:rPr>
            </w:pPr>
            <w:r w:rsidRPr="00FF17DC">
              <w:rPr>
                <w:b/>
                <w:bCs/>
                <w:sz w:val="16"/>
                <w:szCs w:val="18"/>
              </w:rPr>
              <w:t>&lt;$100 mil</w:t>
            </w:r>
          </w:p>
        </w:tc>
        <w:tc>
          <w:tcPr>
            <w:tcW w:w="3402" w:type="dxa"/>
            <w:gridSpan w:val="2"/>
          </w:tcPr>
          <w:p w14:paraId="37F3AA3E" w14:textId="75180889" w:rsidR="002E766A" w:rsidRPr="00FF17DC" w:rsidRDefault="00FF17DC" w:rsidP="002E766A">
            <w:pPr>
              <w:pStyle w:val="TableBodyText"/>
              <w:jc w:val="center"/>
              <w:rPr>
                <w:b/>
                <w:bCs/>
                <w:sz w:val="16"/>
                <w:szCs w:val="18"/>
              </w:rPr>
            </w:pPr>
            <w:r>
              <w:rPr>
                <w:b/>
                <w:bCs/>
                <w:sz w:val="16"/>
                <w:szCs w:val="18"/>
              </w:rPr>
              <w:t>&gt;</w:t>
            </w:r>
            <w:r w:rsidR="002E766A" w:rsidRPr="00FF17DC">
              <w:rPr>
                <w:b/>
                <w:bCs/>
                <w:sz w:val="16"/>
                <w:szCs w:val="18"/>
              </w:rPr>
              <w:t>$100 mil</w:t>
            </w:r>
          </w:p>
        </w:tc>
      </w:tr>
      <w:tr w:rsidR="002E766A" w14:paraId="5B18F2AC" w14:textId="77777777" w:rsidTr="002E766A">
        <w:tc>
          <w:tcPr>
            <w:tcW w:w="5500" w:type="dxa"/>
            <w:vAlign w:val="top"/>
          </w:tcPr>
          <w:p w14:paraId="60DDD729" w14:textId="36FCB529" w:rsidR="002E766A" w:rsidRPr="00FF17DC" w:rsidRDefault="002E766A" w:rsidP="002E766A">
            <w:pPr>
              <w:pStyle w:val="TableBodyText"/>
              <w:rPr>
                <w:b/>
                <w:bCs/>
                <w:sz w:val="16"/>
                <w:szCs w:val="18"/>
              </w:rPr>
            </w:pPr>
            <w:r w:rsidRPr="00FF17DC">
              <w:rPr>
                <w:b/>
                <w:bCs/>
                <w:sz w:val="16"/>
                <w:szCs w:val="18"/>
              </w:rPr>
              <w:t>Federal funding contribution sought</w:t>
            </w:r>
          </w:p>
        </w:tc>
        <w:tc>
          <w:tcPr>
            <w:tcW w:w="1628" w:type="dxa"/>
          </w:tcPr>
          <w:p w14:paraId="39941876" w14:textId="39E9963E" w:rsidR="002E766A" w:rsidRPr="00FF17DC" w:rsidRDefault="002E766A" w:rsidP="002E766A">
            <w:pPr>
              <w:pStyle w:val="TableBodyText"/>
              <w:jc w:val="center"/>
              <w:rPr>
                <w:b/>
                <w:bCs/>
                <w:sz w:val="16"/>
                <w:szCs w:val="18"/>
              </w:rPr>
            </w:pPr>
            <w:r w:rsidRPr="00FF17DC">
              <w:rPr>
                <w:b/>
                <w:bCs/>
                <w:sz w:val="16"/>
                <w:szCs w:val="18"/>
              </w:rPr>
              <w:t>$0</w:t>
            </w:r>
          </w:p>
        </w:tc>
        <w:tc>
          <w:tcPr>
            <w:tcW w:w="1701" w:type="dxa"/>
          </w:tcPr>
          <w:p w14:paraId="017B352C" w14:textId="11FBB773" w:rsidR="002E766A" w:rsidRPr="00FF17DC" w:rsidRDefault="002E766A" w:rsidP="002E766A">
            <w:pPr>
              <w:pStyle w:val="TableBodyText"/>
              <w:jc w:val="center"/>
              <w:rPr>
                <w:b/>
                <w:bCs/>
                <w:sz w:val="16"/>
                <w:szCs w:val="18"/>
              </w:rPr>
            </w:pPr>
            <w:r w:rsidRPr="00FF17DC">
              <w:rPr>
                <w:b/>
                <w:bCs/>
                <w:sz w:val="16"/>
                <w:szCs w:val="18"/>
              </w:rPr>
              <w:t>$0</w:t>
            </w:r>
          </w:p>
        </w:tc>
        <w:tc>
          <w:tcPr>
            <w:tcW w:w="1701" w:type="dxa"/>
          </w:tcPr>
          <w:p w14:paraId="6EB38557" w14:textId="1A1E1CC2" w:rsidR="002E766A" w:rsidRPr="00FF17DC" w:rsidRDefault="002E766A" w:rsidP="002E766A">
            <w:pPr>
              <w:pStyle w:val="TableBodyText"/>
              <w:jc w:val="center"/>
              <w:rPr>
                <w:b/>
                <w:bCs/>
                <w:sz w:val="16"/>
                <w:szCs w:val="18"/>
              </w:rPr>
            </w:pPr>
            <w:r w:rsidRPr="00FF17DC">
              <w:rPr>
                <w:b/>
                <w:bCs/>
                <w:sz w:val="16"/>
                <w:szCs w:val="18"/>
              </w:rPr>
              <w:t>&lt;$100 mil</w:t>
            </w:r>
          </w:p>
        </w:tc>
        <w:tc>
          <w:tcPr>
            <w:tcW w:w="1701" w:type="dxa"/>
          </w:tcPr>
          <w:p w14:paraId="780F48D3" w14:textId="1B546C2D" w:rsidR="002E766A" w:rsidRPr="00FF17DC" w:rsidRDefault="002E766A" w:rsidP="002E766A">
            <w:pPr>
              <w:pStyle w:val="TableBodyText"/>
              <w:jc w:val="center"/>
              <w:rPr>
                <w:b/>
                <w:bCs/>
                <w:sz w:val="16"/>
                <w:szCs w:val="18"/>
              </w:rPr>
            </w:pPr>
            <w:r w:rsidRPr="00FF17DC">
              <w:rPr>
                <w:b/>
                <w:bCs/>
                <w:sz w:val="16"/>
                <w:szCs w:val="18"/>
              </w:rPr>
              <w:t>&lt;$</w:t>
            </w:r>
            <w:r w:rsidR="00FF17DC">
              <w:rPr>
                <w:b/>
                <w:bCs/>
                <w:sz w:val="16"/>
                <w:szCs w:val="18"/>
              </w:rPr>
              <w:t>250</w:t>
            </w:r>
            <w:r w:rsidRPr="00FF17DC">
              <w:rPr>
                <w:b/>
                <w:bCs/>
                <w:sz w:val="16"/>
                <w:szCs w:val="18"/>
              </w:rPr>
              <w:t> mil</w:t>
            </w:r>
          </w:p>
        </w:tc>
        <w:tc>
          <w:tcPr>
            <w:tcW w:w="1701" w:type="dxa"/>
          </w:tcPr>
          <w:p w14:paraId="7D69B385" w14:textId="21D41AF8" w:rsidR="002E766A" w:rsidRPr="00FF17DC" w:rsidRDefault="00FF17DC" w:rsidP="002E766A">
            <w:pPr>
              <w:pStyle w:val="TableBodyText"/>
              <w:jc w:val="center"/>
              <w:rPr>
                <w:b/>
                <w:bCs/>
                <w:sz w:val="16"/>
                <w:szCs w:val="18"/>
              </w:rPr>
            </w:pPr>
            <w:r>
              <w:rPr>
                <w:b/>
                <w:bCs/>
                <w:sz w:val="16"/>
                <w:szCs w:val="18"/>
              </w:rPr>
              <w:t>&gt;</w:t>
            </w:r>
            <w:r w:rsidR="002E766A" w:rsidRPr="00FF17DC">
              <w:rPr>
                <w:b/>
                <w:bCs/>
                <w:sz w:val="16"/>
                <w:szCs w:val="18"/>
              </w:rPr>
              <w:t>$</w:t>
            </w:r>
            <w:r>
              <w:rPr>
                <w:b/>
                <w:bCs/>
                <w:sz w:val="16"/>
                <w:szCs w:val="18"/>
              </w:rPr>
              <w:t>250</w:t>
            </w:r>
            <w:r w:rsidR="002E766A" w:rsidRPr="00FF17DC">
              <w:rPr>
                <w:b/>
                <w:bCs/>
                <w:sz w:val="16"/>
                <w:szCs w:val="18"/>
              </w:rPr>
              <w:t> mil</w:t>
            </w:r>
          </w:p>
        </w:tc>
      </w:tr>
      <w:tr w:rsidR="002E766A" w14:paraId="6D045156" w14:textId="77777777" w:rsidTr="001556C0">
        <w:tc>
          <w:tcPr>
            <w:tcW w:w="5500" w:type="dxa"/>
            <w:vAlign w:val="top"/>
          </w:tcPr>
          <w:p w14:paraId="672285FA" w14:textId="65B20FAA" w:rsidR="002E766A" w:rsidRPr="00FF17DC" w:rsidRDefault="00FF17DC" w:rsidP="002E766A">
            <w:pPr>
              <w:pStyle w:val="TableBodyText"/>
              <w:rPr>
                <w:sz w:val="16"/>
                <w:szCs w:val="18"/>
              </w:rPr>
            </w:pPr>
            <w:r>
              <w:rPr>
                <w:sz w:val="16"/>
                <w:szCs w:val="18"/>
              </w:rPr>
              <w:t>Framework reference</w:t>
            </w:r>
            <w:r>
              <w:rPr>
                <w:sz w:val="16"/>
                <w:szCs w:val="18"/>
              </w:rPr>
              <w:br/>
              <w:t>(federal funding consideration)</w:t>
            </w:r>
          </w:p>
        </w:tc>
        <w:tc>
          <w:tcPr>
            <w:tcW w:w="1628" w:type="dxa"/>
          </w:tcPr>
          <w:p w14:paraId="327AAB54" w14:textId="446250D8" w:rsidR="002E766A" w:rsidRPr="00FF17DC" w:rsidRDefault="00752BD4" w:rsidP="001556C0">
            <w:pPr>
              <w:pStyle w:val="TableBodyText"/>
              <w:jc w:val="center"/>
              <w:rPr>
                <w:sz w:val="16"/>
                <w:szCs w:val="18"/>
              </w:rPr>
            </w:pPr>
            <w:hyperlink r:id="rId44" w:history="1">
              <w:proofErr w:type="spellStart"/>
              <w:r w:rsidR="00FF17DC" w:rsidRPr="001556C0">
                <w:rPr>
                  <w:rStyle w:val="Hyperlink"/>
                  <w:sz w:val="16"/>
                  <w:szCs w:val="18"/>
                </w:rPr>
                <w:t>OnQ</w:t>
              </w:r>
              <w:proofErr w:type="spellEnd"/>
            </w:hyperlink>
          </w:p>
        </w:tc>
        <w:tc>
          <w:tcPr>
            <w:tcW w:w="1701" w:type="dxa"/>
          </w:tcPr>
          <w:p w14:paraId="270B7163" w14:textId="3381B6CB" w:rsidR="002E766A" w:rsidRPr="00FF17DC" w:rsidRDefault="00752BD4" w:rsidP="001556C0">
            <w:pPr>
              <w:pStyle w:val="TableBodyText"/>
              <w:jc w:val="center"/>
              <w:rPr>
                <w:sz w:val="16"/>
                <w:szCs w:val="18"/>
              </w:rPr>
            </w:pPr>
            <w:hyperlink r:id="rId45" w:history="1">
              <w:r w:rsidR="00FF17DC" w:rsidRPr="001556C0">
                <w:rPr>
                  <w:rStyle w:val="Hyperlink"/>
                  <w:sz w:val="16"/>
                  <w:szCs w:val="18"/>
                </w:rPr>
                <w:t>PAF</w:t>
              </w:r>
            </w:hyperlink>
          </w:p>
        </w:tc>
        <w:tc>
          <w:tcPr>
            <w:tcW w:w="1701" w:type="dxa"/>
          </w:tcPr>
          <w:p w14:paraId="7D099B75" w14:textId="2DAA08B8" w:rsidR="002E766A" w:rsidRPr="00FF17DC" w:rsidRDefault="00752BD4" w:rsidP="001556C0">
            <w:pPr>
              <w:pStyle w:val="TableBodyText"/>
              <w:jc w:val="center"/>
              <w:rPr>
                <w:sz w:val="16"/>
                <w:szCs w:val="18"/>
              </w:rPr>
            </w:pPr>
            <w:hyperlink r:id="rId46" w:history="1">
              <w:proofErr w:type="spellStart"/>
              <w:r w:rsidR="00FF17DC" w:rsidRPr="001556C0">
                <w:rPr>
                  <w:rStyle w:val="Hyperlink"/>
                  <w:sz w:val="16"/>
                  <w:szCs w:val="18"/>
                </w:rPr>
                <w:t>OnQ</w:t>
              </w:r>
              <w:proofErr w:type="spellEnd"/>
            </w:hyperlink>
            <w:r w:rsidR="00FF17DC">
              <w:rPr>
                <w:sz w:val="16"/>
                <w:szCs w:val="18"/>
              </w:rPr>
              <w:br/>
              <w:t>(+</w:t>
            </w:r>
            <w:proofErr w:type="spellStart"/>
            <w:r w:rsidR="00DD0B7E">
              <w:fldChar w:fldCharType="begin"/>
            </w:r>
            <w:r w:rsidR="00DD0B7E">
              <w:instrText xml:space="preserve"> HYPERLINK "https://investment.infrastructure.gov.au/about/resources/notes_on_administration.aspx" </w:instrText>
            </w:r>
            <w:r w:rsidR="00DD0B7E">
              <w:fldChar w:fldCharType="separate"/>
            </w:r>
            <w:r w:rsidR="00FF17DC" w:rsidRPr="001556C0">
              <w:rPr>
                <w:rStyle w:val="Hyperlink"/>
                <w:sz w:val="16"/>
                <w:szCs w:val="18"/>
              </w:rPr>
              <w:t>NoA</w:t>
            </w:r>
            <w:proofErr w:type="spellEnd"/>
            <w:r w:rsidR="00DD0B7E">
              <w:rPr>
                <w:rStyle w:val="Hyperlink"/>
                <w:sz w:val="16"/>
                <w:szCs w:val="18"/>
              </w:rPr>
              <w:fldChar w:fldCharType="end"/>
            </w:r>
            <w:r w:rsidR="00FF17DC">
              <w:rPr>
                <w:sz w:val="16"/>
                <w:szCs w:val="18"/>
              </w:rPr>
              <w:t>)</w:t>
            </w:r>
          </w:p>
        </w:tc>
        <w:tc>
          <w:tcPr>
            <w:tcW w:w="1701" w:type="dxa"/>
          </w:tcPr>
          <w:p w14:paraId="749DD60E" w14:textId="1AA22279" w:rsidR="002E766A" w:rsidRPr="00FF17DC" w:rsidRDefault="00752BD4" w:rsidP="001556C0">
            <w:pPr>
              <w:pStyle w:val="TableBodyText"/>
              <w:jc w:val="center"/>
              <w:rPr>
                <w:sz w:val="16"/>
                <w:szCs w:val="18"/>
              </w:rPr>
            </w:pPr>
            <w:hyperlink r:id="rId47" w:history="1">
              <w:r w:rsidR="00FF17DC" w:rsidRPr="001556C0">
                <w:rPr>
                  <w:rStyle w:val="Hyperlink"/>
                  <w:sz w:val="16"/>
                  <w:szCs w:val="18"/>
                </w:rPr>
                <w:t>PAF</w:t>
              </w:r>
            </w:hyperlink>
            <w:r w:rsidR="00FF17DC">
              <w:rPr>
                <w:sz w:val="16"/>
                <w:szCs w:val="18"/>
              </w:rPr>
              <w:br/>
              <w:t>(+</w:t>
            </w:r>
            <w:proofErr w:type="spellStart"/>
            <w:r w:rsidR="00DD0B7E">
              <w:fldChar w:fldCharType="begin"/>
            </w:r>
            <w:r w:rsidR="00DD0B7E">
              <w:instrText xml:space="preserve"> HYPERLINK "https://investment.infrastructure.gov.au/about/resources/notes_on_administration.aspx" </w:instrText>
            </w:r>
            <w:r w:rsidR="00DD0B7E">
              <w:fldChar w:fldCharType="separate"/>
            </w:r>
            <w:r w:rsidR="00FF17DC" w:rsidRPr="001556C0">
              <w:rPr>
                <w:rStyle w:val="Hyperlink"/>
                <w:sz w:val="16"/>
                <w:szCs w:val="18"/>
              </w:rPr>
              <w:t>NoA</w:t>
            </w:r>
            <w:proofErr w:type="spellEnd"/>
            <w:r w:rsidR="00DD0B7E">
              <w:rPr>
                <w:rStyle w:val="Hyperlink"/>
                <w:sz w:val="16"/>
                <w:szCs w:val="18"/>
              </w:rPr>
              <w:fldChar w:fldCharType="end"/>
            </w:r>
            <w:r w:rsidR="00FF17DC">
              <w:rPr>
                <w:sz w:val="16"/>
                <w:szCs w:val="18"/>
              </w:rPr>
              <w:t>)</w:t>
            </w:r>
          </w:p>
        </w:tc>
        <w:tc>
          <w:tcPr>
            <w:tcW w:w="1701" w:type="dxa"/>
          </w:tcPr>
          <w:p w14:paraId="6629CF58" w14:textId="31ADF7B9" w:rsidR="002E766A" w:rsidRPr="00FF17DC" w:rsidRDefault="00752BD4" w:rsidP="001556C0">
            <w:pPr>
              <w:pStyle w:val="TableBodyText"/>
              <w:jc w:val="center"/>
              <w:rPr>
                <w:sz w:val="16"/>
                <w:szCs w:val="18"/>
              </w:rPr>
            </w:pPr>
            <w:hyperlink r:id="rId48" w:history="1">
              <w:r w:rsidR="00FF17DC" w:rsidRPr="001556C0">
                <w:rPr>
                  <w:rStyle w:val="Hyperlink"/>
                  <w:sz w:val="16"/>
                  <w:szCs w:val="18"/>
                </w:rPr>
                <w:t>PAF</w:t>
              </w:r>
            </w:hyperlink>
            <w:r w:rsidR="00FF17DC">
              <w:rPr>
                <w:sz w:val="16"/>
                <w:szCs w:val="18"/>
              </w:rPr>
              <w:br/>
              <w:t>(+</w:t>
            </w:r>
            <w:proofErr w:type="spellStart"/>
            <w:r w:rsidR="00DD0B7E">
              <w:fldChar w:fldCharType="begin"/>
            </w:r>
            <w:r w:rsidR="00DD0B7E">
              <w:instrText xml:space="preserve"> HYPERLINK "https://investment.infrastructure.gov.au/about/resources/notes_on_administration.aspx" </w:instrText>
            </w:r>
            <w:r w:rsidR="00DD0B7E">
              <w:fldChar w:fldCharType="separate"/>
            </w:r>
            <w:r w:rsidR="00FF17DC" w:rsidRPr="001556C0">
              <w:rPr>
                <w:rStyle w:val="Hyperlink"/>
                <w:sz w:val="16"/>
                <w:szCs w:val="18"/>
              </w:rPr>
              <w:t>NoA</w:t>
            </w:r>
            <w:proofErr w:type="spellEnd"/>
            <w:r w:rsidR="00DD0B7E">
              <w:rPr>
                <w:rStyle w:val="Hyperlink"/>
                <w:sz w:val="16"/>
                <w:szCs w:val="18"/>
              </w:rPr>
              <w:fldChar w:fldCharType="end"/>
            </w:r>
            <w:r w:rsidR="00FF17DC">
              <w:rPr>
                <w:sz w:val="16"/>
                <w:szCs w:val="18"/>
              </w:rPr>
              <w:t> / </w:t>
            </w:r>
            <w:hyperlink r:id="rId49" w:history="1">
              <w:r w:rsidR="00FF17DC" w:rsidRPr="001556C0">
                <w:rPr>
                  <w:rStyle w:val="Hyperlink"/>
                  <w:sz w:val="16"/>
                  <w:szCs w:val="18"/>
                </w:rPr>
                <w:t>IA</w:t>
              </w:r>
            </w:hyperlink>
            <w:r w:rsidR="00FF17DC">
              <w:rPr>
                <w:sz w:val="16"/>
                <w:szCs w:val="18"/>
              </w:rPr>
              <w:t>)</w:t>
            </w:r>
          </w:p>
        </w:tc>
      </w:tr>
      <w:tr w:rsidR="002E766A" w14:paraId="05ECC0BA" w14:textId="77777777" w:rsidTr="001556C0">
        <w:tc>
          <w:tcPr>
            <w:tcW w:w="5500" w:type="dxa"/>
            <w:vAlign w:val="top"/>
          </w:tcPr>
          <w:p w14:paraId="59B13F6F" w14:textId="2DE8546C" w:rsidR="00FF17DC" w:rsidRPr="00FF17DC" w:rsidRDefault="00FF17DC" w:rsidP="00FF17DC">
            <w:pPr>
              <w:pStyle w:val="TableBodyText"/>
              <w:rPr>
                <w:sz w:val="16"/>
                <w:szCs w:val="18"/>
              </w:rPr>
            </w:pPr>
            <w:r>
              <w:rPr>
                <w:sz w:val="16"/>
                <w:szCs w:val="18"/>
              </w:rPr>
              <w:t>Proposed methodology paper</w:t>
            </w:r>
          </w:p>
        </w:tc>
        <w:tc>
          <w:tcPr>
            <w:tcW w:w="1628" w:type="dxa"/>
          </w:tcPr>
          <w:p w14:paraId="7FDB7470" w14:textId="0EF1A66E" w:rsidR="002E766A" w:rsidRPr="00FF17DC" w:rsidRDefault="001556C0" w:rsidP="001556C0">
            <w:pPr>
              <w:pStyle w:val="TableBodyText"/>
              <w:jc w:val="center"/>
              <w:rPr>
                <w:sz w:val="16"/>
                <w:szCs w:val="18"/>
              </w:rPr>
            </w:pPr>
            <w:r>
              <w:rPr>
                <w:sz w:val="16"/>
                <w:szCs w:val="18"/>
              </w:rPr>
              <w:t>Mandatory subject to criteria below¹</w:t>
            </w:r>
          </w:p>
        </w:tc>
        <w:tc>
          <w:tcPr>
            <w:tcW w:w="1701" w:type="dxa"/>
          </w:tcPr>
          <w:p w14:paraId="210EFB34" w14:textId="53B60398" w:rsidR="002E766A" w:rsidRPr="00FF17DC" w:rsidRDefault="001556C0" w:rsidP="001556C0">
            <w:pPr>
              <w:pStyle w:val="TableBodyText"/>
              <w:jc w:val="center"/>
              <w:rPr>
                <w:sz w:val="16"/>
                <w:szCs w:val="18"/>
              </w:rPr>
            </w:pPr>
            <w:r>
              <w:rPr>
                <w:sz w:val="16"/>
                <w:szCs w:val="18"/>
              </w:rPr>
              <w:t>Mandatory</w:t>
            </w:r>
          </w:p>
        </w:tc>
        <w:tc>
          <w:tcPr>
            <w:tcW w:w="1701" w:type="dxa"/>
          </w:tcPr>
          <w:p w14:paraId="56C7BFF3" w14:textId="77F497F8" w:rsidR="002E766A" w:rsidRPr="00FF17DC" w:rsidRDefault="001556C0" w:rsidP="001556C0">
            <w:pPr>
              <w:pStyle w:val="TableBodyText"/>
              <w:jc w:val="center"/>
              <w:rPr>
                <w:sz w:val="16"/>
                <w:szCs w:val="18"/>
              </w:rPr>
            </w:pPr>
            <w:r>
              <w:rPr>
                <w:sz w:val="16"/>
                <w:szCs w:val="18"/>
              </w:rPr>
              <w:t>Mandatory subject to criteria below¹</w:t>
            </w:r>
          </w:p>
        </w:tc>
        <w:tc>
          <w:tcPr>
            <w:tcW w:w="1701" w:type="dxa"/>
          </w:tcPr>
          <w:p w14:paraId="481BA0BF" w14:textId="642998A1" w:rsidR="002E766A" w:rsidRPr="00FF17DC" w:rsidRDefault="001556C0" w:rsidP="001556C0">
            <w:pPr>
              <w:pStyle w:val="TableBodyText"/>
              <w:jc w:val="center"/>
              <w:rPr>
                <w:sz w:val="16"/>
                <w:szCs w:val="18"/>
              </w:rPr>
            </w:pPr>
            <w:r>
              <w:rPr>
                <w:sz w:val="16"/>
                <w:szCs w:val="18"/>
              </w:rPr>
              <w:t>Mandatory</w:t>
            </w:r>
          </w:p>
        </w:tc>
        <w:tc>
          <w:tcPr>
            <w:tcW w:w="1701" w:type="dxa"/>
          </w:tcPr>
          <w:p w14:paraId="66F2A690" w14:textId="2AD14DD4" w:rsidR="002E766A" w:rsidRPr="00FF17DC" w:rsidRDefault="001556C0" w:rsidP="001556C0">
            <w:pPr>
              <w:pStyle w:val="TableBodyText"/>
              <w:jc w:val="center"/>
              <w:rPr>
                <w:sz w:val="16"/>
                <w:szCs w:val="18"/>
              </w:rPr>
            </w:pPr>
            <w:r>
              <w:rPr>
                <w:sz w:val="16"/>
                <w:szCs w:val="18"/>
              </w:rPr>
              <w:t>Mandatory</w:t>
            </w:r>
          </w:p>
        </w:tc>
      </w:tr>
      <w:tr w:rsidR="001556C0" w14:paraId="19A7D9EB" w14:textId="77777777" w:rsidTr="00F95682">
        <w:tc>
          <w:tcPr>
            <w:tcW w:w="5500" w:type="dxa"/>
            <w:vAlign w:val="top"/>
          </w:tcPr>
          <w:p w14:paraId="66AA4DF3" w14:textId="5300B34D" w:rsidR="001556C0" w:rsidRPr="00FF17DC" w:rsidRDefault="001556C0" w:rsidP="001556C0">
            <w:pPr>
              <w:pStyle w:val="TableBodyText"/>
              <w:rPr>
                <w:sz w:val="16"/>
                <w:szCs w:val="18"/>
              </w:rPr>
            </w:pPr>
            <w:r>
              <w:rPr>
                <w:sz w:val="16"/>
                <w:szCs w:val="18"/>
              </w:rPr>
              <w:t>Detailed cost-benefit analysis report</w:t>
            </w:r>
          </w:p>
        </w:tc>
        <w:tc>
          <w:tcPr>
            <w:tcW w:w="1628" w:type="dxa"/>
          </w:tcPr>
          <w:p w14:paraId="2E7D4DD4" w14:textId="4137D1A8" w:rsidR="001556C0" w:rsidRPr="00FF17DC" w:rsidRDefault="001556C0" w:rsidP="001556C0">
            <w:pPr>
              <w:pStyle w:val="TableBodyText"/>
              <w:jc w:val="center"/>
              <w:rPr>
                <w:sz w:val="16"/>
                <w:szCs w:val="18"/>
              </w:rPr>
            </w:pPr>
            <w:r>
              <w:rPr>
                <w:sz w:val="16"/>
                <w:szCs w:val="18"/>
              </w:rPr>
              <w:t>Mandatory</w:t>
            </w:r>
          </w:p>
        </w:tc>
        <w:tc>
          <w:tcPr>
            <w:tcW w:w="1701" w:type="dxa"/>
            <w:vAlign w:val="top"/>
          </w:tcPr>
          <w:p w14:paraId="181F7CBC" w14:textId="7ABC6D7C" w:rsidR="001556C0" w:rsidRPr="00FF17DC" w:rsidRDefault="001556C0" w:rsidP="001556C0">
            <w:pPr>
              <w:pStyle w:val="TableBodyText"/>
              <w:jc w:val="center"/>
              <w:rPr>
                <w:sz w:val="16"/>
                <w:szCs w:val="18"/>
              </w:rPr>
            </w:pPr>
            <w:r w:rsidRPr="00606446">
              <w:rPr>
                <w:sz w:val="16"/>
                <w:szCs w:val="18"/>
              </w:rPr>
              <w:t>Mandatory</w:t>
            </w:r>
          </w:p>
        </w:tc>
        <w:tc>
          <w:tcPr>
            <w:tcW w:w="1701" w:type="dxa"/>
            <w:vAlign w:val="top"/>
          </w:tcPr>
          <w:p w14:paraId="0B00ED0D" w14:textId="70EA7815" w:rsidR="001556C0" w:rsidRPr="00FF17DC" w:rsidRDefault="001556C0" w:rsidP="001556C0">
            <w:pPr>
              <w:pStyle w:val="TableBodyText"/>
              <w:jc w:val="center"/>
              <w:rPr>
                <w:sz w:val="16"/>
                <w:szCs w:val="18"/>
              </w:rPr>
            </w:pPr>
            <w:r w:rsidRPr="00606446">
              <w:rPr>
                <w:sz w:val="16"/>
                <w:szCs w:val="18"/>
              </w:rPr>
              <w:t>Mandatory</w:t>
            </w:r>
          </w:p>
        </w:tc>
        <w:tc>
          <w:tcPr>
            <w:tcW w:w="1701" w:type="dxa"/>
          </w:tcPr>
          <w:p w14:paraId="3D92BA67" w14:textId="3AA382BA" w:rsidR="001556C0" w:rsidRPr="00FF17DC" w:rsidRDefault="001556C0" w:rsidP="001556C0">
            <w:pPr>
              <w:pStyle w:val="TableBodyText"/>
              <w:jc w:val="center"/>
              <w:rPr>
                <w:sz w:val="16"/>
                <w:szCs w:val="18"/>
              </w:rPr>
            </w:pPr>
            <w:r>
              <w:rPr>
                <w:sz w:val="16"/>
                <w:szCs w:val="18"/>
              </w:rPr>
              <w:t>Mandatory</w:t>
            </w:r>
          </w:p>
        </w:tc>
        <w:tc>
          <w:tcPr>
            <w:tcW w:w="1701" w:type="dxa"/>
          </w:tcPr>
          <w:p w14:paraId="4105E17A" w14:textId="2DDAE2B4" w:rsidR="001556C0" w:rsidRPr="00FF17DC" w:rsidRDefault="001556C0" w:rsidP="001556C0">
            <w:pPr>
              <w:pStyle w:val="TableBodyText"/>
              <w:jc w:val="center"/>
              <w:rPr>
                <w:sz w:val="16"/>
                <w:szCs w:val="18"/>
              </w:rPr>
            </w:pPr>
            <w:r>
              <w:rPr>
                <w:sz w:val="16"/>
                <w:szCs w:val="18"/>
              </w:rPr>
              <w:t>Mandatory</w:t>
            </w:r>
          </w:p>
        </w:tc>
      </w:tr>
      <w:tr w:rsidR="002E766A" w14:paraId="5010440B" w14:textId="77777777" w:rsidTr="001556C0">
        <w:tc>
          <w:tcPr>
            <w:tcW w:w="5500" w:type="dxa"/>
            <w:vAlign w:val="top"/>
          </w:tcPr>
          <w:p w14:paraId="575FC29E" w14:textId="2CD3D098" w:rsidR="002E766A" w:rsidRPr="00FF17DC" w:rsidRDefault="00FF17DC" w:rsidP="002E766A">
            <w:pPr>
              <w:pStyle w:val="TableBodyText"/>
              <w:rPr>
                <w:sz w:val="16"/>
                <w:szCs w:val="18"/>
              </w:rPr>
            </w:pPr>
            <w:r>
              <w:rPr>
                <w:sz w:val="16"/>
                <w:szCs w:val="18"/>
              </w:rPr>
              <w:t>Continued engagement</w:t>
            </w:r>
          </w:p>
        </w:tc>
        <w:tc>
          <w:tcPr>
            <w:tcW w:w="1628" w:type="dxa"/>
          </w:tcPr>
          <w:p w14:paraId="0FBA14B9" w14:textId="251A2114" w:rsidR="002E766A" w:rsidRPr="00FF17DC" w:rsidRDefault="001556C0" w:rsidP="001556C0">
            <w:pPr>
              <w:pStyle w:val="TableBodyText"/>
              <w:jc w:val="center"/>
              <w:rPr>
                <w:sz w:val="16"/>
                <w:szCs w:val="18"/>
              </w:rPr>
            </w:pPr>
            <w:r>
              <w:rPr>
                <w:sz w:val="16"/>
                <w:szCs w:val="18"/>
              </w:rPr>
              <w:t>If required</w:t>
            </w:r>
          </w:p>
        </w:tc>
        <w:tc>
          <w:tcPr>
            <w:tcW w:w="1701" w:type="dxa"/>
          </w:tcPr>
          <w:p w14:paraId="70B9B134" w14:textId="560FEBA4" w:rsidR="002E766A" w:rsidRPr="00FF17DC" w:rsidRDefault="001556C0" w:rsidP="001556C0">
            <w:pPr>
              <w:pStyle w:val="TableBodyText"/>
              <w:jc w:val="center"/>
              <w:rPr>
                <w:sz w:val="16"/>
                <w:szCs w:val="18"/>
              </w:rPr>
            </w:pPr>
            <w:r>
              <w:rPr>
                <w:sz w:val="16"/>
                <w:szCs w:val="18"/>
              </w:rPr>
              <w:t>If required</w:t>
            </w:r>
          </w:p>
        </w:tc>
        <w:tc>
          <w:tcPr>
            <w:tcW w:w="1701" w:type="dxa"/>
          </w:tcPr>
          <w:p w14:paraId="1ED01A58" w14:textId="3BCFC9A5" w:rsidR="002E766A" w:rsidRPr="00FF17DC" w:rsidRDefault="001556C0" w:rsidP="001556C0">
            <w:pPr>
              <w:pStyle w:val="TableBodyText"/>
              <w:jc w:val="center"/>
              <w:rPr>
                <w:sz w:val="16"/>
                <w:szCs w:val="18"/>
              </w:rPr>
            </w:pPr>
            <w:r>
              <w:rPr>
                <w:sz w:val="16"/>
                <w:szCs w:val="18"/>
              </w:rPr>
              <w:t>If required</w:t>
            </w:r>
          </w:p>
        </w:tc>
        <w:tc>
          <w:tcPr>
            <w:tcW w:w="1701" w:type="dxa"/>
          </w:tcPr>
          <w:p w14:paraId="308F5E96" w14:textId="2D779B54" w:rsidR="002E766A" w:rsidRPr="00FF17DC" w:rsidRDefault="001556C0" w:rsidP="001556C0">
            <w:pPr>
              <w:pStyle w:val="TableBodyText"/>
              <w:jc w:val="center"/>
              <w:rPr>
                <w:sz w:val="16"/>
                <w:szCs w:val="18"/>
              </w:rPr>
            </w:pPr>
            <w:r>
              <w:rPr>
                <w:sz w:val="16"/>
                <w:szCs w:val="18"/>
              </w:rPr>
              <w:t>If required</w:t>
            </w:r>
          </w:p>
        </w:tc>
        <w:tc>
          <w:tcPr>
            <w:tcW w:w="1701" w:type="dxa"/>
          </w:tcPr>
          <w:p w14:paraId="072C7850" w14:textId="65DA1E66" w:rsidR="002E766A" w:rsidRPr="00FF17DC" w:rsidRDefault="001556C0" w:rsidP="001556C0">
            <w:pPr>
              <w:pStyle w:val="TableBodyText"/>
              <w:jc w:val="center"/>
              <w:rPr>
                <w:sz w:val="16"/>
                <w:szCs w:val="18"/>
              </w:rPr>
            </w:pPr>
            <w:r>
              <w:rPr>
                <w:sz w:val="16"/>
                <w:szCs w:val="18"/>
              </w:rPr>
              <w:t>Mandatory</w:t>
            </w:r>
          </w:p>
        </w:tc>
      </w:tr>
      <w:tr w:rsidR="00FF17DC" w14:paraId="38FC2F57" w14:textId="77777777" w:rsidTr="00F95682">
        <w:tc>
          <w:tcPr>
            <w:tcW w:w="13932" w:type="dxa"/>
            <w:gridSpan w:val="6"/>
            <w:vAlign w:val="top"/>
          </w:tcPr>
          <w:p w14:paraId="072F3475" w14:textId="47376CBC" w:rsidR="00FF17DC" w:rsidRPr="00FF17DC" w:rsidRDefault="00FF17DC" w:rsidP="002E766A">
            <w:pPr>
              <w:pStyle w:val="TableBodyText"/>
              <w:rPr>
                <w:sz w:val="16"/>
                <w:szCs w:val="18"/>
              </w:rPr>
            </w:pPr>
            <w:r w:rsidRPr="00FF17DC">
              <w:rPr>
                <w:b/>
                <w:bCs/>
                <w:sz w:val="16"/>
                <w:szCs w:val="18"/>
              </w:rPr>
              <w:t>Technical requirements</w:t>
            </w:r>
          </w:p>
        </w:tc>
      </w:tr>
      <w:tr w:rsidR="00FF17DC" w14:paraId="4700909C" w14:textId="77777777" w:rsidTr="001556C0">
        <w:tc>
          <w:tcPr>
            <w:tcW w:w="5500" w:type="dxa"/>
            <w:vAlign w:val="top"/>
          </w:tcPr>
          <w:p w14:paraId="7C1CD862" w14:textId="64D75B7F" w:rsidR="00FF17DC" w:rsidRPr="00FF17DC" w:rsidRDefault="00FF17DC" w:rsidP="00BA0DE4">
            <w:pPr>
              <w:pStyle w:val="ListB2dashonly"/>
              <w:numPr>
                <w:ilvl w:val="0"/>
                <w:numId w:val="22"/>
              </w:numPr>
              <w:rPr>
                <w:sz w:val="16"/>
                <w:szCs w:val="18"/>
              </w:rPr>
            </w:pPr>
            <w:r w:rsidRPr="00FF17DC">
              <w:rPr>
                <w:sz w:val="16"/>
                <w:szCs w:val="18"/>
              </w:rPr>
              <w:t>Expected</w:t>
            </w:r>
            <w:r>
              <w:rPr>
                <w:sz w:val="16"/>
                <w:szCs w:val="18"/>
              </w:rPr>
              <w:t xml:space="preserve"> modelling basis of economics to be undertaken</w:t>
            </w:r>
          </w:p>
        </w:tc>
        <w:tc>
          <w:tcPr>
            <w:tcW w:w="1628" w:type="dxa"/>
          </w:tcPr>
          <w:p w14:paraId="79A63151" w14:textId="6C489F13" w:rsidR="00FF17DC" w:rsidRPr="00FF17DC" w:rsidRDefault="001556C0" w:rsidP="001556C0">
            <w:pPr>
              <w:pStyle w:val="TableBodyText"/>
              <w:jc w:val="center"/>
              <w:rPr>
                <w:sz w:val="16"/>
                <w:szCs w:val="18"/>
              </w:rPr>
            </w:pPr>
            <w:r>
              <w:rPr>
                <w:sz w:val="16"/>
                <w:szCs w:val="18"/>
              </w:rPr>
              <w:t>R / TM²</w:t>
            </w:r>
          </w:p>
        </w:tc>
        <w:tc>
          <w:tcPr>
            <w:tcW w:w="1701" w:type="dxa"/>
          </w:tcPr>
          <w:p w14:paraId="77BEEB3B" w14:textId="3CA18C3B" w:rsidR="00FF17DC" w:rsidRPr="00FF17DC" w:rsidRDefault="001556C0" w:rsidP="001556C0">
            <w:pPr>
              <w:pStyle w:val="TableBodyText"/>
              <w:jc w:val="center"/>
              <w:rPr>
                <w:sz w:val="16"/>
                <w:szCs w:val="18"/>
              </w:rPr>
            </w:pPr>
            <w:r>
              <w:rPr>
                <w:sz w:val="16"/>
                <w:szCs w:val="18"/>
              </w:rPr>
              <w:t>TM</w:t>
            </w:r>
          </w:p>
        </w:tc>
        <w:tc>
          <w:tcPr>
            <w:tcW w:w="1701" w:type="dxa"/>
          </w:tcPr>
          <w:p w14:paraId="72532B8B" w14:textId="04261232" w:rsidR="00FF17DC" w:rsidRPr="00FF17DC" w:rsidRDefault="001556C0" w:rsidP="001556C0">
            <w:pPr>
              <w:pStyle w:val="TableBodyText"/>
              <w:jc w:val="center"/>
              <w:rPr>
                <w:sz w:val="16"/>
                <w:szCs w:val="18"/>
              </w:rPr>
            </w:pPr>
            <w:r>
              <w:rPr>
                <w:sz w:val="16"/>
                <w:szCs w:val="18"/>
              </w:rPr>
              <w:t>R / TM²</w:t>
            </w:r>
          </w:p>
        </w:tc>
        <w:tc>
          <w:tcPr>
            <w:tcW w:w="1701" w:type="dxa"/>
          </w:tcPr>
          <w:p w14:paraId="7BBA7019" w14:textId="65B4A477" w:rsidR="00FF17DC" w:rsidRPr="00FF17DC" w:rsidRDefault="001556C0" w:rsidP="001556C0">
            <w:pPr>
              <w:pStyle w:val="TableBodyText"/>
              <w:jc w:val="center"/>
              <w:rPr>
                <w:sz w:val="16"/>
                <w:szCs w:val="18"/>
              </w:rPr>
            </w:pPr>
            <w:r>
              <w:rPr>
                <w:sz w:val="16"/>
                <w:szCs w:val="18"/>
              </w:rPr>
              <w:t>TM</w:t>
            </w:r>
          </w:p>
        </w:tc>
        <w:tc>
          <w:tcPr>
            <w:tcW w:w="1701" w:type="dxa"/>
          </w:tcPr>
          <w:p w14:paraId="3A6B71FC" w14:textId="5E16501B" w:rsidR="00FF17DC" w:rsidRPr="00FF17DC" w:rsidRDefault="001556C0" w:rsidP="001556C0">
            <w:pPr>
              <w:pStyle w:val="TableBodyText"/>
              <w:jc w:val="center"/>
              <w:rPr>
                <w:sz w:val="16"/>
                <w:szCs w:val="18"/>
              </w:rPr>
            </w:pPr>
            <w:r>
              <w:rPr>
                <w:sz w:val="16"/>
                <w:szCs w:val="18"/>
              </w:rPr>
              <w:t>TM</w:t>
            </w:r>
          </w:p>
        </w:tc>
      </w:tr>
      <w:tr w:rsidR="00FF17DC" w14:paraId="5CCB4294" w14:textId="77777777" w:rsidTr="001556C0">
        <w:tc>
          <w:tcPr>
            <w:tcW w:w="5500" w:type="dxa"/>
            <w:vAlign w:val="top"/>
          </w:tcPr>
          <w:p w14:paraId="19840D7A" w14:textId="1466AE91" w:rsidR="00FF17DC" w:rsidRPr="00FF17DC" w:rsidRDefault="00FF17DC" w:rsidP="00BA0DE4">
            <w:pPr>
              <w:pStyle w:val="TableBodyText"/>
              <w:numPr>
                <w:ilvl w:val="0"/>
                <w:numId w:val="22"/>
              </w:numPr>
              <w:rPr>
                <w:sz w:val="16"/>
                <w:szCs w:val="18"/>
              </w:rPr>
            </w:pPr>
            <w:r>
              <w:rPr>
                <w:sz w:val="16"/>
                <w:szCs w:val="18"/>
              </w:rPr>
              <w:t>Model (unlocked and soft-coded)</w:t>
            </w:r>
          </w:p>
        </w:tc>
        <w:tc>
          <w:tcPr>
            <w:tcW w:w="1628" w:type="dxa"/>
          </w:tcPr>
          <w:p w14:paraId="7A05BF6F" w14:textId="4A6E8166" w:rsidR="00FF17DC" w:rsidRPr="00FF17DC" w:rsidRDefault="001556C0" w:rsidP="001556C0">
            <w:pPr>
              <w:pStyle w:val="TableBodyText"/>
              <w:jc w:val="center"/>
              <w:rPr>
                <w:sz w:val="16"/>
                <w:szCs w:val="18"/>
              </w:rPr>
            </w:pPr>
            <w:r>
              <w:rPr>
                <w:sz w:val="16"/>
                <w:szCs w:val="18"/>
              </w:rPr>
              <w:t>If requested/ feasible</w:t>
            </w:r>
          </w:p>
        </w:tc>
        <w:tc>
          <w:tcPr>
            <w:tcW w:w="1701" w:type="dxa"/>
          </w:tcPr>
          <w:p w14:paraId="498DF56B" w14:textId="013A530C" w:rsidR="00FF17DC" w:rsidRPr="00FF17DC" w:rsidRDefault="001556C0" w:rsidP="001556C0">
            <w:pPr>
              <w:pStyle w:val="TableBodyText"/>
              <w:jc w:val="center"/>
              <w:rPr>
                <w:sz w:val="16"/>
                <w:szCs w:val="18"/>
              </w:rPr>
            </w:pPr>
            <w:r>
              <w:rPr>
                <w:sz w:val="16"/>
                <w:szCs w:val="18"/>
              </w:rPr>
              <w:t>Mandatory</w:t>
            </w:r>
          </w:p>
        </w:tc>
        <w:tc>
          <w:tcPr>
            <w:tcW w:w="1701" w:type="dxa"/>
          </w:tcPr>
          <w:p w14:paraId="660CD985" w14:textId="66364846" w:rsidR="00FF17DC" w:rsidRPr="00FF17DC" w:rsidRDefault="001556C0" w:rsidP="001556C0">
            <w:pPr>
              <w:pStyle w:val="TableBodyText"/>
              <w:jc w:val="center"/>
              <w:rPr>
                <w:sz w:val="16"/>
                <w:szCs w:val="18"/>
              </w:rPr>
            </w:pPr>
            <w:r>
              <w:rPr>
                <w:sz w:val="16"/>
                <w:szCs w:val="18"/>
              </w:rPr>
              <w:t>If requested/ feasible</w:t>
            </w:r>
          </w:p>
        </w:tc>
        <w:tc>
          <w:tcPr>
            <w:tcW w:w="1701" w:type="dxa"/>
          </w:tcPr>
          <w:p w14:paraId="1601A061" w14:textId="0036375F" w:rsidR="00FF17DC" w:rsidRPr="00FF17DC" w:rsidRDefault="001556C0" w:rsidP="001556C0">
            <w:pPr>
              <w:pStyle w:val="TableBodyText"/>
              <w:jc w:val="center"/>
              <w:rPr>
                <w:sz w:val="16"/>
                <w:szCs w:val="18"/>
              </w:rPr>
            </w:pPr>
            <w:r>
              <w:rPr>
                <w:sz w:val="16"/>
                <w:szCs w:val="18"/>
              </w:rPr>
              <w:t>Mandatory</w:t>
            </w:r>
          </w:p>
        </w:tc>
        <w:tc>
          <w:tcPr>
            <w:tcW w:w="1701" w:type="dxa"/>
          </w:tcPr>
          <w:p w14:paraId="577273A4" w14:textId="3AF6F2B5" w:rsidR="00FF17DC" w:rsidRPr="00FF17DC" w:rsidRDefault="001556C0" w:rsidP="001556C0">
            <w:pPr>
              <w:pStyle w:val="TableBodyText"/>
              <w:jc w:val="center"/>
              <w:rPr>
                <w:sz w:val="16"/>
                <w:szCs w:val="18"/>
              </w:rPr>
            </w:pPr>
            <w:r>
              <w:rPr>
                <w:sz w:val="16"/>
                <w:szCs w:val="18"/>
              </w:rPr>
              <w:t>Mandatory</w:t>
            </w:r>
          </w:p>
        </w:tc>
      </w:tr>
      <w:tr w:rsidR="00FF17DC" w14:paraId="431A26BC" w14:textId="77777777" w:rsidTr="001556C0">
        <w:tc>
          <w:tcPr>
            <w:tcW w:w="5500" w:type="dxa"/>
            <w:vAlign w:val="top"/>
          </w:tcPr>
          <w:p w14:paraId="5189EBC9" w14:textId="5124E1C5" w:rsidR="00FF17DC" w:rsidRPr="00FF17DC" w:rsidRDefault="00FF17DC" w:rsidP="00BA0DE4">
            <w:pPr>
              <w:pStyle w:val="TableBodyText"/>
              <w:numPr>
                <w:ilvl w:val="0"/>
                <w:numId w:val="22"/>
              </w:numPr>
              <w:rPr>
                <w:sz w:val="16"/>
                <w:szCs w:val="18"/>
              </w:rPr>
            </w:pPr>
            <w:r>
              <w:rPr>
                <w:sz w:val="16"/>
                <w:szCs w:val="18"/>
              </w:rPr>
              <w:t>Worked example</w:t>
            </w:r>
          </w:p>
        </w:tc>
        <w:tc>
          <w:tcPr>
            <w:tcW w:w="1628" w:type="dxa"/>
          </w:tcPr>
          <w:p w14:paraId="33276A4B" w14:textId="6954108D" w:rsidR="00FF17DC" w:rsidRPr="00FF17DC" w:rsidRDefault="001556C0" w:rsidP="001556C0">
            <w:pPr>
              <w:pStyle w:val="TableBodyText"/>
              <w:jc w:val="center"/>
              <w:rPr>
                <w:sz w:val="16"/>
                <w:szCs w:val="18"/>
              </w:rPr>
            </w:pPr>
            <w:r>
              <w:rPr>
                <w:sz w:val="16"/>
                <w:szCs w:val="18"/>
              </w:rPr>
              <w:t>If requested</w:t>
            </w:r>
          </w:p>
        </w:tc>
        <w:tc>
          <w:tcPr>
            <w:tcW w:w="1701" w:type="dxa"/>
          </w:tcPr>
          <w:p w14:paraId="0A2584C8" w14:textId="3590A064" w:rsidR="00FF17DC" w:rsidRPr="00FF17DC" w:rsidRDefault="001556C0" w:rsidP="001556C0">
            <w:pPr>
              <w:pStyle w:val="TableBodyText"/>
              <w:jc w:val="center"/>
              <w:rPr>
                <w:sz w:val="16"/>
                <w:szCs w:val="18"/>
              </w:rPr>
            </w:pPr>
            <w:r>
              <w:rPr>
                <w:sz w:val="16"/>
                <w:szCs w:val="18"/>
              </w:rPr>
              <w:t>Mandatory</w:t>
            </w:r>
          </w:p>
        </w:tc>
        <w:tc>
          <w:tcPr>
            <w:tcW w:w="1701" w:type="dxa"/>
          </w:tcPr>
          <w:p w14:paraId="5C63B5B6" w14:textId="023DAA99" w:rsidR="00FF17DC" w:rsidRPr="00FF17DC" w:rsidRDefault="001556C0" w:rsidP="001556C0">
            <w:pPr>
              <w:pStyle w:val="TableBodyText"/>
              <w:jc w:val="center"/>
              <w:rPr>
                <w:sz w:val="16"/>
                <w:szCs w:val="18"/>
              </w:rPr>
            </w:pPr>
            <w:r>
              <w:rPr>
                <w:sz w:val="16"/>
                <w:szCs w:val="18"/>
              </w:rPr>
              <w:t>If requested</w:t>
            </w:r>
          </w:p>
        </w:tc>
        <w:tc>
          <w:tcPr>
            <w:tcW w:w="1701" w:type="dxa"/>
          </w:tcPr>
          <w:p w14:paraId="783EE4C6" w14:textId="2EC9D044" w:rsidR="00FF17DC" w:rsidRPr="00FF17DC" w:rsidRDefault="001556C0" w:rsidP="001556C0">
            <w:pPr>
              <w:pStyle w:val="TableBodyText"/>
              <w:jc w:val="center"/>
              <w:rPr>
                <w:sz w:val="16"/>
                <w:szCs w:val="18"/>
              </w:rPr>
            </w:pPr>
            <w:r>
              <w:rPr>
                <w:sz w:val="16"/>
                <w:szCs w:val="18"/>
              </w:rPr>
              <w:t>Mandatory</w:t>
            </w:r>
          </w:p>
        </w:tc>
        <w:tc>
          <w:tcPr>
            <w:tcW w:w="1701" w:type="dxa"/>
          </w:tcPr>
          <w:p w14:paraId="1FDB8215" w14:textId="0F477FA5" w:rsidR="00FF17DC" w:rsidRPr="00FF17DC" w:rsidRDefault="001556C0" w:rsidP="001556C0">
            <w:pPr>
              <w:pStyle w:val="TableBodyText"/>
              <w:jc w:val="center"/>
              <w:rPr>
                <w:sz w:val="16"/>
                <w:szCs w:val="18"/>
              </w:rPr>
            </w:pPr>
            <w:r>
              <w:rPr>
                <w:sz w:val="16"/>
                <w:szCs w:val="18"/>
              </w:rPr>
              <w:t>Mandatory</w:t>
            </w:r>
          </w:p>
        </w:tc>
      </w:tr>
      <w:tr w:rsidR="00FF17DC" w14:paraId="3C1A008C" w14:textId="77777777" w:rsidTr="001556C0">
        <w:tc>
          <w:tcPr>
            <w:tcW w:w="5500" w:type="dxa"/>
            <w:vAlign w:val="top"/>
          </w:tcPr>
          <w:p w14:paraId="59FE1F28" w14:textId="3C875349" w:rsidR="00FF17DC" w:rsidRPr="00FF17DC" w:rsidRDefault="00FF17DC" w:rsidP="00BA0DE4">
            <w:pPr>
              <w:pStyle w:val="TableBodyText"/>
              <w:numPr>
                <w:ilvl w:val="0"/>
                <w:numId w:val="22"/>
              </w:numPr>
              <w:rPr>
                <w:sz w:val="16"/>
                <w:szCs w:val="18"/>
              </w:rPr>
            </w:pPr>
            <w:r>
              <w:rPr>
                <w:sz w:val="16"/>
                <w:szCs w:val="18"/>
              </w:rPr>
              <w:t xml:space="preserve">Annual cost and benefit cashflows, and appraisal metrics / data (as required) – See </w:t>
            </w:r>
            <w:hyperlink r:id="rId50" w:history="1">
              <w:r w:rsidRPr="001556C0">
                <w:rPr>
                  <w:rStyle w:val="Hyperlink"/>
                  <w:sz w:val="16"/>
                  <w:szCs w:val="18"/>
                </w:rPr>
                <w:t>IA</w:t>
              </w:r>
            </w:hyperlink>
            <w:r>
              <w:rPr>
                <w:sz w:val="16"/>
                <w:szCs w:val="18"/>
              </w:rPr>
              <w:t> / </w:t>
            </w:r>
            <w:proofErr w:type="spellStart"/>
            <w:r w:rsidR="00DD0B7E">
              <w:fldChar w:fldCharType="begin"/>
            </w:r>
            <w:r w:rsidR="00DD0B7E">
              <w:instrText xml:space="preserve"> HYPERLINK "https://investment.infrastructure.gov.au/about/resources/notes_on_administration.aspx" </w:instrText>
            </w:r>
            <w:r w:rsidR="00DD0B7E">
              <w:fldChar w:fldCharType="separate"/>
            </w:r>
            <w:r w:rsidRPr="001556C0">
              <w:rPr>
                <w:rStyle w:val="Hyperlink"/>
                <w:sz w:val="16"/>
                <w:szCs w:val="18"/>
              </w:rPr>
              <w:t>NoA</w:t>
            </w:r>
            <w:proofErr w:type="spellEnd"/>
            <w:r w:rsidR="00DD0B7E">
              <w:rPr>
                <w:rStyle w:val="Hyperlink"/>
                <w:sz w:val="16"/>
                <w:szCs w:val="18"/>
              </w:rPr>
              <w:fldChar w:fldCharType="end"/>
            </w:r>
            <w:r>
              <w:rPr>
                <w:sz w:val="16"/>
                <w:szCs w:val="18"/>
              </w:rPr>
              <w:t xml:space="preserve"> for specific requirements</w:t>
            </w:r>
          </w:p>
        </w:tc>
        <w:tc>
          <w:tcPr>
            <w:tcW w:w="1628" w:type="dxa"/>
          </w:tcPr>
          <w:p w14:paraId="04FE33BA" w14:textId="12598CF3" w:rsidR="00FF17DC" w:rsidRPr="00FF17DC" w:rsidRDefault="001556C0" w:rsidP="001556C0">
            <w:pPr>
              <w:pStyle w:val="TableBodyText"/>
              <w:jc w:val="center"/>
              <w:rPr>
                <w:sz w:val="16"/>
                <w:szCs w:val="18"/>
              </w:rPr>
            </w:pPr>
            <w:r>
              <w:rPr>
                <w:sz w:val="16"/>
                <w:szCs w:val="18"/>
              </w:rPr>
              <w:t>N/A</w:t>
            </w:r>
          </w:p>
        </w:tc>
        <w:tc>
          <w:tcPr>
            <w:tcW w:w="1701" w:type="dxa"/>
          </w:tcPr>
          <w:p w14:paraId="27131328" w14:textId="10EB435C" w:rsidR="00FF17DC" w:rsidRPr="00FF17DC" w:rsidRDefault="001556C0" w:rsidP="001556C0">
            <w:pPr>
              <w:pStyle w:val="TableBodyText"/>
              <w:jc w:val="center"/>
              <w:rPr>
                <w:sz w:val="16"/>
                <w:szCs w:val="18"/>
              </w:rPr>
            </w:pPr>
            <w:r>
              <w:rPr>
                <w:sz w:val="16"/>
                <w:szCs w:val="18"/>
              </w:rPr>
              <w:t>N/A</w:t>
            </w:r>
          </w:p>
        </w:tc>
        <w:tc>
          <w:tcPr>
            <w:tcW w:w="1701" w:type="dxa"/>
          </w:tcPr>
          <w:p w14:paraId="21D29BEE" w14:textId="0865FC8A" w:rsidR="00FF17DC" w:rsidRPr="00FF17DC" w:rsidRDefault="001556C0" w:rsidP="001556C0">
            <w:pPr>
              <w:pStyle w:val="TableBodyText"/>
              <w:jc w:val="center"/>
              <w:rPr>
                <w:sz w:val="16"/>
                <w:szCs w:val="18"/>
              </w:rPr>
            </w:pPr>
            <w:r>
              <w:rPr>
                <w:sz w:val="16"/>
                <w:szCs w:val="18"/>
              </w:rPr>
              <w:t>Mandatory</w:t>
            </w:r>
          </w:p>
        </w:tc>
        <w:tc>
          <w:tcPr>
            <w:tcW w:w="1701" w:type="dxa"/>
          </w:tcPr>
          <w:p w14:paraId="27B4CE5B" w14:textId="44F8A699" w:rsidR="00FF17DC" w:rsidRPr="00FF17DC" w:rsidRDefault="001556C0" w:rsidP="001556C0">
            <w:pPr>
              <w:pStyle w:val="TableBodyText"/>
              <w:jc w:val="center"/>
              <w:rPr>
                <w:sz w:val="16"/>
                <w:szCs w:val="18"/>
              </w:rPr>
            </w:pPr>
            <w:r>
              <w:rPr>
                <w:sz w:val="16"/>
                <w:szCs w:val="18"/>
              </w:rPr>
              <w:t>Mandatory</w:t>
            </w:r>
          </w:p>
        </w:tc>
        <w:tc>
          <w:tcPr>
            <w:tcW w:w="1701" w:type="dxa"/>
          </w:tcPr>
          <w:p w14:paraId="5E5D4B2E" w14:textId="121C0444" w:rsidR="00FF17DC" w:rsidRPr="00FF17DC" w:rsidRDefault="001556C0" w:rsidP="001556C0">
            <w:pPr>
              <w:pStyle w:val="TableBodyText"/>
              <w:jc w:val="center"/>
              <w:rPr>
                <w:sz w:val="16"/>
                <w:szCs w:val="18"/>
              </w:rPr>
            </w:pPr>
            <w:r>
              <w:rPr>
                <w:sz w:val="16"/>
                <w:szCs w:val="18"/>
              </w:rPr>
              <w:t>Mandatory</w:t>
            </w:r>
          </w:p>
        </w:tc>
      </w:tr>
      <w:tr w:rsidR="00FF17DC" w14:paraId="62248089" w14:textId="77777777" w:rsidTr="00F95682">
        <w:tc>
          <w:tcPr>
            <w:tcW w:w="13932" w:type="dxa"/>
            <w:gridSpan w:val="6"/>
            <w:vAlign w:val="top"/>
          </w:tcPr>
          <w:p w14:paraId="13385182" w14:textId="77777777" w:rsidR="00FF17DC" w:rsidRPr="008B58F4" w:rsidRDefault="008B58F4" w:rsidP="002E766A">
            <w:pPr>
              <w:pStyle w:val="TableBodyText"/>
              <w:rPr>
                <w:i/>
                <w:iCs/>
                <w:sz w:val="16"/>
                <w:szCs w:val="18"/>
              </w:rPr>
            </w:pPr>
            <w:proofErr w:type="spellStart"/>
            <w:r w:rsidRPr="008B58F4">
              <w:rPr>
                <w:i/>
                <w:iCs/>
                <w:sz w:val="16"/>
                <w:szCs w:val="18"/>
              </w:rPr>
              <w:t>OnQ</w:t>
            </w:r>
            <w:proofErr w:type="spellEnd"/>
            <w:r w:rsidRPr="008B58F4">
              <w:rPr>
                <w:i/>
                <w:iCs/>
                <w:sz w:val="16"/>
                <w:szCs w:val="18"/>
              </w:rPr>
              <w:t xml:space="preserve"> – the department project management framework. PAF – Project Assessment Framework. IA – Infrastructure Australia Assessment Framework. </w:t>
            </w:r>
            <w:proofErr w:type="spellStart"/>
            <w:r w:rsidRPr="008B58F4">
              <w:rPr>
                <w:i/>
                <w:iCs/>
                <w:sz w:val="16"/>
                <w:szCs w:val="18"/>
              </w:rPr>
              <w:t>NoA</w:t>
            </w:r>
            <w:proofErr w:type="spellEnd"/>
            <w:r w:rsidRPr="008B58F4">
              <w:rPr>
                <w:i/>
                <w:iCs/>
                <w:sz w:val="16"/>
                <w:szCs w:val="18"/>
              </w:rPr>
              <w:t xml:space="preserve"> – Notes on Administration (DITRDC)</w:t>
            </w:r>
          </w:p>
          <w:p w14:paraId="547248A4" w14:textId="77777777" w:rsidR="008B58F4" w:rsidRPr="008B58F4" w:rsidRDefault="008B58F4" w:rsidP="002E766A">
            <w:pPr>
              <w:pStyle w:val="TableBodyText"/>
              <w:rPr>
                <w:i/>
                <w:iCs/>
                <w:sz w:val="16"/>
                <w:szCs w:val="18"/>
              </w:rPr>
            </w:pPr>
            <w:r w:rsidRPr="008B58F4">
              <w:rPr>
                <w:i/>
                <w:iCs/>
                <w:sz w:val="16"/>
                <w:szCs w:val="18"/>
              </w:rPr>
              <w:t>R = rural (link based) modelling, TM = traffic modelling based.</w:t>
            </w:r>
          </w:p>
          <w:p w14:paraId="62EA3B0A" w14:textId="77777777" w:rsidR="008B58F4" w:rsidRPr="008B58F4" w:rsidRDefault="008B58F4" w:rsidP="00BA0DE4">
            <w:pPr>
              <w:pStyle w:val="TableBodyText"/>
              <w:numPr>
                <w:ilvl w:val="0"/>
                <w:numId w:val="23"/>
              </w:numPr>
              <w:rPr>
                <w:i/>
                <w:iCs/>
                <w:sz w:val="16"/>
                <w:szCs w:val="18"/>
              </w:rPr>
            </w:pPr>
            <w:r w:rsidRPr="008B58F4">
              <w:rPr>
                <w:i/>
                <w:iCs/>
                <w:sz w:val="16"/>
                <w:szCs w:val="18"/>
              </w:rPr>
              <w:t>Mandatory if the initiative / project has greater than $50 million funding and/or includes experimental methods or complex analysis.</w:t>
            </w:r>
          </w:p>
          <w:p w14:paraId="24656D72" w14:textId="64DF73C3" w:rsidR="008B58F4" w:rsidRPr="00FF17DC" w:rsidRDefault="008B58F4" w:rsidP="00BA0DE4">
            <w:pPr>
              <w:pStyle w:val="TableBodyText"/>
              <w:numPr>
                <w:ilvl w:val="0"/>
                <w:numId w:val="23"/>
              </w:numPr>
              <w:rPr>
                <w:sz w:val="16"/>
                <w:szCs w:val="18"/>
              </w:rPr>
            </w:pPr>
            <w:r w:rsidRPr="008B58F4">
              <w:rPr>
                <w:i/>
                <w:iCs/>
                <w:sz w:val="16"/>
                <w:szCs w:val="18"/>
              </w:rPr>
              <w:t>TM if required – for example, modelling for public transport (bus, train or other) or intersection / interchange upgrades (this is not an exhaustive list).</w:t>
            </w:r>
          </w:p>
        </w:tc>
      </w:tr>
    </w:tbl>
    <w:p w14:paraId="1B8FED27" w14:textId="7B89C143" w:rsidR="003E2958" w:rsidRDefault="003E2958" w:rsidP="00B8333F">
      <w:pPr>
        <w:pStyle w:val="BodyText"/>
      </w:pPr>
    </w:p>
    <w:p w14:paraId="6A76C7CB" w14:textId="77777777" w:rsidR="008B58F4" w:rsidRDefault="008B58F4" w:rsidP="00B8333F">
      <w:pPr>
        <w:pStyle w:val="BodyText"/>
        <w:sectPr w:rsidR="008B58F4" w:rsidSect="00E0350D">
          <w:pgSz w:w="16838" w:h="11906" w:orient="landscape" w:code="9"/>
          <w:pgMar w:top="1418" w:right="1418" w:bottom="1418" w:left="1418" w:header="454" w:footer="454" w:gutter="0"/>
          <w:cols w:space="708"/>
          <w:docGrid w:linePitch="360"/>
        </w:sectPr>
      </w:pPr>
    </w:p>
    <w:p w14:paraId="6EC82E35" w14:textId="1DC0FAD0" w:rsidR="003E2958" w:rsidRDefault="008B58F4" w:rsidP="008B58F4">
      <w:pPr>
        <w:pStyle w:val="Heading1"/>
        <w:numPr>
          <w:ilvl w:val="0"/>
          <w:numId w:val="0"/>
        </w:numPr>
        <w:ind w:left="431" w:hanging="431"/>
      </w:pPr>
      <w:bookmarkStart w:id="22" w:name="_Toc74817266"/>
      <w:r>
        <w:lastRenderedPageBreak/>
        <w:t>Appendix B – Project typologies</w:t>
      </w:r>
      <w:bookmarkEnd w:id="22"/>
    </w:p>
    <w:p w14:paraId="0F62B3D0" w14:textId="337C0CD4" w:rsidR="008B58F4" w:rsidRDefault="008B58F4" w:rsidP="00572680">
      <w:pPr>
        <w:pStyle w:val="BodyText"/>
        <w:spacing w:after="240"/>
      </w:pPr>
      <w:r w:rsidRPr="008B58F4">
        <w:t>Provided below is a broad overview of infrastructure and project types, which connect to commonly attributed benefit streams. This is a generic mapping of these impacts and is not an exhaustive list. As a result, it is possible (if not likely) that a project will have several project types bundled together and therefore will likely overlap and create additional benefit linkages. Identification of the relevant objectives, service requirements and benefits should be completed on a project-by-project basis.</w:t>
      </w:r>
    </w:p>
    <w:p w14:paraId="245D085B" w14:textId="506CDE98" w:rsidR="003E2958" w:rsidRDefault="008B58F4" w:rsidP="00572680">
      <w:pPr>
        <w:pStyle w:val="BodyText"/>
        <w:jc w:val="center"/>
      </w:pPr>
      <w:r>
        <w:rPr>
          <w:noProof/>
        </w:rPr>
        <w:drawing>
          <wp:inline distT="0" distB="0" distL="0" distR="0" wp14:anchorId="2F7E62F0" wp14:editId="7916107B">
            <wp:extent cx="7375852" cy="4203511"/>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467184" cy="4255562"/>
                    </a:xfrm>
                    <a:prstGeom prst="rect">
                      <a:avLst/>
                    </a:prstGeom>
                    <a:noFill/>
                  </pic:spPr>
                </pic:pic>
              </a:graphicData>
            </a:graphic>
          </wp:inline>
        </w:drawing>
      </w:r>
    </w:p>
    <w:p w14:paraId="46CE794F" w14:textId="77777777" w:rsidR="00572680" w:rsidRDefault="00572680" w:rsidP="00572680">
      <w:pPr>
        <w:pStyle w:val="BodyText"/>
        <w:jc w:val="center"/>
        <w:rPr>
          <w:i/>
          <w:iCs/>
          <w:sz w:val="16"/>
          <w:szCs w:val="18"/>
        </w:rPr>
        <w:sectPr w:rsidR="00572680" w:rsidSect="00E0350D">
          <w:pgSz w:w="16838" w:h="11906" w:orient="landscape" w:code="9"/>
          <w:pgMar w:top="1418" w:right="1418" w:bottom="1418" w:left="1418" w:header="454" w:footer="454" w:gutter="0"/>
          <w:cols w:space="708"/>
          <w:docGrid w:linePitch="360"/>
        </w:sectPr>
      </w:pPr>
      <w:r w:rsidRPr="00572680">
        <w:rPr>
          <w:i/>
          <w:iCs/>
          <w:sz w:val="16"/>
          <w:szCs w:val="18"/>
        </w:rPr>
        <w:t>Note that not all benefit categories have been linked to the Transport Coordination Plan (TCP) Objectives due to generic categorisation and not because they do not link.</w:t>
      </w:r>
    </w:p>
    <w:p w14:paraId="3D8E79F0" w14:textId="401D10BC" w:rsidR="003E2958" w:rsidRDefault="00572680" w:rsidP="00572680">
      <w:pPr>
        <w:pStyle w:val="Heading1"/>
        <w:numPr>
          <w:ilvl w:val="0"/>
          <w:numId w:val="0"/>
        </w:numPr>
        <w:spacing w:after="240"/>
        <w:ind w:left="431" w:hanging="431"/>
      </w:pPr>
      <w:bookmarkStart w:id="23" w:name="_Toc74817267"/>
      <w:r>
        <w:lastRenderedPageBreak/>
        <w:t>Appendix C – Additional or specific guidance</w:t>
      </w:r>
      <w:bookmarkEnd w:id="23"/>
    </w:p>
    <w:tbl>
      <w:tblPr>
        <w:tblStyle w:val="Commentary"/>
        <w:tblW w:w="0" w:type="auto"/>
        <w:tblLook w:val="04A0" w:firstRow="1" w:lastRow="0" w:firstColumn="1" w:lastColumn="0" w:noHBand="0" w:noVBand="1"/>
      </w:tblPr>
      <w:tblGrid>
        <w:gridCol w:w="9024"/>
      </w:tblGrid>
      <w:tr w:rsidR="00572680" w:rsidRPr="00572680" w14:paraId="1E517887" w14:textId="77777777" w:rsidTr="00572680">
        <w:tc>
          <w:tcPr>
            <w:tcW w:w="13956" w:type="dxa"/>
          </w:tcPr>
          <w:p w14:paraId="0477FC8B" w14:textId="77777777" w:rsidR="00572680" w:rsidRDefault="00572680" w:rsidP="00572680">
            <w:pPr>
              <w:pStyle w:val="BodyText"/>
            </w:pPr>
            <w:r w:rsidRPr="00572680">
              <w:rPr>
                <w:highlight w:val="yellow"/>
              </w:rPr>
              <w:t>Delete this table before issuing:</w:t>
            </w:r>
          </w:p>
          <w:p w14:paraId="0A201879" w14:textId="77777777" w:rsidR="00572680" w:rsidRPr="00572680" w:rsidRDefault="00572680" w:rsidP="00572680">
            <w:pPr>
              <w:pStyle w:val="BodyText"/>
              <w:rPr>
                <w:rStyle w:val="BodyTextbold"/>
              </w:rPr>
            </w:pPr>
            <w:r w:rsidRPr="00572680">
              <w:rPr>
                <w:rStyle w:val="BodyTextbold"/>
              </w:rPr>
              <w:t>Project Manager: modify the following as appropriate.</w:t>
            </w:r>
          </w:p>
          <w:p w14:paraId="0C57815F" w14:textId="608F7BF3" w:rsidR="00572680" w:rsidRDefault="00572680" w:rsidP="00572680">
            <w:pPr>
              <w:pStyle w:val="BodyText"/>
            </w:pPr>
            <w:r>
              <w:t xml:space="preserve">A project may require additional or specific analysis for comparison / consistency reasons (for example, as a part of a large program or strategy) or due to project-specific complexities. If you suspect the project falls into this category and requires additional or specific guidance, please contact the PEU Economics Team (Ph: 3066 4016 Email: </w:t>
            </w:r>
            <w:hyperlink r:id="rId52" w:history="1">
              <w:r w:rsidRPr="000307B7">
                <w:rPr>
                  <w:rStyle w:val="Hyperlink"/>
                </w:rPr>
                <w:t>PEU.Economics@tmr.qld.gov.au</w:t>
              </w:r>
            </w:hyperlink>
            <w:r>
              <w:t>).</w:t>
            </w:r>
          </w:p>
          <w:p w14:paraId="140AE1D2" w14:textId="7B930924" w:rsidR="00572680" w:rsidRDefault="00572680" w:rsidP="00572680">
            <w:pPr>
              <w:pStyle w:val="BodyText"/>
            </w:pPr>
            <w:r>
              <w:t>Specific guidance on elements of the CBA can be provided to the consultant for a range of elements of the appraisal, including (but not limited to):</w:t>
            </w:r>
          </w:p>
          <w:p w14:paraId="0085F3A2" w14:textId="256A8232" w:rsidR="00572680" w:rsidRDefault="00572680" w:rsidP="00572680">
            <w:pPr>
              <w:pStyle w:val="ListB1dotonly"/>
            </w:pPr>
            <w:r>
              <w:t>Scenarios and assumptions</w:t>
            </w:r>
          </w:p>
          <w:p w14:paraId="2DE04620" w14:textId="753AF7A1" w:rsidR="00572680" w:rsidRDefault="00572680" w:rsidP="00572680">
            <w:pPr>
              <w:pStyle w:val="ListB2dashonly"/>
            </w:pPr>
            <w:r>
              <w:t>Base case</w:t>
            </w:r>
          </w:p>
          <w:p w14:paraId="0FEEFCEA" w14:textId="56A0A2D6" w:rsidR="00572680" w:rsidRDefault="00572680" w:rsidP="00572680">
            <w:pPr>
              <w:pStyle w:val="ListB3squareonly"/>
            </w:pPr>
            <w:r>
              <w:t>The treatment of committed but unfunded projects</w:t>
            </w:r>
          </w:p>
          <w:p w14:paraId="5E696054" w14:textId="1E8B7CC1" w:rsidR="00572680" w:rsidRDefault="00572680" w:rsidP="00572680">
            <w:pPr>
              <w:pStyle w:val="ListB2dashonly"/>
            </w:pPr>
            <w:r>
              <w:t>Project case</w:t>
            </w:r>
          </w:p>
          <w:p w14:paraId="0BA16B5F" w14:textId="2085162F" w:rsidR="00572680" w:rsidRDefault="00572680" w:rsidP="00572680">
            <w:pPr>
              <w:pStyle w:val="ListB1dotonly"/>
            </w:pPr>
            <w:r>
              <w:t>Evaluation assumptions</w:t>
            </w:r>
          </w:p>
          <w:p w14:paraId="4AA0C612" w14:textId="18294641" w:rsidR="00572680" w:rsidRDefault="00572680" w:rsidP="00572680">
            <w:pPr>
              <w:pStyle w:val="ListB2dashonly"/>
            </w:pPr>
            <w:r>
              <w:t>Evaluation period</w:t>
            </w:r>
          </w:p>
          <w:p w14:paraId="14DB80FA" w14:textId="71B74B2A" w:rsidR="00572680" w:rsidRDefault="00572680" w:rsidP="00572680">
            <w:pPr>
              <w:pStyle w:val="ListB2dashonly"/>
            </w:pPr>
            <w:r>
              <w:t>Expansion factors</w:t>
            </w:r>
          </w:p>
          <w:p w14:paraId="43EFA188" w14:textId="5B3E9F90" w:rsidR="00572680" w:rsidRDefault="00572680" w:rsidP="00572680">
            <w:pPr>
              <w:pStyle w:val="ListB2dashonly"/>
            </w:pPr>
            <w:r>
              <w:t>Indexation</w:t>
            </w:r>
          </w:p>
          <w:p w14:paraId="5B14A669" w14:textId="156200BA" w:rsidR="00572680" w:rsidRDefault="00572680" w:rsidP="00572680">
            <w:pPr>
              <w:pStyle w:val="ListB2dashonly"/>
            </w:pPr>
            <w:r>
              <w:t>Discount rate</w:t>
            </w:r>
          </w:p>
          <w:p w14:paraId="4240F957" w14:textId="261F3C09" w:rsidR="00572680" w:rsidRDefault="00572680" w:rsidP="00572680">
            <w:pPr>
              <w:pStyle w:val="ListB2dashonly"/>
            </w:pPr>
            <w:r>
              <w:t>Evaluation inputs</w:t>
            </w:r>
          </w:p>
          <w:p w14:paraId="51AA475C" w14:textId="4C41AAFB" w:rsidR="00572680" w:rsidRDefault="00572680" w:rsidP="00572680">
            <w:pPr>
              <w:pStyle w:val="ListB1dotonly"/>
            </w:pPr>
            <w:r>
              <w:t>Types of economic evaluation</w:t>
            </w:r>
          </w:p>
          <w:p w14:paraId="0C807C93" w14:textId="2C9010A9" w:rsidR="00572680" w:rsidRDefault="00572680" w:rsidP="00572680">
            <w:pPr>
              <w:pStyle w:val="ListB1dotonly"/>
            </w:pPr>
            <w:r>
              <w:t>Treatment of project costs</w:t>
            </w:r>
          </w:p>
          <w:p w14:paraId="3837D950" w14:textId="691654EB" w:rsidR="00572680" w:rsidRDefault="00572680" w:rsidP="00572680">
            <w:pPr>
              <w:pStyle w:val="ListB1dotonly"/>
              <w:keepNext/>
            </w:pPr>
            <w:r>
              <w:t>Project benefits</w:t>
            </w:r>
          </w:p>
          <w:p w14:paraId="51989798" w14:textId="4C2F212A" w:rsidR="00572680" w:rsidRDefault="00572680" w:rsidP="00572680">
            <w:pPr>
              <w:pStyle w:val="ListB2dashonly"/>
            </w:pPr>
            <w:r>
              <w:t>Monetised benefits</w:t>
            </w:r>
          </w:p>
          <w:p w14:paraId="65FC91A3" w14:textId="02E3F623" w:rsidR="00572680" w:rsidRDefault="00572680" w:rsidP="00572680">
            <w:pPr>
              <w:pStyle w:val="ListB2dashonly"/>
            </w:pPr>
            <w:r>
              <w:t>Non-monetised benefits/costs</w:t>
            </w:r>
          </w:p>
          <w:p w14:paraId="256BF7E1" w14:textId="38A8DC40" w:rsidR="00572680" w:rsidRDefault="00572680" w:rsidP="00572680">
            <w:pPr>
              <w:pStyle w:val="ListB1dotonly"/>
            </w:pPr>
            <w:r>
              <w:t>Decision criteria</w:t>
            </w:r>
            <w:r>
              <w:tab/>
            </w:r>
          </w:p>
          <w:p w14:paraId="3A11282A" w14:textId="0E0A3A8E" w:rsidR="00572680" w:rsidRDefault="00572680" w:rsidP="00572680">
            <w:pPr>
              <w:pStyle w:val="ListB1dotonly"/>
            </w:pPr>
            <w:r>
              <w:t>Sensitivity analysis</w:t>
            </w:r>
          </w:p>
          <w:p w14:paraId="3F3E9A4A" w14:textId="595DBDAD" w:rsidR="00572680" w:rsidRDefault="00572680" w:rsidP="00572680">
            <w:pPr>
              <w:pStyle w:val="ListB1dotonly"/>
            </w:pPr>
            <w:r>
              <w:t>Other requirements</w:t>
            </w:r>
          </w:p>
          <w:p w14:paraId="3C979590" w14:textId="5FB1EA37" w:rsidR="00572680" w:rsidRPr="00572680" w:rsidRDefault="00572680" w:rsidP="00572680">
            <w:pPr>
              <w:pStyle w:val="BodyText"/>
              <w:rPr>
                <w:rStyle w:val="BodyTextbold"/>
              </w:rPr>
            </w:pPr>
            <w:r w:rsidRPr="00572680">
              <w:rPr>
                <w:rStyle w:val="BodyTextbold"/>
                <w:color w:val="002060"/>
              </w:rPr>
              <w:t>To delete these guidance boxes, right-mouse click within this box and select Delete Rows.</w:t>
            </w:r>
          </w:p>
        </w:tc>
      </w:tr>
    </w:tbl>
    <w:p w14:paraId="6D524DBA" w14:textId="097CB7BC" w:rsidR="00572680" w:rsidRDefault="00572680" w:rsidP="00B8333F">
      <w:pPr>
        <w:pStyle w:val="BodyText"/>
      </w:pPr>
    </w:p>
    <w:p w14:paraId="10A14ECA" w14:textId="1758444C" w:rsidR="00572680" w:rsidRDefault="00572680" w:rsidP="00B8333F">
      <w:pPr>
        <w:pStyle w:val="BodyText"/>
      </w:pPr>
    </w:p>
    <w:p w14:paraId="3040D1D4" w14:textId="77777777" w:rsidR="00572680" w:rsidRDefault="00572680" w:rsidP="00B8333F">
      <w:pPr>
        <w:pStyle w:val="BodyText"/>
      </w:pPr>
    </w:p>
    <w:p w14:paraId="64343D02" w14:textId="77777777" w:rsidR="000E3419" w:rsidRPr="00CE6618" w:rsidRDefault="000E3419" w:rsidP="00B8333F">
      <w:pPr>
        <w:pStyle w:val="BodyText"/>
      </w:pPr>
    </w:p>
    <w:p w14:paraId="431553B0" w14:textId="77777777" w:rsidR="0061185E" w:rsidRPr="00CE6618" w:rsidRDefault="0061185E" w:rsidP="004525EA">
      <w:pPr>
        <w:pStyle w:val="BodyText"/>
        <w:sectPr w:rsidR="0061185E" w:rsidRPr="00CE6618" w:rsidSect="00A54E7F">
          <w:pgSz w:w="11906" w:h="16838" w:code="9"/>
          <w:pgMar w:top="1418" w:right="1418" w:bottom="1418" w:left="1418" w:header="454" w:footer="454" w:gutter="0"/>
          <w:cols w:space="708"/>
          <w:docGrid w:linePitch="360"/>
        </w:sectPr>
      </w:pPr>
    </w:p>
    <w:p w14:paraId="2438583D" w14:textId="77777777" w:rsidR="00BC68B8" w:rsidRPr="00CE6618" w:rsidRDefault="00BC68B8" w:rsidP="0061185E">
      <w:pPr>
        <w:pStyle w:val="BodyText"/>
      </w:pPr>
    </w:p>
    <w:p w14:paraId="209DD2B6" w14:textId="77777777" w:rsidR="0061185E" w:rsidRPr="00CE6618" w:rsidRDefault="0061185E" w:rsidP="0061185E">
      <w:pPr>
        <w:pStyle w:val="BodyText"/>
      </w:pPr>
    </w:p>
    <w:p w14:paraId="61A94C95" w14:textId="77777777" w:rsidR="0061185E" w:rsidRPr="00CE6618" w:rsidRDefault="0061185E" w:rsidP="0061185E">
      <w:pPr>
        <w:pStyle w:val="BodyText"/>
      </w:pPr>
    </w:p>
    <w:p w14:paraId="36EBE05F" w14:textId="77777777" w:rsidR="0061185E" w:rsidRPr="00CE6618" w:rsidRDefault="0061185E" w:rsidP="0061185E">
      <w:pPr>
        <w:pStyle w:val="BodyText"/>
      </w:pPr>
    </w:p>
    <w:p w14:paraId="120B7A1A" w14:textId="77777777" w:rsidR="0061185E" w:rsidRPr="00CE6618" w:rsidRDefault="0061185E" w:rsidP="0061185E">
      <w:pPr>
        <w:pStyle w:val="BodyText"/>
      </w:pPr>
    </w:p>
    <w:p w14:paraId="5D57E5E6" w14:textId="77777777" w:rsidR="0061185E" w:rsidRPr="00CE6618" w:rsidRDefault="0061185E" w:rsidP="0061185E">
      <w:pPr>
        <w:pStyle w:val="BodyText"/>
      </w:pPr>
    </w:p>
    <w:p w14:paraId="101B9A13" w14:textId="77777777" w:rsidR="0061185E" w:rsidRPr="00CE6618" w:rsidRDefault="0061185E" w:rsidP="0061185E">
      <w:pPr>
        <w:pStyle w:val="BodyText"/>
      </w:pPr>
    </w:p>
    <w:p w14:paraId="0DF28580" w14:textId="77777777" w:rsidR="0061185E" w:rsidRPr="00CE6618" w:rsidRDefault="0061185E" w:rsidP="0061185E">
      <w:pPr>
        <w:pStyle w:val="BodyText"/>
      </w:pPr>
    </w:p>
    <w:p w14:paraId="2BF834A0" w14:textId="77777777" w:rsidR="0061185E" w:rsidRPr="00CE6618" w:rsidRDefault="0061185E" w:rsidP="0061185E">
      <w:pPr>
        <w:pStyle w:val="BodyText"/>
      </w:pPr>
    </w:p>
    <w:p w14:paraId="6C07AFA5" w14:textId="77777777" w:rsidR="0061185E" w:rsidRPr="00CE6618" w:rsidRDefault="0061185E" w:rsidP="0061185E">
      <w:pPr>
        <w:pStyle w:val="BodyText"/>
      </w:pPr>
    </w:p>
    <w:p w14:paraId="7DEA3EC1" w14:textId="77777777" w:rsidR="0061185E" w:rsidRPr="00CE6618" w:rsidRDefault="0061185E" w:rsidP="0061185E">
      <w:pPr>
        <w:pStyle w:val="BodyText"/>
      </w:pPr>
    </w:p>
    <w:sectPr w:rsidR="0061185E" w:rsidRPr="00CE6618" w:rsidSect="0061185E">
      <w:headerReference w:type="even" r:id="rId53"/>
      <w:headerReference w:type="default" r:id="rId54"/>
      <w:footerReference w:type="default" r:id="rId55"/>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696CD" w14:textId="77777777" w:rsidR="008D0CCF" w:rsidRDefault="008D0CCF">
      <w:r>
        <w:separator/>
      </w:r>
    </w:p>
    <w:p w14:paraId="54D412A2" w14:textId="77777777" w:rsidR="008D0CCF" w:rsidRDefault="008D0CCF"/>
  </w:endnote>
  <w:endnote w:type="continuationSeparator" w:id="0">
    <w:p w14:paraId="16973E4D" w14:textId="77777777" w:rsidR="008D0CCF" w:rsidRDefault="008D0CCF">
      <w:r>
        <w:continuationSeparator/>
      </w:r>
    </w:p>
    <w:p w14:paraId="433DC373" w14:textId="77777777" w:rsidR="008D0CCF" w:rsidRDefault="008D0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42495" w14:textId="77777777" w:rsidR="008D0CCF" w:rsidRDefault="008D0CCF"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43C5A79" w14:textId="77777777" w:rsidR="008D0CCF" w:rsidRDefault="008D0CCF"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1B2D8" w14:textId="77777777" w:rsidR="008D0CCF" w:rsidRPr="00391457" w:rsidRDefault="008D0CCF"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34C6B7C0" w14:textId="77777777" w:rsidR="008D0CCF" w:rsidRPr="00391457" w:rsidRDefault="008D0CCF"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FFA3A" w14:textId="39C28BA4" w:rsidR="008D0CCF" w:rsidRPr="00176CC5" w:rsidRDefault="008D0CCF" w:rsidP="00176CC5">
    <w:pPr>
      <w:pStyle w:val="Footer"/>
    </w:pPr>
    <w:r w:rsidRPr="00C97E87">
      <w:rPr>
        <w:rFonts w:cs="Times New Roman"/>
        <w:noProof/>
        <w:sz w:val="20"/>
        <w:szCs w:val="24"/>
      </w:rPr>
      <mc:AlternateContent>
        <mc:Choice Requires="wps">
          <w:drawing>
            <wp:anchor distT="0" distB="0" distL="114300" distR="114300" simplePos="0" relativeHeight="251666432" behindDoc="0" locked="0" layoutInCell="1" allowOverlap="1" wp14:anchorId="1D0FF6D6" wp14:editId="087D3415">
              <wp:simplePos x="0" y="0"/>
              <wp:positionH relativeFrom="margin">
                <wp:posOffset>4445</wp:posOffset>
              </wp:positionH>
              <wp:positionV relativeFrom="margin">
                <wp:posOffset>3461385</wp:posOffset>
              </wp:positionV>
              <wp:extent cx="5579745" cy="54311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7EAE6" w14:textId="77777777" w:rsidR="008D0CCF" w:rsidRPr="001675E4" w:rsidRDefault="008D0CCF" w:rsidP="00C97E87">
                          <w:pPr>
                            <w:pStyle w:val="HeadingPartChapter"/>
                            <w:spacing w:after="120"/>
                          </w:pPr>
                          <w:r>
                            <w:t>Copyright</w:t>
                          </w:r>
                        </w:p>
                        <w:p w14:paraId="7D0B6F1D" w14:textId="77777777" w:rsidR="008D0CCF" w:rsidRPr="001675E4" w:rsidRDefault="008D0CCF" w:rsidP="00C97E87">
                          <w:pPr>
                            <w:pStyle w:val="BodyText"/>
                            <w:spacing w:after="0"/>
                          </w:pPr>
                          <w:r w:rsidRPr="001675E4">
                            <w:t>© The State of Queensland (Department of Transport and Main Roads) 20</w:t>
                          </w:r>
                          <w:r>
                            <w:t>21.</w:t>
                          </w:r>
                        </w:p>
                        <w:p w14:paraId="3AB2AB83" w14:textId="77777777" w:rsidR="008D0CCF" w:rsidRPr="001675E4" w:rsidRDefault="008D0CCF" w:rsidP="00C97E87">
                          <w:pPr>
                            <w:pStyle w:val="BodyText"/>
                            <w:spacing w:after="0" w:line="240" w:lineRule="auto"/>
                          </w:pPr>
                        </w:p>
                        <w:p w14:paraId="736AA3B8" w14:textId="77777777" w:rsidR="008D0CCF" w:rsidRDefault="008D0CCF" w:rsidP="00C97E87">
                          <w:pPr>
                            <w:pStyle w:val="BodyText"/>
                            <w:spacing w:after="0"/>
                            <w:rPr>
                              <w:b/>
                            </w:rPr>
                          </w:pPr>
                          <w:r w:rsidRPr="009407AF">
                            <w:rPr>
                              <w:b/>
                            </w:rPr>
                            <w:t>Licence</w:t>
                          </w:r>
                        </w:p>
                        <w:p w14:paraId="5D17AF98" w14:textId="77777777" w:rsidR="008D0CCF" w:rsidRDefault="008D0CCF" w:rsidP="00C97E87">
                          <w:pPr>
                            <w:pStyle w:val="BodyText"/>
                            <w:spacing w:after="0"/>
                            <w:rPr>
                              <w:b/>
                            </w:rPr>
                          </w:pPr>
                          <w:r w:rsidRPr="001675E4">
                            <w:rPr>
                              <w:noProof/>
                            </w:rPr>
                            <w:drawing>
                              <wp:inline distT="0" distB="0" distL="0" distR="0" wp14:anchorId="1DB9D4E9" wp14:editId="7D29A796">
                                <wp:extent cx="809625" cy="37147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70B84DD5" w14:textId="77777777" w:rsidR="008D0CCF" w:rsidRDefault="008D0CCF" w:rsidP="00C97E87">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698EC8A1" w14:textId="77777777" w:rsidR="008D0CCF" w:rsidRPr="009407AF" w:rsidRDefault="008D0CCF" w:rsidP="00C97E87">
                          <w:pPr>
                            <w:pStyle w:val="BodyText"/>
                            <w:spacing w:after="0" w:line="240" w:lineRule="auto"/>
                            <w:rPr>
                              <w:b/>
                            </w:rPr>
                          </w:pPr>
                        </w:p>
                        <w:p w14:paraId="25B3CA31" w14:textId="77777777" w:rsidR="008D0CCF" w:rsidRPr="009407AF" w:rsidRDefault="008D0CCF" w:rsidP="00C97E87">
                          <w:pPr>
                            <w:pStyle w:val="BodyText"/>
                            <w:spacing w:after="0"/>
                            <w:rPr>
                              <w:b/>
                            </w:rPr>
                          </w:pPr>
                          <w:r w:rsidRPr="009407AF">
                            <w:rPr>
                              <w:b/>
                            </w:rPr>
                            <w:t>CC BY licence summary statement</w:t>
                          </w:r>
                        </w:p>
                        <w:p w14:paraId="7D607D62" w14:textId="77777777" w:rsidR="008D0CCF" w:rsidRPr="001675E4" w:rsidRDefault="008D0CCF" w:rsidP="00C97E87">
                          <w:pPr>
                            <w:pStyle w:val="BodyText"/>
                            <w:spacing w:after="0"/>
                          </w:pPr>
                          <w:proofErr w:type="gramStart"/>
                          <w:r w:rsidRPr="001675E4">
                            <w:t>In essence, you</w:t>
                          </w:r>
                          <w:proofErr w:type="gramEnd"/>
                          <w:r w:rsidRPr="001675E4">
                            <w:t xml:space="preserve"> are free to copy, communicate and adapt this work, as long as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79B712A8" w14:textId="77777777" w:rsidR="008D0CCF" w:rsidRPr="009407AF" w:rsidRDefault="008D0CCF" w:rsidP="00C97E87">
                          <w:pPr>
                            <w:pStyle w:val="BodyText"/>
                            <w:spacing w:after="0" w:line="240" w:lineRule="auto"/>
                          </w:pPr>
                        </w:p>
                        <w:p w14:paraId="7F53B32F" w14:textId="77777777" w:rsidR="008D0CCF" w:rsidRDefault="008D0CCF" w:rsidP="00C97E8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8D0CCF" w14:paraId="4C9B0E95" w14:textId="77777777" w:rsidTr="00C97E87">
                            <w:tc>
                              <w:tcPr>
                                <w:tcW w:w="1134" w:type="dxa"/>
                                <w:vAlign w:val="top"/>
                              </w:tcPr>
                              <w:p w14:paraId="490E1187" w14:textId="77777777" w:rsidR="008D0CCF" w:rsidRDefault="008D0CCF" w:rsidP="00C97E87">
                                <w:pPr>
                                  <w:pStyle w:val="BodyText"/>
                                  <w:spacing w:before="120" w:after="20"/>
                                  <w:rPr>
                                    <w:b/>
                                  </w:rPr>
                                </w:pPr>
                                <w:r>
                                  <w:rPr>
                                    <w:noProof/>
                                  </w:rPr>
                                  <w:drawing>
                                    <wp:inline distT="0" distB="0" distL="0" distR="0" wp14:anchorId="420F277E" wp14:editId="5A6AEC4E">
                                      <wp:extent cx="536813" cy="609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3BC340D5" w14:textId="77777777" w:rsidR="008D0CCF" w:rsidRPr="00F600A5" w:rsidRDefault="008D0CCF" w:rsidP="00C97E87">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738B56D9" w14:textId="77777777" w:rsidR="008D0CCF" w:rsidRDefault="008D0CCF" w:rsidP="00C97E87">
                          <w:pPr>
                            <w:pStyle w:val="BodyText"/>
                            <w:spacing w:after="0" w:line="240" w:lineRule="auto"/>
                          </w:pPr>
                        </w:p>
                        <w:p w14:paraId="438FB22D" w14:textId="77777777" w:rsidR="008D0CCF" w:rsidRDefault="008D0CCF" w:rsidP="00C97E87">
                          <w:pPr>
                            <w:pStyle w:val="BodyText"/>
                            <w:spacing w:after="0"/>
                          </w:pPr>
                          <w:r w:rsidRPr="009407AF">
                            <w:rPr>
                              <w:b/>
                            </w:rPr>
                            <w:t>Disclaime</w:t>
                          </w:r>
                          <w:r w:rsidRPr="001675E4">
                            <w:t>r</w:t>
                          </w:r>
                        </w:p>
                        <w:p w14:paraId="7AB33F30" w14:textId="77777777" w:rsidR="008D0CCF" w:rsidRDefault="008D0CCF" w:rsidP="00C97E87">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498C0248" w14:textId="77777777" w:rsidR="008D0CCF" w:rsidRPr="001675E4" w:rsidRDefault="008D0CCF" w:rsidP="00C97E87">
                          <w:pPr>
                            <w:pStyle w:val="BodyText"/>
                            <w:spacing w:after="0" w:line="240" w:lineRule="auto"/>
                          </w:pPr>
                        </w:p>
                        <w:p w14:paraId="1B406916" w14:textId="77777777" w:rsidR="008D0CCF" w:rsidRPr="009407AF" w:rsidRDefault="008D0CCF" w:rsidP="00C97E87">
                          <w:pPr>
                            <w:pStyle w:val="BodyText"/>
                            <w:spacing w:after="0"/>
                            <w:rPr>
                              <w:b/>
                            </w:rPr>
                          </w:pPr>
                          <w:r w:rsidRPr="009407AF">
                            <w:rPr>
                              <w:b/>
                            </w:rPr>
                            <w:t>Feedback</w:t>
                          </w:r>
                        </w:p>
                        <w:p w14:paraId="110C3E2C" w14:textId="77777777" w:rsidR="008D0CCF" w:rsidRPr="00F322FA" w:rsidRDefault="008D0CCF" w:rsidP="00C97E87">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FF6D6" id="_x0000_t202" coordsize="21600,21600" o:spt="202" path="m,l,21600r21600,l21600,xe">
              <v:stroke joinstyle="miter"/>
              <v:path gradientshapeok="t" o:connecttype="rect"/>
            </v:shapetype>
            <v:shape id="Text Box 43" o:spid="_x0000_s1027" type="#_x0000_t202" style="position:absolute;margin-left:.35pt;margin-top:272.55pt;width:439.35pt;height:427.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" filled="f" stroked="f">
              <v:textbox inset="0,0,0,0">
                <w:txbxContent>
                  <w:p w14:paraId="5747EAE6" w14:textId="77777777" w:rsidR="008D0CCF" w:rsidRPr="001675E4" w:rsidRDefault="008D0CCF" w:rsidP="00C97E87">
                    <w:pPr>
                      <w:pStyle w:val="HeadingPartChapter"/>
                      <w:spacing w:after="120"/>
                    </w:pPr>
                    <w:r>
                      <w:t>Copyright</w:t>
                    </w:r>
                  </w:p>
                  <w:p w14:paraId="7D0B6F1D" w14:textId="77777777" w:rsidR="008D0CCF" w:rsidRPr="001675E4" w:rsidRDefault="008D0CCF" w:rsidP="00C97E87">
                    <w:pPr>
                      <w:pStyle w:val="BodyText"/>
                      <w:spacing w:after="0"/>
                    </w:pPr>
                    <w:r w:rsidRPr="001675E4">
                      <w:t>© The State of Queensland (Department of Transport and Main Roads) 20</w:t>
                    </w:r>
                    <w:r>
                      <w:t>21.</w:t>
                    </w:r>
                  </w:p>
                  <w:p w14:paraId="3AB2AB83" w14:textId="77777777" w:rsidR="008D0CCF" w:rsidRPr="001675E4" w:rsidRDefault="008D0CCF" w:rsidP="00C97E87">
                    <w:pPr>
                      <w:pStyle w:val="BodyText"/>
                      <w:spacing w:after="0" w:line="240" w:lineRule="auto"/>
                    </w:pPr>
                  </w:p>
                  <w:p w14:paraId="736AA3B8" w14:textId="77777777" w:rsidR="008D0CCF" w:rsidRDefault="008D0CCF" w:rsidP="00C97E87">
                    <w:pPr>
                      <w:pStyle w:val="BodyText"/>
                      <w:spacing w:after="0"/>
                      <w:rPr>
                        <w:b/>
                      </w:rPr>
                    </w:pPr>
                    <w:r w:rsidRPr="009407AF">
                      <w:rPr>
                        <w:b/>
                      </w:rPr>
                      <w:t>Licence</w:t>
                    </w:r>
                  </w:p>
                  <w:p w14:paraId="5D17AF98" w14:textId="77777777" w:rsidR="008D0CCF" w:rsidRDefault="008D0CCF" w:rsidP="00C97E87">
                    <w:pPr>
                      <w:pStyle w:val="BodyText"/>
                      <w:spacing w:after="0"/>
                      <w:rPr>
                        <w:b/>
                      </w:rPr>
                    </w:pPr>
                    <w:r w:rsidRPr="001675E4">
                      <w:rPr>
                        <w:noProof/>
                      </w:rPr>
                      <w:drawing>
                        <wp:inline distT="0" distB="0" distL="0" distR="0" wp14:anchorId="1DB9D4E9" wp14:editId="7D29A796">
                          <wp:extent cx="809625" cy="37147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70B84DD5" w14:textId="77777777" w:rsidR="008D0CCF" w:rsidRDefault="008D0CCF" w:rsidP="00C97E87">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698EC8A1" w14:textId="77777777" w:rsidR="008D0CCF" w:rsidRPr="009407AF" w:rsidRDefault="008D0CCF" w:rsidP="00C97E87">
                    <w:pPr>
                      <w:pStyle w:val="BodyText"/>
                      <w:spacing w:after="0" w:line="240" w:lineRule="auto"/>
                      <w:rPr>
                        <w:b/>
                      </w:rPr>
                    </w:pPr>
                  </w:p>
                  <w:p w14:paraId="25B3CA31" w14:textId="77777777" w:rsidR="008D0CCF" w:rsidRPr="009407AF" w:rsidRDefault="008D0CCF" w:rsidP="00C97E87">
                    <w:pPr>
                      <w:pStyle w:val="BodyText"/>
                      <w:spacing w:after="0"/>
                      <w:rPr>
                        <w:b/>
                      </w:rPr>
                    </w:pPr>
                    <w:r w:rsidRPr="009407AF">
                      <w:rPr>
                        <w:b/>
                      </w:rPr>
                      <w:t>CC BY licence summary statement</w:t>
                    </w:r>
                  </w:p>
                  <w:p w14:paraId="7D607D62" w14:textId="77777777" w:rsidR="008D0CCF" w:rsidRPr="001675E4" w:rsidRDefault="008D0CCF" w:rsidP="00C97E87">
                    <w:pPr>
                      <w:pStyle w:val="BodyText"/>
                      <w:spacing w:after="0"/>
                    </w:pPr>
                    <w:proofErr w:type="gramStart"/>
                    <w:r w:rsidRPr="001675E4">
                      <w:t>In essence, you</w:t>
                    </w:r>
                    <w:proofErr w:type="gramEnd"/>
                    <w:r w:rsidRPr="001675E4">
                      <w:t xml:space="preserve"> are free to copy, communicate and adapt this work, as long as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79B712A8" w14:textId="77777777" w:rsidR="008D0CCF" w:rsidRPr="009407AF" w:rsidRDefault="008D0CCF" w:rsidP="00C97E87">
                    <w:pPr>
                      <w:pStyle w:val="BodyText"/>
                      <w:spacing w:after="0" w:line="240" w:lineRule="auto"/>
                    </w:pPr>
                  </w:p>
                  <w:p w14:paraId="7F53B32F" w14:textId="77777777" w:rsidR="008D0CCF" w:rsidRDefault="008D0CCF" w:rsidP="00C97E8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8D0CCF" w14:paraId="4C9B0E95" w14:textId="77777777" w:rsidTr="00C97E87">
                      <w:tc>
                        <w:tcPr>
                          <w:tcW w:w="1134" w:type="dxa"/>
                          <w:vAlign w:val="top"/>
                        </w:tcPr>
                        <w:p w14:paraId="490E1187" w14:textId="77777777" w:rsidR="008D0CCF" w:rsidRDefault="008D0CCF" w:rsidP="00C97E87">
                          <w:pPr>
                            <w:pStyle w:val="BodyText"/>
                            <w:spacing w:before="120" w:after="20"/>
                            <w:rPr>
                              <w:b/>
                            </w:rPr>
                          </w:pPr>
                          <w:r>
                            <w:rPr>
                              <w:noProof/>
                            </w:rPr>
                            <w:drawing>
                              <wp:inline distT="0" distB="0" distL="0" distR="0" wp14:anchorId="420F277E" wp14:editId="5A6AEC4E">
                                <wp:extent cx="536813" cy="609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3BC340D5" w14:textId="77777777" w:rsidR="008D0CCF" w:rsidRPr="00F600A5" w:rsidRDefault="008D0CCF" w:rsidP="00C97E87">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738B56D9" w14:textId="77777777" w:rsidR="008D0CCF" w:rsidRDefault="008D0CCF" w:rsidP="00C97E87">
                    <w:pPr>
                      <w:pStyle w:val="BodyText"/>
                      <w:spacing w:after="0" w:line="240" w:lineRule="auto"/>
                    </w:pPr>
                  </w:p>
                  <w:p w14:paraId="438FB22D" w14:textId="77777777" w:rsidR="008D0CCF" w:rsidRDefault="008D0CCF" w:rsidP="00C97E87">
                    <w:pPr>
                      <w:pStyle w:val="BodyText"/>
                      <w:spacing w:after="0"/>
                    </w:pPr>
                    <w:r w:rsidRPr="009407AF">
                      <w:rPr>
                        <w:b/>
                      </w:rPr>
                      <w:t>Disclaime</w:t>
                    </w:r>
                    <w:r w:rsidRPr="001675E4">
                      <w:t>r</w:t>
                    </w:r>
                  </w:p>
                  <w:p w14:paraId="7AB33F30" w14:textId="77777777" w:rsidR="008D0CCF" w:rsidRDefault="008D0CCF" w:rsidP="00C97E87">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498C0248" w14:textId="77777777" w:rsidR="008D0CCF" w:rsidRPr="001675E4" w:rsidRDefault="008D0CCF" w:rsidP="00C97E87">
                    <w:pPr>
                      <w:pStyle w:val="BodyText"/>
                      <w:spacing w:after="0" w:line="240" w:lineRule="auto"/>
                    </w:pPr>
                  </w:p>
                  <w:p w14:paraId="1B406916" w14:textId="77777777" w:rsidR="008D0CCF" w:rsidRPr="009407AF" w:rsidRDefault="008D0CCF" w:rsidP="00C97E87">
                    <w:pPr>
                      <w:pStyle w:val="BodyText"/>
                      <w:spacing w:after="0"/>
                      <w:rPr>
                        <w:b/>
                      </w:rPr>
                    </w:pPr>
                    <w:r w:rsidRPr="009407AF">
                      <w:rPr>
                        <w:b/>
                      </w:rPr>
                      <w:t>Feedback</w:t>
                    </w:r>
                  </w:p>
                  <w:p w14:paraId="110C3E2C" w14:textId="77777777" w:rsidR="008D0CCF" w:rsidRPr="00F322FA" w:rsidRDefault="008D0CCF" w:rsidP="00C97E87">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r>
      <w:t>Consultants for Engineering Projects</w:t>
    </w:r>
    <w:r w:rsidRPr="00176CC5">
      <w:t xml:space="preserve">, Transport and Main Roads, </w:t>
    </w:r>
    <w:r w:rsidR="007165B9">
      <w:t>June</w:t>
    </w:r>
    <w:r>
      <w:t xml:space="preserve"> 2021</w:t>
    </w:r>
    <w:r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9EC1" w14:textId="77777777" w:rsidR="008D0CCF" w:rsidRPr="00F64B7F" w:rsidRDefault="008D0CCF"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0EA73" w14:textId="028F8928" w:rsidR="008D0CCF" w:rsidRPr="009E5C89" w:rsidRDefault="008D0CCF" w:rsidP="00B36088">
    <w:pPr>
      <w:pStyle w:val="Footer"/>
      <w:tabs>
        <w:tab w:val="clear" w:pos="4153"/>
        <w:tab w:val="clear" w:pos="9540"/>
        <w:tab w:val="center" w:pos="9072"/>
      </w:tabs>
      <w:ind w:right="0"/>
    </w:pPr>
    <w:r>
      <w:t xml:space="preserve">Consultants for Engineering Projects, </w:t>
    </w:r>
    <w:r w:rsidRPr="00391457">
      <w:t>Trans</w:t>
    </w:r>
    <w:r>
      <w:t xml:space="preserve">port and Main Roads, </w:t>
    </w:r>
    <w:r w:rsidR="007165B9">
      <w:t>June</w:t>
    </w:r>
    <w:r>
      <w:t xml:space="preserve"> 2021</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i</w:t>
    </w:r>
    <w:r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B775" w14:textId="64A422A1" w:rsidR="008D0CCF" w:rsidRPr="009E5C89" w:rsidRDefault="008D0CCF" w:rsidP="00980F4F">
    <w:pPr>
      <w:pStyle w:val="Footer"/>
      <w:tabs>
        <w:tab w:val="clear" w:pos="9540"/>
        <w:tab w:val="right" w:pos="13608"/>
      </w:tabs>
      <w:ind w:right="-43"/>
    </w:pPr>
    <w:r>
      <w:t xml:space="preserve">Consultants for Engineering Projects, </w:t>
    </w:r>
    <w:r w:rsidRPr="00391457">
      <w:t>Trans</w:t>
    </w:r>
    <w:r>
      <w:t xml:space="preserve">port and Main Roads, </w:t>
    </w:r>
    <w:r w:rsidR="007165B9">
      <w:t>June</w:t>
    </w:r>
    <w:r>
      <w:t xml:space="preserve"> 2021</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7</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A3D45" w14:textId="6F90AC44" w:rsidR="008D0CCF" w:rsidRPr="00391457" w:rsidRDefault="008D0CCF" w:rsidP="00176CC5">
    <w:pPr>
      <w:pStyle w:val="Footer"/>
    </w:pPr>
    <w:r>
      <w:rPr>
        <w:noProof/>
      </w:rPr>
      <w:drawing>
        <wp:anchor distT="0" distB="0" distL="114300" distR="114300" simplePos="0" relativeHeight="251668480" behindDoc="1" locked="0" layoutInCell="1" allowOverlap="1" wp14:anchorId="1C2DA557" wp14:editId="1C18D8CD">
          <wp:simplePos x="0" y="0"/>
          <wp:positionH relativeFrom="page">
            <wp:align>right</wp:align>
          </wp:positionH>
          <wp:positionV relativeFrom="page">
            <wp:align>bottom</wp:align>
          </wp:positionV>
          <wp:extent cx="4027805" cy="698500"/>
          <wp:effectExtent l="0" t="0" r="0" b="6350"/>
          <wp:wrapNone/>
          <wp:docPr id="12" name="Picture 12" descr="A4-Portrait-T2-Back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Portrait-T2-Back page"/>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E45DF" w14:textId="77777777" w:rsidR="008D0CCF" w:rsidRDefault="008D0CCF">
      <w:r>
        <w:separator/>
      </w:r>
    </w:p>
  </w:footnote>
  <w:footnote w:type="continuationSeparator" w:id="0">
    <w:p w14:paraId="508A3584" w14:textId="77777777" w:rsidR="008D0CCF" w:rsidRDefault="008D0CCF">
      <w:r>
        <w:continuationSeparator/>
      </w:r>
    </w:p>
    <w:p w14:paraId="6133F4EC" w14:textId="77777777" w:rsidR="008D0CCF" w:rsidRDefault="008D0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BE92B" w14:textId="77777777" w:rsidR="008D0CCF" w:rsidRDefault="008D0CCF">
    <w:pPr>
      <w:pStyle w:val="Header"/>
    </w:pPr>
    <w:r>
      <w:rPr>
        <w:noProof/>
      </w:rPr>
      <w:drawing>
        <wp:anchor distT="0" distB="0" distL="114300" distR="114300" simplePos="0" relativeHeight="251655168" behindDoc="1" locked="0" layoutInCell="1" allowOverlap="1" wp14:anchorId="4E182BFB" wp14:editId="105C1ECB">
          <wp:simplePos x="0" y="0"/>
          <wp:positionH relativeFrom="column">
            <wp:posOffset>-398780</wp:posOffset>
          </wp:positionH>
          <wp:positionV relativeFrom="paragraph">
            <wp:posOffset>-210820</wp:posOffset>
          </wp:positionV>
          <wp:extent cx="7456805" cy="10547985"/>
          <wp:effectExtent l="0" t="0" r="0" b="0"/>
          <wp:wrapNone/>
          <wp:docPr id="3" name="Picture 3"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69E01" w14:textId="77777777" w:rsidR="008D0CCF" w:rsidRDefault="008D0CCF">
    <w:pPr>
      <w:pStyle w:val="Header"/>
    </w:pPr>
    <w:r>
      <w:rPr>
        <w:noProof/>
      </w:rPr>
      <w:drawing>
        <wp:anchor distT="0" distB="0" distL="114300" distR="114300" simplePos="0" relativeHeight="251664384" behindDoc="1" locked="0" layoutInCell="1" allowOverlap="1" wp14:anchorId="391606B9" wp14:editId="1D0CAACB">
          <wp:simplePos x="0" y="0"/>
          <wp:positionH relativeFrom="page">
            <wp:posOffset>-1905</wp:posOffset>
          </wp:positionH>
          <wp:positionV relativeFrom="paragraph">
            <wp:posOffset>-307054</wp:posOffset>
          </wp:positionV>
          <wp:extent cx="7566660" cy="10648030"/>
          <wp:effectExtent l="0" t="0" r="0" b="0"/>
          <wp:wrapNone/>
          <wp:docPr id="5" name="Picture 5" descr="A4 Portrait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Portrait 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1" cy="106507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009A" w14:textId="77777777" w:rsidR="008D0CCF" w:rsidRDefault="008D0C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AE2F2" w14:textId="77777777" w:rsidR="008D0CCF" w:rsidRDefault="008D0CCF">
    <w:pPr>
      <w:pStyle w:val="Header"/>
    </w:pPr>
    <w:r>
      <w:rPr>
        <w:noProof/>
      </w:rPr>
      <w:drawing>
        <wp:anchor distT="0" distB="0" distL="114300" distR="114300" simplePos="0" relativeHeight="251654144" behindDoc="1" locked="0" layoutInCell="1" allowOverlap="1" wp14:anchorId="75725D64" wp14:editId="3F75B9B1">
          <wp:simplePos x="0" y="0"/>
          <wp:positionH relativeFrom="column">
            <wp:posOffset>-398780</wp:posOffset>
          </wp:positionH>
          <wp:positionV relativeFrom="paragraph">
            <wp:posOffset>-210820</wp:posOffset>
          </wp:positionV>
          <wp:extent cx="7456805" cy="10547985"/>
          <wp:effectExtent l="0" t="0" r="0" b="0"/>
          <wp:wrapNone/>
          <wp:docPr id="4"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F9CAC" w14:textId="79166FDC" w:rsidR="008D0CCF" w:rsidRDefault="008D0CCF" w:rsidP="003C340E">
    <w:pPr>
      <w:pStyle w:val="Footer"/>
      <w:tabs>
        <w:tab w:val="clear" w:pos="9540"/>
        <w:tab w:val="right" w:pos="90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AB39F" w14:textId="77777777" w:rsidR="008D0CCF" w:rsidRPr="00125B5A" w:rsidRDefault="008D0CCF" w:rsidP="00980F4F">
    <w:pPr>
      <w:pStyle w:val="HeaderChapterpart"/>
      <w:tabs>
        <w:tab w:val="clear" w:pos="9072"/>
        <w:tab w:val="right" w:pos="13608"/>
      </w:tabs>
    </w:pPr>
    <w:r>
      <w:t>C7520 Functional Specification Template – Introduction and Administration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E8CE9" w14:textId="77777777" w:rsidR="008D0CCF" w:rsidRDefault="008D0CC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4897" w14:textId="77777777" w:rsidR="008D0CCF" w:rsidRDefault="008D0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82B"/>
    <w:multiLevelType w:val="multilevel"/>
    <w:tmpl w:val="236A166A"/>
    <w:numStyleLink w:val="TableListAllNum3Level"/>
  </w:abstractNum>
  <w:abstractNum w:abstractNumId="1" w15:restartNumberingAfterBreak="0">
    <w:nsid w:val="01FA7919"/>
    <w:multiLevelType w:val="multilevel"/>
    <w:tmpl w:val="DC821EBC"/>
    <w:numStyleLink w:val="TableListAllLetter3level1"/>
  </w:abstractNum>
  <w:abstractNum w:abstractNumId="2"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7D14FD"/>
    <w:multiLevelType w:val="multilevel"/>
    <w:tmpl w:val="DC821EBC"/>
    <w:numStyleLink w:val="TableListAllLetter3level1"/>
  </w:abstractNum>
  <w:abstractNum w:abstractNumId="4" w15:restartNumberingAfterBreak="0">
    <w:nsid w:val="0FF321AE"/>
    <w:multiLevelType w:val="multilevel"/>
    <w:tmpl w:val="DC821EBC"/>
    <w:numStyleLink w:val="TableListAllLetter3level1"/>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E834A9"/>
    <w:multiLevelType w:val="multilevel"/>
    <w:tmpl w:val="DC821EBC"/>
    <w:numStyleLink w:val="TableListAllLetter3level1"/>
  </w:abstractNum>
  <w:abstractNum w:abstractNumId="7"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8D97652"/>
    <w:multiLevelType w:val="multilevel"/>
    <w:tmpl w:val="DC821EBC"/>
    <w:numStyleLink w:val="TableListAllLetter3level1"/>
  </w:abstractNum>
  <w:abstractNum w:abstractNumId="10" w15:restartNumberingAfterBreak="0">
    <w:nsid w:val="19237C70"/>
    <w:multiLevelType w:val="hybridMultilevel"/>
    <w:tmpl w:val="6D2A3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CA1637"/>
    <w:multiLevelType w:val="multilevel"/>
    <w:tmpl w:val="236A166A"/>
    <w:numStyleLink w:val="TableListAllNum3Level"/>
  </w:abstractNum>
  <w:abstractNum w:abstractNumId="12" w15:restartNumberingAfterBreak="0">
    <w:nsid w:val="19FD34CC"/>
    <w:multiLevelType w:val="multilevel"/>
    <w:tmpl w:val="DC821EBC"/>
    <w:numStyleLink w:val="TableListAllLetter3level1"/>
  </w:abstractNum>
  <w:abstractNum w:abstractNumId="13" w15:restartNumberingAfterBreak="0">
    <w:nsid w:val="1A4618C4"/>
    <w:multiLevelType w:val="multilevel"/>
    <w:tmpl w:val="DC821EBC"/>
    <w:numStyleLink w:val="TableListAllLetter3level1"/>
  </w:abstractNum>
  <w:abstractNum w:abstractNumId="14" w15:restartNumberingAfterBreak="0">
    <w:nsid w:val="1AFB370D"/>
    <w:multiLevelType w:val="multilevel"/>
    <w:tmpl w:val="DC821E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FB2DE6"/>
    <w:multiLevelType w:val="multilevel"/>
    <w:tmpl w:val="620CC31C"/>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4D665EC"/>
    <w:multiLevelType w:val="multilevel"/>
    <w:tmpl w:val="DC821E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5944E01"/>
    <w:multiLevelType w:val="multilevel"/>
    <w:tmpl w:val="236A166A"/>
    <w:numStyleLink w:val="TableListAllNum3Level"/>
  </w:abstractNum>
  <w:abstractNum w:abstractNumId="20" w15:restartNumberingAfterBreak="0">
    <w:nsid w:val="28575EBD"/>
    <w:multiLevelType w:val="multilevel"/>
    <w:tmpl w:val="DC821EBC"/>
    <w:numStyleLink w:val="TableListAllLetter3level1"/>
  </w:abstractNum>
  <w:abstractNum w:abstractNumId="21" w15:restartNumberingAfterBreak="0">
    <w:nsid w:val="2D9145FE"/>
    <w:multiLevelType w:val="multilevel"/>
    <w:tmpl w:val="DC821EBC"/>
    <w:numStyleLink w:val="TableListAllLetter3level1"/>
  </w:abstractNum>
  <w:abstractNum w:abstractNumId="22" w15:restartNumberingAfterBreak="0">
    <w:nsid w:val="2E343443"/>
    <w:multiLevelType w:val="multilevel"/>
    <w:tmpl w:val="236A166A"/>
    <w:numStyleLink w:val="TableListAllNum3Level"/>
  </w:abstractNum>
  <w:abstractNum w:abstractNumId="23" w15:restartNumberingAfterBreak="0">
    <w:nsid w:val="33480C2C"/>
    <w:multiLevelType w:val="multilevel"/>
    <w:tmpl w:val="620CC31C"/>
    <w:numStyleLink w:val="ListAllBullets3Level"/>
  </w:abstractNum>
  <w:abstractNum w:abstractNumId="24" w15:restartNumberingAfterBreak="0">
    <w:nsid w:val="34FD7DA0"/>
    <w:multiLevelType w:val="multilevel"/>
    <w:tmpl w:val="620CC31C"/>
    <w:numStyleLink w:val="ListAllBullets3Level"/>
  </w:abstractNum>
  <w:abstractNum w:abstractNumId="25" w15:restartNumberingAfterBreak="0">
    <w:nsid w:val="3515141F"/>
    <w:multiLevelType w:val="multilevel"/>
    <w:tmpl w:val="DC821E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085EE4"/>
    <w:multiLevelType w:val="multilevel"/>
    <w:tmpl w:val="DC821EBC"/>
    <w:numStyleLink w:val="TableListAllLetter3level1"/>
  </w:abstractNum>
  <w:abstractNum w:abstractNumId="27" w15:restartNumberingAfterBreak="0">
    <w:nsid w:val="3B973DEB"/>
    <w:multiLevelType w:val="multilevel"/>
    <w:tmpl w:val="620CC31C"/>
    <w:styleLink w:val="ListAllBullets3Level"/>
    <w:lvl w:ilvl="0">
      <w:start w:val="1"/>
      <w:numFmt w:val="bullet"/>
      <w:lvlText w:val=""/>
      <w:lvlJc w:val="left"/>
      <w:pPr>
        <w:tabs>
          <w:tab w:val="num" w:pos="720"/>
        </w:tabs>
        <w:ind w:left="720" w:hanging="363"/>
      </w:pPr>
      <w:rPr>
        <w:rFonts w:ascii="Symbol" w:hAnsi="Symbol" w:hint="default"/>
        <w:sz w:val="20"/>
      </w:rPr>
    </w:lvl>
    <w:lvl w:ilvl="1">
      <w:start w:val="1"/>
      <w:numFmt w:val="bullet"/>
      <w:lvlRestart w:val="0"/>
      <w:lvlText w:val=""/>
      <w:lvlJc w:val="left"/>
      <w:pPr>
        <w:tabs>
          <w:tab w:val="num" w:pos="357"/>
        </w:tabs>
        <w:ind w:left="1077" w:hanging="357"/>
      </w:pPr>
      <w:rPr>
        <w:rFonts w:ascii="Symbol" w:hAnsi="Symbol" w:hint="default"/>
        <w:sz w:val="20"/>
      </w:rPr>
    </w:lvl>
    <w:lvl w:ilvl="2">
      <w:start w:val="1"/>
      <w:numFmt w:val="bullet"/>
      <w:lvlRestart w:val="0"/>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8" w15:restartNumberingAfterBreak="0">
    <w:nsid w:val="3DF403EB"/>
    <w:multiLevelType w:val="multilevel"/>
    <w:tmpl w:val="620CC31C"/>
    <w:numStyleLink w:val="ListAllBullets3Level"/>
  </w:abstractNum>
  <w:abstractNum w:abstractNumId="29"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462371A6"/>
    <w:multiLevelType w:val="multilevel"/>
    <w:tmpl w:val="620CC31C"/>
    <w:numStyleLink w:val="ListAllBullets3Level"/>
  </w:abstractNum>
  <w:abstractNum w:abstractNumId="31" w15:restartNumberingAfterBreak="0">
    <w:nsid w:val="48FB7722"/>
    <w:multiLevelType w:val="multilevel"/>
    <w:tmpl w:val="DC821EBC"/>
    <w:numStyleLink w:val="TableListAllLetter3level1"/>
  </w:abstractNum>
  <w:abstractNum w:abstractNumId="32" w15:restartNumberingAfterBreak="0">
    <w:nsid w:val="49434514"/>
    <w:multiLevelType w:val="multilevel"/>
    <w:tmpl w:val="620CC31C"/>
    <w:numStyleLink w:val="ListAllBullets3Level"/>
  </w:abstractNum>
  <w:abstractNum w:abstractNumId="33" w15:restartNumberingAfterBreak="0">
    <w:nsid w:val="4EB70CBE"/>
    <w:multiLevelType w:val="multilevel"/>
    <w:tmpl w:val="DC821EBC"/>
    <w:numStyleLink w:val="TableListAllLetter3level1"/>
  </w:abstractNum>
  <w:abstractNum w:abstractNumId="34" w15:restartNumberingAfterBreak="0">
    <w:nsid w:val="4F3D28A6"/>
    <w:multiLevelType w:val="multilevel"/>
    <w:tmpl w:val="236A166A"/>
    <w:numStyleLink w:val="TableListAllNum3Level"/>
  </w:abstractNum>
  <w:abstractNum w:abstractNumId="35" w15:restartNumberingAfterBreak="0">
    <w:nsid w:val="505D52B8"/>
    <w:multiLevelType w:val="multilevel"/>
    <w:tmpl w:val="620CC31C"/>
    <w:numStyleLink w:val="ListAllBullets3Level"/>
  </w:abstractNum>
  <w:abstractNum w:abstractNumId="36" w15:restartNumberingAfterBreak="0">
    <w:nsid w:val="50C56651"/>
    <w:multiLevelType w:val="multilevel"/>
    <w:tmpl w:val="DC821EBC"/>
    <w:numStyleLink w:val="TableListAllLetter3level1"/>
  </w:abstractNum>
  <w:abstractNum w:abstractNumId="37" w15:restartNumberingAfterBreak="0">
    <w:nsid w:val="524C6806"/>
    <w:multiLevelType w:val="multilevel"/>
    <w:tmpl w:val="DC821E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E96B58"/>
    <w:multiLevelType w:val="hybridMultilevel"/>
    <w:tmpl w:val="7EB2D8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5306621"/>
    <w:multiLevelType w:val="multilevel"/>
    <w:tmpl w:val="DC821EBC"/>
    <w:numStyleLink w:val="TableListAllLetter3level1"/>
  </w:abstractNum>
  <w:abstractNum w:abstractNumId="40" w15:restartNumberingAfterBreak="0">
    <w:nsid w:val="5E647731"/>
    <w:multiLevelType w:val="multilevel"/>
    <w:tmpl w:val="DC821EBC"/>
    <w:numStyleLink w:val="TableListAllLetter3level1"/>
  </w:abstractNum>
  <w:abstractNum w:abstractNumId="41" w15:restartNumberingAfterBreak="0">
    <w:nsid w:val="61843E2F"/>
    <w:multiLevelType w:val="multilevel"/>
    <w:tmpl w:val="DC821E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5C760CC"/>
    <w:multiLevelType w:val="multilevel"/>
    <w:tmpl w:val="620CC31C"/>
    <w:numStyleLink w:val="ListAllBullets3Level"/>
  </w:abstractNum>
  <w:abstractNum w:abstractNumId="43" w15:restartNumberingAfterBreak="0">
    <w:nsid w:val="68763468"/>
    <w:multiLevelType w:val="multilevel"/>
    <w:tmpl w:val="DC821EBC"/>
    <w:styleLink w:val="TableListAllLetter3level1"/>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15:restartNumberingAfterBreak="0">
    <w:nsid w:val="688E5443"/>
    <w:multiLevelType w:val="multilevel"/>
    <w:tmpl w:val="DC821E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9EC604C"/>
    <w:multiLevelType w:val="multilevel"/>
    <w:tmpl w:val="DC821EBC"/>
    <w:numStyleLink w:val="TableListAllLetter3level1"/>
  </w:abstractNum>
  <w:abstractNum w:abstractNumId="46" w15:restartNumberingAfterBreak="0">
    <w:nsid w:val="6D15169D"/>
    <w:multiLevelType w:val="multilevel"/>
    <w:tmpl w:val="DC821E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BC0FF4"/>
    <w:multiLevelType w:val="multilevel"/>
    <w:tmpl w:val="DC821EBC"/>
    <w:numStyleLink w:val="TableListAllLetter3level1"/>
  </w:abstractNum>
  <w:abstractNum w:abstractNumId="48" w15:restartNumberingAfterBreak="0">
    <w:nsid w:val="7498314D"/>
    <w:multiLevelType w:val="hybridMultilevel"/>
    <w:tmpl w:val="7EB2D8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B745FD6"/>
    <w:multiLevelType w:val="multilevel"/>
    <w:tmpl w:val="DC821EBC"/>
    <w:numStyleLink w:val="TableListAllLetter3level1"/>
  </w:abstractNum>
  <w:abstractNum w:abstractNumId="50" w15:restartNumberingAfterBreak="0">
    <w:nsid w:val="7F634AFD"/>
    <w:multiLevelType w:val="multilevel"/>
    <w:tmpl w:val="DC821EBC"/>
    <w:numStyleLink w:val="TableListAllLetter3level1"/>
  </w:abstractNum>
  <w:num w:numId="1">
    <w:abstractNumId w:val="8"/>
  </w:num>
  <w:num w:numId="2">
    <w:abstractNumId w:val="27"/>
  </w:num>
  <w:num w:numId="3">
    <w:abstractNumId w:val="43"/>
  </w:num>
  <w:num w:numId="4">
    <w:abstractNumId w:val="2"/>
  </w:num>
  <w:num w:numId="5">
    <w:abstractNumId w:val="18"/>
  </w:num>
  <w:num w:numId="6">
    <w:abstractNumId w:val="16"/>
  </w:num>
  <w:num w:numId="7">
    <w:abstractNumId w:val="5"/>
  </w:num>
  <w:num w:numId="8">
    <w:abstractNumId w:val="7"/>
  </w:num>
  <w:num w:numId="9">
    <w:abstractNumId w:val="29"/>
  </w:num>
  <w:num w:numId="10">
    <w:abstractNumId w:val="10"/>
  </w:num>
  <w:num w:numId="11">
    <w:abstractNumId w:val="11"/>
  </w:num>
  <w:num w:numId="12">
    <w:abstractNumId w:val="14"/>
  </w:num>
  <w:num w:numId="13">
    <w:abstractNumId w:val="37"/>
  </w:num>
  <w:num w:numId="14">
    <w:abstractNumId w:val="41"/>
  </w:num>
  <w:num w:numId="15">
    <w:abstractNumId w:val="25"/>
  </w:num>
  <w:num w:numId="16">
    <w:abstractNumId w:val="1"/>
  </w:num>
  <w:num w:numId="17">
    <w:abstractNumId w:val="17"/>
  </w:num>
  <w:num w:numId="18">
    <w:abstractNumId w:val="46"/>
  </w:num>
  <w:num w:numId="19">
    <w:abstractNumId w:val="6"/>
  </w:num>
  <w:num w:numId="20">
    <w:abstractNumId w:val="44"/>
  </w:num>
  <w:num w:numId="21">
    <w:abstractNumId w:val="15"/>
  </w:num>
  <w:num w:numId="22">
    <w:abstractNumId w:val="48"/>
  </w:num>
  <w:num w:numId="23">
    <w:abstractNumId w:val="38"/>
  </w:num>
  <w:num w:numId="24">
    <w:abstractNumId w:val="24"/>
  </w:num>
  <w:num w:numId="25">
    <w:abstractNumId w:val="23"/>
  </w:num>
  <w:num w:numId="26">
    <w:abstractNumId w:val="28"/>
  </w:num>
  <w:num w:numId="27">
    <w:abstractNumId w:val="30"/>
  </w:num>
  <w:num w:numId="28">
    <w:abstractNumId w:val="32"/>
  </w:num>
  <w:num w:numId="29">
    <w:abstractNumId w:val="42"/>
  </w:num>
  <w:num w:numId="30">
    <w:abstractNumId w:val="35"/>
  </w:num>
  <w:num w:numId="31">
    <w:abstractNumId w:val="4"/>
  </w:num>
  <w:num w:numId="32">
    <w:abstractNumId w:val="26"/>
  </w:num>
  <w:num w:numId="33">
    <w:abstractNumId w:val="12"/>
  </w:num>
  <w:num w:numId="34">
    <w:abstractNumId w:val="19"/>
  </w:num>
  <w:num w:numId="35">
    <w:abstractNumId w:val="22"/>
  </w:num>
  <w:num w:numId="36">
    <w:abstractNumId w:val="34"/>
  </w:num>
  <w:num w:numId="37">
    <w:abstractNumId w:val="0"/>
  </w:num>
  <w:num w:numId="38">
    <w:abstractNumId w:val="45"/>
  </w:num>
  <w:num w:numId="39">
    <w:abstractNumId w:val="3"/>
  </w:num>
  <w:num w:numId="40">
    <w:abstractNumId w:val="39"/>
  </w:num>
  <w:num w:numId="41">
    <w:abstractNumId w:val="33"/>
  </w:num>
  <w:num w:numId="42">
    <w:abstractNumId w:val="49"/>
  </w:num>
  <w:num w:numId="43">
    <w:abstractNumId w:val="40"/>
  </w:num>
  <w:num w:numId="44">
    <w:abstractNumId w:val="20"/>
  </w:num>
  <w:num w:numId="45">
    <w:abstractNumId w:val="31"/>
  </w:num>
  <w:num w:numId="46">
    <w:abstractNumId w:val="9"/>
  </w:num>
  <w:num w:numId="47">
    <w:abstractNumId w:val="50"/>
  </w:num>
  <w:num w:numId="48">
    <w:abstractNumId w:val="13"/>
  </w:num>
  <w:num w:numId="49">
    <w:abstractNumId w:val="36"/>
  </w:num>
  <w:num w:numId="50">
    <w:abstractNumId w:val="47"/>
  </w:num>
  <w:num w:numId="51">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1616"/>
    <w:rsid w:val="00022028"/>
    <w:rsid w:val="00022FEC"/>
    <w:rsid w:val="000313CD"/>
    <w:rsid w:val="000411E2"/>
    <w:rsid w:val="00042CEB"/>
    <w:rsid w:val="00056660"/>
    <w:rsid w:val="0006499F"/>
    <w:rsid w:val="00066DBE"/>
    <w:rsid w:val="0006713E"/>
    <w:rsid w:val="00070044"/>
    <w:rsid w:val="0007165A"/>
    <w:rsid w:val="000913ED"/>
    <w:rsid w:val="00093838"/>
    <w:rsid w:val="00096FC7"/>
    <w:rsid w:val="00097FAD"/>
    <w:rsid w:val="000B047B"/>
    <w:rsid w:val="000B4A17"/>
    <w:rsid w:val="000B71E8"/>
    <w:rsid w:val="000E1CE3"/>
    <w:rsid w:val="000E3419"/>
    <w:rsid w:val="00101B8E"/>
    <w:rsid w:val="0010528D"/>
    <w:rsid w:val="00115E98"/>
    <w:rsid w:val="00125B5A"/>
    <w:rsid w:val="001276D9"/>
    <w:rsid w:val="001556C0"/>
    <w:rsid w:val="00167BFE"/>
    <w:rsid w:val="00172FEB"/>
    <w:rsid w:val="00176CC5"/>
    <w:rsid w:val="001A4752"/>
    <w:rsid w:val="001A697D"/>
    <w:rsid w:val="001A7C0A"/>
    <w:rsid w:val="001B1393"/>
    <w:rsid w:val="001C6957"/>
    <w:rsid w:val="001C6D5F"/>
    <w:rsid w:val="001D1F7E"/>
    <w:rsid w:val="001E3E78"/>
    <w:rsid w:val="001F2035"/>
    <w:rsid w:val="00216756"/>
    <w:rsid w:val="00216F79"/>
    <w:rsid w:val="00217457"/>
    <w:rsid w:val="00231903"/>
    <w:rsid w:val="00232573"/>
    <w:rsid w:val="00234B98"/>
    <w:rsid w:val="002405CD"/>
    <w:rsid w:val="002407FF"/>
    <w:rsid w:val="00242C60"/>
    <w:rsid w:val="00246798"/>
    <w:rsid w:val="00247883"/>
    <w:rsid w:val="00253386"/>
    <w:rsid w:val="002669B1"/>
    <w:rsid w:val="00271868"/>
    <w:rsid w:val="002738CB"/>
    <w:rsid w:val="00273C11"/>
    <w:rsid w:val="00275DDB"/>
    <w:rsid w:val="00277E0F"/>
    <w:rsid w:val="00287680"/>
    <w:rsid w:val="002944A1"/>
    <w:rsid w:val="002A3AC7"/>
    <w:rsid w:val="002A50A0"/>
    <w:rsid w:val="002C2F25"/>
    <w:rsid w:val="002D7490"/>
    <w:rsid w:val="002D7770"/>
    <w:rsid w:val="002E0B83"/>
    <w:rsid w:val="002E6EBF"/>
    <w:rsid w:val="002E766A"/>
    <w:rsid w:val="002F0A5B"/>
    <w:rsid w:val="002F2356"/>
    <w:rsid w:val="002F729B"/>
    <w:rsid w:val="0030503A"/>
    <w:rsid w:val="003108B7"/>
    <w:rsid w:val="00315F53"/>
    <w:rsid w:val="00322F9D"/>
    <w:rsid w:val="003231FA"/>
    <w:rsid w:val="003255B1"/>
    <w:rsid w:val="003323B1"/>
    <w:rsid w:val="00336228"/>
    <w:rsid w:val="00350E10"/>
    <w:rsid w:val="00360682"/>
    <w:rsid w:val="00361264"/>
    <w:rsid w:val="00363C04"/>
    <w:rsid w:val="003717FA"/>
    <w:rsid w:val="00376A0A"/>
    <w:rsid w:val="00377C5F"/>
    <w:rsid w:val="00383A3B"/>
    <w:rsid w:val="00391457"/>
    <w:rsid w:val="003960ED"/>
    <w:rsid w:val="003A5033"/>
    <w:rsid w:val="003C340E"/>
    <w:rsid w:val="003D1729"/>
    <w:rsid w:val="003E0E9D"/>
    <w:rsid w:val="003E2958"/>
    <w:rsid w:val="003E3C82"/>
    <w:rsid w:val="003E7E07"/>
    <w:rsid w:val="003F483D"/>
    <w:rsid w:val="00400CF8"/>
    <w:rsid w:val="004030EB"/>
    <w:rsid w:val="00403422"/>
    <w:rsid w:val="00440D11"/>
    <w:rsid w:val="004525EA"/>
    <w:rsid w:val="00456933"/>
    <w:rsid w:val="00456A07"/>
    <w:rsid w:val="00476701"/>
    <w:rsid w:val="00477792"/>
    <w:rsid w:val="00477962"/>
    <w:rsid w:val="00485DDC"/>
    <w:rsid w:val="004D2E76"/>
    <w:rsid w:val="004E3F40"/>
    <w:rsid w:val="004E49B7"/>
    <w:rsid w:val="004F4085"/>
    <w:rsid w:val="00501027"/>
    <w:rsid w:val="00506F38"/>
    <w:rsid w:val="00521D18"/>
    <w:rsid w:val="005233EF"/>
    <w:rsid w:val="00526282"/>
    <w:rsid w:val="00530265"/>
    <w:rsid w:val="00531981"/>
    <w:rsid w:val="00531F22"/>
    <w:rsid w:val="0053294F"/>
    <w:rsid w:val="00535A90"/>
    <w:rsid w:val="00541CA7"/>
    <w:rsid w:val="005424A4"/>
    <w:rsid w:val="00556E72"/>
    <w:rsid w:val="00572680"/>
    <w:rsid w:val="005748A5"/>
    <w:rsid w:val="00575CE8"/>
    <w:rsid w:val="005815CB"/>
    <w:rsid w:val="00582599"/>
    <w:rsid w:val="00582E91"/>
    <w:rsid w:val="0059511F"/>
    <w:rsid w:val="005C1DF1"/>
    <w:rsid w:val="005D3973"/>
    <w:rsid w:val="005D59C0"/>
    <w:rsid w:val="005E3145"/>
    <w:rsid w:val="0060080E"/>
    <w:rsid w:val="0061185E"/>
    <w:rsid w:val="00614210"/>
    <w:rsid w:val="00614C34"/>
    <w:rsid w:val="00617B96"/>
    <w:rsid w:val="00622BC5"/>
    <w:rsid w:val="00627EC8"/>
    <w:rsid w:val="00633435"/>
    <w:rsid w:val="00635475"/>
    <w:rsid w:val="00641639"/>
    <w:rsid w:val="00645A39"/>
    <w:rsid w:val="00666E20"/>
    <w:rsid w:val="00676214"/>
    <w:rsid w:val="00686875"/>
    <w:rsid w:val="006A6908"/>
    <w:rsid w:val="006C2B1A"/>
    <w:rsid w:val="006D2668"/>
    <w:rsid w:val="006D2FDF"/>
    <w:rsid w:val="006D52CB"/>
    <w:rsid w:val="006D553A"/>
    <w:rsid w:val="007165B9"/>
    <w:rsid w:val="00723F1A"/>
    <w:rsid w:val="00730C95"/>
    <w:rsid w:val="00732C36"/>
    <w:rsid w:val="007341AB"/>
    <w:rsid w:val="007462A6"/>
    <w:rsid w:val="00752BD4"/>
    <w:rsid w:val="007672DC"/>
    <w:rsid w:val="0077261D"/>
    <w:rsid w:val="00785550"/>
    <w:rsid w:val="00793FA9"/>
    <w:rsid w:val="00796D7D"/>
    <w:rsid w:val="007A58C2"/>
    <w:rsid w:val="007C4319"/>
    <w:rsid w:val="007C56EE"/>
    <w:rsid w:val="007D0963"/>
    <w:rsid w:val="007D76AC"/>
    <w:rsid w:val="00811807"/>
    <w:rsid w:val="00815BAA"/>
    <w:rsid w:val="008807C8"/>
    <w:rsid w:val="008843E8"/>
    <w:rsid w:val="008A19A0"/>
    <w:rsid w:val="008B3748"/>
    <w:rsid w:val="008B58F4"/>
    <w:rsid w:val="008B61BF"/>
    <w:rsid w:val="008D02E2"/>
    <w:rsid w:val="008D0CCF"/>
    <w:rsid w:val="008F36D9"/>
    <w:rsid w:val="008F47F2"/>
    <w:rsid w:val="00904118"/>
    <w:rsid w:val="0091452E"/>
    <w:rsid w:val="00926AFF"/>
    <w:rsid w:val="00937DB8"/>
    <w:rsid w:val="00940C46"/>
    <w:rsid w:val="00944A3A"/>
    <w:rsid w:val="00945942"/>
    <w:rsid w:val="00955413"/>
    <w:rsid w:val="009712C0"/>
    <w:rsid w:val="00973A98"/>
    <w:rsid w:val="00980F4F"/>
    <w:rsid w:val="00985736"/>
    <w:rsid w:val="0098641F"/>
    <w:rsid w:val="00991FE3"/>
    <w:rsid w:val="00996C59"/>
    <w:rsid w:val="009A671A"/>
    <w:rsid w:val="009B39D2"/>
    <w:rsid w:val="009B6FF8"/>
    <w:rsid w:val="009C6C64"/>
    <w:rsid w:val="009D7987"/>
    <w:rsid w:val="009E22DF"/>
    <w:rsid w:val="009E5C89"/>
    <w:rsid w:val="00A00F46"/>
    <w:rsid w:val="00A121EB"/>
    <w:rsid w:val="00A12D4E"/>
    <w:rsid w:val="00A20B17"/>
    <w:rsid w:val="00A27877"/>
    <w:rsid w:val="00A44219"/>
    <w:rsid w:val="00A52AB4"/>
    <w:rsid w:val="00A54E7F"/>
    <w:rsid w:val="00A832D7"/>
    <w:rsid w:val="00A9555C"/>
    <w:rsid w:val="00A97046"/>
    <w:rsid w:val="00AA18F5"/>
    <w:rsid w:val="00AA2BC5"/>
    <w:rsid w:val="00AA6B2F"/>
    <w:rsid w:val="00AA7630"/>
    <w:rsid w:val="00AA7C6C"/>
    <w:rsid w:val="00AB5329"/>
    <w:rsid w:val="00AC154D"/>
    <w:rsid w:val="00AC4DD9"/>
    <w:rsid w:val="00AC5414"/>
    <w:rsid w:val="00AD4D04"/>
    <w:rsid w:val="00AD63C8"/>
    <w:rsid w:val="00AD7634"/>
    <w:rsid w:val="00AE06C1"/>
    <w:rsid w:val="00AE43B4"/>
    <w:rsid w:val="00AE72A9"/>
    <w:rsid w:val="00AE78C4"/>
    <w:rsid w:val="00AF7DD6"/>
    <w:rsid w:val="00B249E6"/>
    <w:rsid w:val="00B36088"/>
    <w:rsid w:val="00B4064C"/>
    <w:rsid w:val="00B705E6"/>
    <w:rsid w:val="00B712C5"/>
    <w:rsid w:val="00B8333F"/>
    <w:rsid w:val="00B8519F"/>
    <w:rsid w:val="00BA0DE4"/>
    <w:rsid w:val="00BB09C2"/>
    <w:rsid w:val="00BB468F"/>
    <w:rsid w:val="00BC17C8"/>
    <w:rsid w:val="00BC3ED2"/>
    <w:rsid w:val="00BC68B8"/>
    <w:rsid w:val="00BD257C"/>
    <w:rsid w:val="00BD5378"/>
    <w:rsid w:val="00BD673C"/>
    <w:rsid w:val="00BE327E"/>
    <w:rsid w:val="00BE6F04"/>
    <w:rsid w:val="00BF0295"/>
    <w:rsid w:val="00BF2FA5"/>
    <w:rsid w:val="00BF373B"/>
    <w:rsid w:val="00BF7B37"/>
    <w:rsid w:val="00C12D60"/>
    <w:rsid w:val="00C33EEE"/>
    <w:rsid w:val="00C34106"/>
    <w:rsid w:val="00C352F9"/>
    <w:rsid w:val="00C50278"/>
    <w:rsid w:val="00C74D74"/>
    <w:rsid w:val="00C76378"/>
    <w:rsid w:val="00C81006"/>
    <w:rsid w:val="00C93FDE"/>
    <w:rsid w:val="00C965C0"/>
    <w:rsid w:val="00C97E87"/>
    <w:rsid w:val="00CA107F"/>
    <w:rsid w:val="00CA3157"/>
    <w:rsid w:val="00CA4B9D"/>
    <w:rsid w:val="00CD30F9"/>
    <w:rsid w:val="00CE6618"/>
    <w:rsid w:val="00D00ECB"/>
    <w:rsid w:val="00D01D6F"/>
    <w:rsid w:val="00D10C05"/>
    <w:rsid w:val="00D12160"/>
    <w:rsid w:val="00D124FD"/>
    <w:rsid w:val="00D137DA"/>
    <w:rsid w:val="00D15248"/>
    <w:rsid w:val="00D22A7D"/>
    <w:rsid w:val="00D343CB"/>
    <w:rsid w:val="00D40088"/>
    <w:rsid w:val="00D435F2"/>
    <w:rsid w:val="00D56593"/>
    <w:rsid w:val="00D67F00"/>
    <w:rsid w:val="00D8447C"/>
    <w:rsid w:val="00D84900"/>
    <w:rsid w:val="00D86598"/>
    <w:rsid w:val="00DA20DD"/>
    <w:rsid w:val="00DC076F"/>
    <w:rsid w:val="00DC376C"/>
    <w:rsid w:val="00DD0B7E"/>
    <w:rsid w:val="00DE56ED"/>
    <w:rsid w:val="00DF1C54"/>
    <w:rsid w:val="00DF27E0"/>
    <w:rsid w:val="00DF40B1"/>
    <w:rsid w:val="00E0350D"/>
    <w:rsid w:val="00E21B42"/>
    <w:rsid w:val="00E528CA"/>
    <w:rsid w:val="00E57C45"/>
    <w:rsid w:val="00E70EA9"/>
    <w:rsid w:val="00E8162F"/>
    <w:rsid w:val="00E84619"/>
    <w:rsid w:val="00E96F32"/>
    <w:rsid w:val="00EA319A"/>
    <w:rsid w:val="00EA3AD5"/>
    <w:rsid w:val="00EC0517"/>
    <w:rsid w:val="00ED06E5"/>
    <w:rsid w:val="00ED1D3C"/>
    <w:rsid w:val="00ED5C9C"/>
    <w:rsid w:val="00EE0E46"/>
    <w:rsid w:val="00EE3AA3"/>
    <w:rsid w:val="00EE7EEC"/>
    <w:rsid w:val="00EF2FDD"/>
    <w:rsid w:val="00F03541"/>
    <w:rsid w:val="00F15554"/>
    <w:rsid w:val="00F233B3"/>
    <w:rsid w:val="00F30D7C"/>
    <w:rsid w:val="00F322FA"/>
    <w:rsid w:val="00F44BA4"/>
    <w:rsid w:val="00F45A8D"/>
    <w:rsid w:val="00F64B7F"/>
    <w:rsid w:val="00F70E96"/>
    <w:rsid w:val="00F87D4E"/>
    <w:rsid w:val="00F95682"/>
    <w:rsid w:val="00FA5570"/>
    <w:rsid w:val="00FA752B"/>
    <w:rsid w:val="00FB1E71"/>
    <w:rsid w:val="00FB66C6"/>
    <w:rsid w:val="00FC2AE6"/>
    <w:rsid w:val="00FC5568"/>
    <w:rsid w:val="00FC5DE8"/>
    <w:rsid w:val="00FC7935"/>
    <w:rsid w:val="00FD514B"/>
    <w:rsid w:val="00FE5630"/>
    <w:rsid w:val="00FE5C99"/>
    <w:rsid w:val="00FF17DC"/>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25BD8F77"/>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8"/>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21"/>
      </w:numPr>
    </w:pPr>
  </w:style>
  <w:style w:type="numbering" w:customStyle="1" w:styleId="TableListSmallNumber">
    <w:name w:val="Table List Small Number"/>
    <w:basedOn w:val="TableListAllNum3Level"/>
    <w:semiHidden/>
    <w:rsid w:val="00022FEC"/>
    <w:pPr>
      <w:numPr>
        <w:numId w:val="9"/>
      </w:numPr>
    </w:pPr>
  </w:style>
  <w:style w:type="numbering" w:customStyle="1" w:styleId="TableListAllBullets3Level">
    <w:name w:val="Table List All Bullets (3 Level)"/>
    <w:rsid w:val="004F4085"/>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paragraph" w:styleId="FootnoteText">
    <w:name w:val="footnote text"/>
    <w:basedOn w:val="Normal"/>
    <w:link w:val="FootnoteTextChar"/>
    <w:rsid w:val="003E7E07"/>
    <w:pPr>
      <w:spacing w:after="0" w:line="240" w:lineRule="auto"/>
    </w:pPr>
    <w:rPr>
      <w:sz w:val="18"/>
      <w:szCs w:val="20"/>
    </w:rPr>
  </w:style>
  <w:style w:type="character" w:customStyle="1" w:styleId="FootnoteTextChar">
    <w:name w:val="Footnote Text Char"/>
    <w:basedOn w:val="DefaultParagraphFont"/>
    <w:link w:val="FootnoteText"/>
    <w:rsid w:val="003E7E07"/>
    <w:rPr>
      <w:rFonts w:ascii="Arial" w:hAnsi="Arial"/>
      <w:sz w:val="18"/>
    </w:rPr>
  </w:style>
  <w:style w:type="character" w:styleId="FootnoteReference">
    <w:name w:val="footnote reference"/>
    <w:basedOn w:val="DefaultParagraphFont"/>
    <w:rsid w:val="003E7E07"/>
    <w:rPr>
      <w:vertAlign w:val="superscript"/>
    </w:rPr>
  </w:style>
  <w:style w:type="character" w:styleId="CommentReference">
    <w:name w:val="annotation reference"/>
    <w:basedOn w:val="DefaultParagraphFont"/>
    <w:rsid w:val="003E7E07"/>
    <w:rPr>
      <w:sz w:val="16"/>
      <w:szCs w:val="16"/>
    </w:rPr>
  </w:style>
  <w:style w:type="paragraph" w:styleId="CommentText">
    <w:name w:val="annotation text"/>
    <w:basedOn w:val="Normal"/>
    <w:link w:val="CommentTextChar"/>
    <w:rsid w:val="003E7E07"/>
    <w:pPr>
      <w:spacing w:line="240" w:lineRule="auto"/>
    </w:pPr>
    <w:rPr>
      <w:szCs w:val="20"/>
    </w:rPr>
  </w:style>
  <w:style w:type="character" w:customStyle="1" w:styleId="CommentTextChar">
    <w:name w:val="Comment Text Char"/>
    <w:basedOn w:val="DefaultParagraphFont"/>
    <w:link w:val="CommentText"/>
    <w:rsid w:val="003E7E07"/>
    <w:rPr>
      <w:rFonts w:ascii="Arial" w:hAnsi="Arial"/>
    </w:rPr>
  </w:style>
  <w:style w:type="paragraph" w:styleId="CommentSubject">
    <w:name w:val="annotation subject"/>
    <w:basedOn w:val="CommentText"/>
    <w:next w:val="CommentText"/>
    <w:link w:val="CommentSubjectChar"/>
    <w:rsid w:val="003E7E07"/>
    <w:rPr>
      <w:b/>
      <w:bCs/>
    </w:rPr>
  </w:style>
  <w:style w:type="character" w:customStyle="1" w:styleId="CommentSubjectChar">
    <w:name w:val="Comment Subject Char"/>
    <w:basedOn w:val="CommentTextChar"/>
    <w:link w:val="CommentSubject"/>
    <w:rsid w:val="003E7E07"/>
    <w:rPr>
      <w:rFonts w:ascii="Arial" w:hAnsi="Arial"/>
      <w:b/>
      <w:bCs/>
    </w:rPr>
  </w:style>
  <w:style w:type="paragraph" w:styleId="BalloonText">
    <w:name w:val="Balloon Text"/>
    <w:basedOn w:val="Normal"/>
    <w:link w:val="BalloonTextChar"/>
    <w:rsid w:val="003E7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E7E07"/>
    <w:rPr>
      <w:rFonts w:ascii="Segoe UI" w:hAnsi="Segoe UI" w:cs="Segoe UI"/>
      <w:sz w:val="18"/>
      <w:szCs w:val="18"/>
    </w:rPr>
  </w:style>
  <w:style w:type="character" w:styleId="PlaceholderText">
    <w:name w:val="Placeholder Text"/>
    <w:basedOn w:val="DefaultParagraphFont"/>
    <w:uiPriority w:val="99"/>
    <w:semiHidden/>
    <w:rsid w:val="00253386"/>
    <w:rPr>
      <w:color w:val="808080"/>
    </w:rPr>
  </w:style>
  <w:style w:type="numbering" w:customStyle="1" w:styleId="TableListAllLetter3level1">
    <w:name w:val="Table List All Letter (3 level)1"/>
    <w:basedOn w:val="TableListAllBullets3Level"/>
    <w:rsid w:val="00C97E87"/>
    <w:pPr>
      <w:numPr>
        <w:numId w:val="3"/>
      </w:numPr>
    </w:pPr>
  </w:style>
  <w:style w:type="character" w:styleId="UnresolvedMention">
    <w:name w:val="Unresolved Mention"/>
    <w:basedOn w:val="DefaultParagraphFont"/>
    <w:uiPriority w:val="99"/>
    <w:semiHidden/>
    <w:unhideWhenUsed/>
    <w:rsid w:val="00C97E87"/>
    <w:rPr>
      <w:color w:val="605E5C"/>
      <w:shd w:val="clear" w:color="auto" w:fill="E1DFDD"/>
    </w:rPr>
  </w:style>
  <w:style w:type="character" w:styleId="FollowedHyperlink">
    <w:name w:val="FollowedHyperlink"/>
    <w:basedOn w:val="DefaultParagraphFont"/>
    <w:rsid w:val="00A442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infrastructureaustralia.gov.au/publications/assessment-framework-initiatives-and-projects" TargetMode="External"/><Relationship Id="rId39" Type="http://schemas.openxmlformats.org/officeDocument/2006/relationships/hyperlink" Target="https://www.atap.gov.au/tools-techniques/cost-benefit-analysis/index" TargetMode="External"/><Relationship Id="rId21" Type="http://schemas.openxmlformats.org/officeDocument/2006/relationships/footer" Target="footer5.xml"/><Relationship Id="rId34" Type="http://schemas.openxmlformats.org/officeDocument/2006/relationships/hyperlink" Target="https://austroads.com.au/publications/traffic-management/agtm03" TargetMode="External"/><Relationship Id="rId42" Type="http://schemas.openxmlformats.org/officeDocument/2006/relationships/header" Target="header6.xml"/><Relationship Id="rId47" Type="http://schemas.openxmlformats.org/officeDocument/2006/relationships/hyperlink" Target="https://www.treasury.qld.gov.au/programs-and-policies/project-assessment-framework/" TargetMode="External"/><Relationship Id="rId50" Type="http://schemas.openxmlformats.org/officeDocument/2006/relationships/hyperlink" Target="https://www.infrastructureaustralia.gov.au/publications/assessment-framework-initiatives-and-projects" TargetMode="External"/><Relationship Id="rId55" Type="http://schemas.openxmlformats.org/officeDocument/2006/relationships/footer" Target="footer7.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austroads.com.au/publications/economics-and-financing/agpe04-12" TargetMode="External"/><Relationship Id="rId11" Type="http://schemas.openxmlformats.org/officeDocument/2006/relationships/endnotes" Target="endnotes.xml"/><Relationship Id="rId24" Type="http://schemas.openxmlformats.org/officeDocument/2006/relationships/hyperlink" Target="https://www.atap.gov.au/tools-techniques/index" TargetMode="External"/><Relationship Id="rId32" Type="http://schemas.openxmlformats.org/officeDocument/2006/relationships/hyperlink" Target="https://www.nzta.govt.nz/resources/economic-evaluation-manual" TargetMode="External"/><Relationship Id="rId37" Type="http://schemas.openxmlformats.org/officeDocument/2006/relationships/hyperlink" Target="https://www.atap.gov.au/technical-support-library/index" TargetMode="External"/><Relationship Id="rId40" Type="http://schemas.openxmlformats.org/officeDocument/2006/relationships/hyperlink" Target="https://www.tmr.qld.gov.au/business-industry/Technical-standards-publications/Cost-Benefit-Analysis-Manual.aspx" TargetMode="External"/><Relationship Id="rId45" Type="http://schemas.openxmlformats.org/officeDocument/2006/relationships/hyperlink" Target="https://www.treasury.qld.gov.au/programs-and-policies/project-assessment-framework/" TargetMode="External"/><Relationship Id="rId53" Type="http://schemas.openxmlformats.org/officeDocument/2006/relationships/header" Target="header7.xml"/><Relationship Id="rId5" Type="http://schemas.openxmlformats.org/officeDocument/2006/relationships/customXml" Target="../customXml/item5.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PEU.Economics@tmr.qld.gov.au" TargetMode="External"/><Relationship Id="rId27" Type="http://schemas.openxmlformats.org/officeDocument/2006/relationships/hyperlink" Target="https://www.statedevelopment.qld.gov.au/industry/infrastructure" TargetMode="External"/><Relationship Id="rId30" Type="http://schemas.openxmlformats.org/officeDocument/2006/relationships/hyperlink" Target="https://www.transport.nsw.gov.au/projects/project-delivery-requirements/evaluation-and-assurance/technical-guidance" TargetMode="External"/><Relationship Id="rId35" Type="http://schemas.openxmlformats.org/officeDocument/2006/relationships/hyperlink" Target="https://www.transport.nsw.gov.au/projects/project-delivery-requirements/evaluation-and-assurance/resources" TargetMode="External"/><Relationship Id="rId43" Type="http://schemas.openxmlformats.org/officeDocument/2006/relationships/footer" Target="footer6.xml"/><Relationship Id="rId48" Type="http://schemas.openxmlformats.org/officeDocument/2006/relationships/hyperlink" Target="https://www.treasury.qld.gov.au/programs-and-policies/project-assessment-framework/"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5.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tap.gov.au/tools-techniques/cost-benefit-analysis/index" TargetMode="External"/><Relationship Id="rId33" Type="http://schemas.openxmlformats.org/officeDocument/2006/relationships/hyperlink" Target="https://www.nzta.govt.nz/resources/monetised-benefits-and-costs-manual/" TargetMode="External"/><Relationship Id="rId38" Type="http://schemas.openxmlformats.org/officeDocument/2006/relationships/hyperlink" Target="https://www.atap.gov.au/tools-techniques/index" TargetMode="External"/><Relationship Id="rId46" Type="http://schemas.openxmlformats.org/officeDocument/2006/relationships/hyperlink" Target="https://www.tmr.qld.gov.au/business-industry/OnQ-Project-Management-Framework/OnQ-tools-and-techniques/OnQ-project-management-proformas-and-worksheets.aspx" TargetMode="External"/><Relationship Id="rId20" Type="http://schemas.openxmlformats.org/officeDocument/2006/relationships/header" Target="header5.xml"/><Relationship Id="rId41" Type="http://schemas.openxmlformats.org/officeDocument/2006/relationships/hyperlink" Target="mailto:PEU.Economics@tmr.qld.gov.au" TargetMode="External"/><Relationship Id="rId54"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PEU.Economics@tmr.qld.gov.au" TargetMode="External"/><Relationship Id="rId28" Type="http://schemas.openxmlformats.org/officeDocument/2006/relationships/hyperlink" Target="https://www.treasury.qld.gov.au/programs-and-policies/project-assessment-framework/" TargetMode="External"/><Relationship Id="rId36" Type="http://schemas.openxmlformats.org/officeDocument/2006/relationships/hyperlink" Target="https://austroads.com.au/publications/road-safety/ap-t152-10" TargetMode="External"/><Relationship Id="rId49" Type="http://schemas.openxmlformats.org/officeDocument/2006/relationships/hyperlink" Target="https://www.infrastructureaustralia.gov.au/publications/assessment-framework-initiatives-and-projects"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gov.uk/government/publications/webtag-tag-unit-a1-3-user-and-provider-impacts-march-2017" TargetMode="External"/><Relationship Id="rId44" Type="http://schemas.openxmlformats.org/officeDocument/2006/relationships/hyperlink" Target="https://www.tmr.qld.gov.au/business-industry/OnQ-Project-Management-Framework/OnQ-tools-and-techniques/OnQ-project-management-proformas-and-worksheets.aspx" TargetMode="External"/><Relationship Id="rId52" Type="http://schemas.openxmlformats.org/officeDocument/2006/relationships/hyperlink" Target="mailto:PEU.Economics@tmr.qld.gov.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footer7.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8155A-B3AD-4B8B-84F8-2AB720732F9B}">
  <ds:schemaRefs>
    <ds:schemaRef ds:uri="http://purl.org/dc/dcmitype/"/>
    <ds:schemaRef ds:uri="http://purl.org/dc/terms/"/>
    <ds:schemaRef ds:uri="http://schemas.microsoft.com/office/2006/metadata/properties"/>
    <ds:schemaRef ds:uri="http://www.w3.org/XML/1998/namespace"/>
    <ds:schemaRef ds:uri="ec972935-d489-4a83-af2a-c34816ed2832"/>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6AA36EBD-B824-4919-A7A6-A882F0A1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349</TotalTime>
  <Pages>21</Pages>
  <Words>5208</Words>
  <Characters>36542</Characters>
  <Application>Microsoft Office Word</Application>
  <DocSecurity>0</DocSecurity>
  <Lines>304</Lines>
  <Paragraphs>83</Paragraphs>
  <ScaleCrop>false</ScaleCrop>
  <HeadingPairs>
    <vt:vector size="2" baseType="variant">
      <vt:variant>
        <vt:lpstr>Title</vt:lpstr>
      </vt:variant>
      <vt:variant>
        <vt:i4>1</vt:i4>
      </vt:variant>
    </vt:vector>
  </HeadingPairs>
  <TitlesOfParts>
    <vt:vector size="1" baseType="lpstr">
      <vt:lpstr>C7520 - Introduction and Administration</vt:lpstr>
    </vt:vector>
  </TitlesOfParts>
  <Company>Department of Transport and Main Roads</Company>
  <LinksUpToDate>false</LinksUpToDate>
  <CharactersWithSpaces>41667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C7520 - Introduction and Administration</dc:title>
  <dc:subject>Functional Specification Template</dc:subject>
  <dc:creator>Department of Transport and Main Roads</dc:creator>
  <cp:keywords>C7520; CFEP; contract;</cp:keywords>
  <dc:description/>
  <cp:lastModifiedBy>Courtney M West</cp:lastModifiedBy>
  <cp:revision>23</cp:revision>
  <cp:lastPrinted>2013-06-20T03:17:00Z</cp:lastPrinted>
  <dcterms:created xsi:type="dcterms:W3CDTF">2021-05-24T02:56:00Z</dcterms:created>
  <dcterms:modified xsi:type="dcterms:W3CDTF">2021-06-17T00:14:00Z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