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85EA" w14:textId="77777777" w:rsidR="00C062BF" w:rsidRDefault="00C062BF" w:rsidP="00C062BF">
      <w:pPr>
        <w:pStyle w:val="Cover2subtitle"/>
      </w:pPr>
      <w:bookmarkStart w:id="0" w:name="_Toc359423352"/>
      <w:bookmarkStart w:id="1" w:name="_Toc359424807"/>
      <w:r>
        <w:t>Infrastructure Building and Construction Panel</w:t>
      </w:r>
    </w:p>
    <w:p w14:paraId="59100E84" w14:textId="77777777" w:rsidR="00C062BF" w:rsidRDefault="00C062BF" w:rsidP="00C062BF">
      <w:pPr>
        <w:pStyle w:val="Cover2subtitle"/>
      </w:pPr>
    </w:p>
    <w:bookmarkEnd w:id="0"/>
    <w:bookmarkEnd w:id="1"/>
    <w:p w14:paraId="5809B3BF" w14:textId="6DD6EC54" w:rsidR="00C062BF" w:rsidRPr="00F3590A" w:rsidRDefault="00C062BF" w:rsidP="00C062BF">
      <w:pPr>
        <w:pStyle w:val="Cover1title"/>
        <w:outlineLvl w:val="9"/>
        <w:rPr>
          <w:sz w:val="32"/>
          <w:szCs w:val="32"/>
        </w:rPr>
      </w:pPr>
      <w:r w:rsidRPr="00F3590A">
        <w:rPr>
          <w:sz w:val="32"/>
          <w:szCs w:val="32"/>
        </w:rPr>
        <w:t>Standing Offer Arrangement (SOA)</w:t>
      </w:r>
      <w:r w:rsidRPr="00F3590A">
        <w:rPr>
          <w:sz w:val="32"/>
          <w:szCs w:val="32"/>
        </w:rPr>
        <w:br/>
      </w:r>
      <w:r w:rsidR="00F3590A" w:rsidRPr="00F3590A">
        <w:rPr>
          <w:sz w:val="32"/>
          <w:szCs w:val="32"/>
        </w:rPr>
        <w:t xml:space="preserve">IBCP SOA Part </w:t>
      </w:r>
      <w:r w:rsidRPr="00F3590A">
        <w:rPr>
          <w:sz w:val="32"/>
          <w:szCs w:val="32"/>
        </w:rPr>
        <w:t xml:space="preserve">D – Mobile Laser Scanning (MLS) </w:t>
      </w:r>
      <w:r w:rsidR="00F3590A" w:rsidRPr="00F3590A">
        <w:rPr>
          <w:sz w:val="32"/>
          <w:szCs w:val="32"/>
        </w:rPr>
        <w:t xml:space="preserve">Survey </w:t>
      </w:r>
      <w:r w:rsidRPr="00F3590A">
        <w:rPr>
          <w:sz w:val="32"/>
          <w:szCs w:val="32"/>
        </w:rPr>
        <w:t>Details</w:t>
      </w:r>
    </w:p>
    <w:p w14:paraId="07417F68" w14:textId="77777777" w:rsidR="00C062BF" w:rsidRDefault="00C062BF" w:rsidP="00C062BF">
      <w:pPr>
        <w:pStyle w:val="Cover1title"/>
        <w:outlineLvl w:val="9"/>
      </w:pPr>
    </w:p>
    <w:p w14:paraId="76C16429" w14:textId="1BDADB81" w:rsidR="00C062BF" w:rsidRPr="00A62F42" w:rsidRDefault="00C062BF" w:rsidP="00C062BF">
      <w:pPr>
        <w:pStyle w:val="Cover1title"/>
        <w:outlineLvl w:val="9"/>
        <w:rPr>
          <w:sz w:val="28"/>
          <w:szCs w:val="52"/>
        </w:rPr>
      </w:pPr>
      <w:r w:rsidRPr="00A62F42">
        <w:rPr>
          <w:sz w:val="28"/>
          <w:szCs w:val="52"/>
        </w:rPr>
        <w:t>Invitation</w:t>
      </w:r>
    </w:p>
    <w:p w14:paraId="742C7F9D" w14:textId="77777777" w:rsidR="00C062BF" w:rsidRPr="00A62F42" w:rsidRDefault="00C062BF" w:rsidP="00C062BF">
      <w:pPr>
        <w:pStyle w:val="Cover1title"/>
        <w:outlineLvl w:val="9"/>
        <w:rPr>
          <w:sz w:val="28"/>
          <w:szCs w:val="52"/>
        </w:rPr>
      </w:pPr>
      <w:r w:rsidRPr="00A62F42">
        <w:rPr>
          <w:sz w:val="28"/>
          <w:szCs w:val="52"/>
        </w:rPr>
        <w:t>SOA Reference No. TMR12920</w:t>
      </w:r>
    </w:p>
    <w:p w14:paraId="6A289AA6" w14:textId="77777777" w:rsidR="00C062BF" w:rsidRPr="00A62F42" w:rsidRDefault="00C062BF" w:rsidP="00C062BF">
      <w:pPr>
        <w:pStyle w:val="Cover1title"/>
        <w:outlineLvl w:val="9"/>
        <w:rPr>
          <w:b w:val="0"/>
          <w:bCs/>
          <w:sz w:val="24"/>
          <w:szCs w:val="48"/>
        </w:rPr>
      </w:pPr>
      <w:r w:rsidRPr="00A62F42">
        <w:rPr>
          <w:b w:val="0"/>
          <w:bCs/>
          <w:sz w:val="24"/>
          <w:szCs w:val="48"/>
        </w:rPr>
        <w:t>State of Queensland action through the Department of Transport and Main Roads</w:t>
      </w:r>
    </w:p>
    <w:p w14:paraId="32C1D2CF" w14:textId="77777777" w:rsidR="00C062BF" w:rsidRDefault="00C062BF" w:rsidP="00C062BF">
      <w:pPr>
        <w:pStyle w:val="Cover2subtitle"/>
      </w:pPr>
    </w:p>
    <w:p w14:paraId="7B3D540B" w14:textId="2788B7AB" w:rsidR="00FC7935" w:rsidRPr="00CE6618" w:rsidRDefault="00FA67EB" w:rsidP="00376A0A">
      <w:pPr>
        <w:pStyle w:val="Cover2subtitle"/>
      </w:pPr>
      <w:r>
        <w:t>December</w:t>
      </w:r>
      <w:r w:rsidR="00C062BF">
        <w:t xml:space="preserve"> 202</w:t>
      </w:r>
      <w:r w:rsidR="00F3590A">
        <w:t>3</w:t>
      </w: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0B800740" w14:textId="0F982894" w:rsidR="007F0ABF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29615136" w:history="1">
        <w:r w:rsidR="007F0ABF" w:rsidRPr="002C1E6E">
          <w:rPr>
            <w:rStyle w:val="Hyperlink"/>
          </w:rPr>
          <w:t>IBCP SOA Part D – MLS Survey Details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_Toc129615136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1</w:t>
        </w:r>
        <w:r w:rsidR="007F0ABF">
          <w:rPr>
            <w:webHidden/>
          </w:rPr>
          <w:fldChar w:fldCharType="end"/>
        </w:r>
      </w:hyperlink>
    </w:p>
    <w:p w14:paraId="49A2D0C8" w14:textId="47CD9282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37" w:history="1">
        <w:r w:rsidR="007F0ABF" w:rsidRPr="002C1E6E">
          <w:rPr>
            <w:rStyle w:val="Hyperlink"/>
          </w:rPr>
          <w:t>1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Supplier's Company Details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_Toc129615137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1</w:t>
        </w:r>
        <w:r w:rsidR="007F0ABF">
          <w:rPr>
            <w:webHidden/>
          </w:rPr>
          <w:fldChar w:fldCharType="end"/>
        </w:r>
      </w:hyperlink>
    </w:p>
    <w:p w14:paraId="06305AC8" w14:textId="578255C9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38" w:history="1">
        <w:r w:rsidR="007F0ABF" w:rsidRPr="002C1E6E">
          <w:rPr>
            <w:rStyle w:val="Hyperlink"/>
          </w:rPr>
          <w:t>2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Minimum Standards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_Toc129615138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1</w:t>
        </w:r>
        <w:r w:rsidR="007F0ABF">
          <w:rPr>
            <w:webHidden/>
          </w:rPr>
          <w:fldChar w:fldCharType="end"/>
        </w:r>
      </w:hyperlink>
    </w:p>
    <w:p w14:paraId="08176122" w14:textId="6E9883EB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39" w:history="1">
        <w:r w:rsidR="007F0ABF" w:rsidRPr="002C1E6E">
          <w:rPr>
            <w:rStyle w:val="Hyperlink"/>
          </w:rPr>
          <w:t>3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Highest Accuracy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_Toc129615139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1</w:t>
        </w:r>
        <w:r w:rsidR="007F0ABF">
          <w:rPr>
            <w:webHidden/>
          </w:rPr>
          <w:fldChar w:fldCharType="end"/>
        </w:r>
      </w:hyperlink>
    </w:p>
    <w:p w14:paraId="03F60ADB" w14:textId="39A7A274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0" w:history="1">
        <w:r w:rsidR="007F0ABF" w:rsidRPr="002C1E6E">
          <w:rPr>
            <w:rStyle w:val="Hyperlink"/>
          </w:rPr>
          <w:t>4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Equipment, System and Software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_Toc129615140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1</w:t>
        </w:r>
        <w:r w:rsidR="007F0ABF">
          <w:rPr>
            <w:webHidden/>
          </w:rPr>
          <w:fldChar w:fldCharType="end"/>
        </w:r>
      </w:hyperlink>
    </w:p>
    <w:p w14:paraId="110B1B33" w14:textId="1A09A7C1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1" w:history="1">
        <w:r w:rsidR="007F0ABF" w:rsidRPr="002C1E6E">
          <w:rPr>
            <w:rStyle w:val="Hyperlink"/>
          </w:rPr>
          <w:t>5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Process and Methodology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_Toc129615141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1</w:t>
        </w:r>
        <w:r w:rsidR="007F0ABF">
          <w:rPr>
            <w:webHidden/>
          </w:rPr>
          <w:fldChar w:fldCharType="end"/>
        </w:r>
      </w:hyperlink>
    </w:p>
    <w:p w14:paraId="721F2A5F" w14:textId="537C8100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2" w:history="1">
        <w:r w:rsidR="007F0ABF" w:rsidRPr="002C1E6E">
          <w:rPr>
            <w:rStyle w:val="Hyperlink"/>
          </w:rPr>
          <w:t>6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Transport and Main Roads Project Examples (where applicable)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_Toc129615142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2</w:t>
        </w:r>
        <w:r w:rsidR="007F0ABF">
          <w:rPr>
            <w:webHidden/>
          </w:rPr>
          <w:fldChar w:fldCharType="end"/>
        </w:r>
      </w:hyperlink>
    </w:p>
    <w:p w14:paraId="30A97D37" w14:textId="3FCA8EB3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3" w:history="1">
        <w:r w:rsidR="007F0ABF" w:rsidRPr="002C1E6E">
          <w:rPr>
            <w:rStyle w:val="Hyperlink"/>
          </w:rPr>
          <w:t>7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Other Australian State Road Authorities Project Examples (where applicable)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_Toc129615143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2</w:t>
        </w:r>
        <w:r w:rsidR="007F0ABF">
          <w:rPr>
            <w:webHidden/>
          </w:rPr>
          <w:fldChar w:fldCharType="end"/>
        </w:r>
      </w:hyperlink>
    </w:p>
    <w:p w14:paraId="713586D0" w14:textId="5C617D4F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4" w:history="1">
        <w:r w:rsidR="007F0ABF" w:rsidRPr="002C1E6E">
          <w:rPr>
            <w:rStyle w:val="Hyperlink"/>
          </w:rPr>
          <w:t>8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Transport and Main Roads Specification Compliance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_Toc129615144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2</w:t>
        </w:r>
        <w:r w:rsidR="007F0ABF">
          <w:rPr>
            <w:webHidden/>
          </w:rPr>
          <w:fldChar w:fldCharType="end"/>
        </w:r>
      </w:hyperlink>
    </w:p>
    <w:p w14:paraId="2D81BF9E" w14:textId="3CA8FC21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5" w:history="1">
        <w:r w:rsidR="007F0ABF" w:rsidRPr="002C1E6E">
          <w:rPr>
            <w:rStyle w:val="Hyperlink"/>
          </w:rPr>
          <w:t>9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MLS Pointcloud Capability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_Toc129615145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2</w:t>
        </w:r>
        <w:r w:rsidR="007F0ABF">
          <w:rPr>
            <w:webHidden/>
          </w:rPr>
          <w:fldChar w:fldCharType="end"/>
        </w:r>
      </w:hyperlink>
    </w:p>
    <w:p w14:paraId="65A0D328" w14:textId="76D9D4E9" w:rsidR="007F0ABF" w:rsidRDefault="001E470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5146" w:history="1">
        <w:r w:rsidR="007F0ABF" w:rsidRPr="002C1E6E">
          <w:rPr>
            <w:rStyle w:val="Hyperlink"/>
          </w:rPr>
          <w:t>10</w:t>
        </w:r>
        <w:r w:rsidR="007F0A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7F0ABF" w:rsidRPr="002C1E6E">
          <w:rPr>
            <w:rStyle w:val="Hyperlink"/>
          </w:rPr>
          <w:t>MLS Survey Client Referee</w:t>
        </w:r>
        <w:r w:rsidR="007F0ABF">
          <w:rPr>
            <w:webHidden/>
          </w:rPr>
          <w:tab/>
        </w:r>
        <w:r w:rsidR="007F0ABF">
          <w:rPr>
            <w:webHidden/>
          </w:rPr>
          <w:fldChar w:fldCharType="begin"/>
        </w:r>
        <w:r w:rsidR="007F0ABF">
          <w:rPr>
            <w:webHidden/>
          </w:rPr>
          <w:instrText xml:space="preserve"> PAGEREF _Toc129615146 \h </w:instrText>
        </w:r>
        <w:r w:rsidR="007F0ABF">
          <w:rPr>
            <w:webHidden/>
          </w:rPr>
        </w:r>
        <w:r w:rsidR="007F0ABF">
          <w:rPr>
            <w:webHidden/>
          </w:rPr>
          <w:fldChar w:fldCharType="separate"/>
        </w:r>
        <w:r w:rsidR="007F0ABF">
          <w:rPr>
            <w:webHidden/>
          </w:rPr>
          <w:t>2</w:t>
        </w:r>
        <w:r w:rsidR="007F0ABF">
          <w:rPr>
            <w:webHidden/>
          </w:rPr>
          <w:fldChar w:fldCharType="end"/>
        </w:r>
      </w:hyperlink>
    </w:p>
    <w:p w14:paraId="7B3D5416" w14:textId="65D19FAA" w:rsidR="00172FEB" w:rsidRPr="00CE6618" w:rsidRDefault="00172FEB" w:rsidP="001C6957">
      <w:pPr>
        <w:pStyle w:val="BodyText"/>
      </w:pPr>
      <w:r w:rsidRPr="00CE6618">
        <w:fldChar w:fldCharType="end"/>
      </w:r>
    </w:p>
    <w:p w14:paraId="7B3D5417" w14:textId="77777777" w:rsidR="001C6957" w:rsidRPr="00CE6618" w:rsidRDefault="001C6957" w:rsidP="001C6957">
      <w:pPr>
        <w:pStyle w:val="BodyText"/>
      </w:pP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default" r:id="rId20"/>
          <w:footerReference w:type="default" r:id="rId21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103C17CB" w14:textId="3EF71349" w:rsidR="0026399E" w:rsidRDefault="002D1B75" w:rsidP="00C062BF">
      <w:pPr>
        <w:pStyle w:val="Heading1"/>
        <w:numPr>
          <w:ilvl w:val="0"/>
          <w:numId w:val="0"/>
        </w:numPr>
        <w:ind w:left="431" w:hanging="431"/>
      </w:pPr>
      <w:bookmarkStart w:id="2" w:name="_Toc129615136"/>
      <w:r>
        <w:lastRenderedPageBreak/>
        <w:t>IBCP SOA Part D</w:t>
      </w:r>
      <w:r w:rsidR="0026399E">
        <w:t xml:space="preserve"> </w:t>
      </w:r>
      <w:r>
        <w:t>–</w:t>
      </w:r>
      <w:r w:rsidR="0026399E">
        <w:t xml:space="preserve"> MLS Survey Details</w:t>
      </w:r>
      <w:bookmarkEnd w:id="2"/>
    </w:p>
    <w:p w14:paraId="6C698A54" w14:textId="77777777" w:rsidR="0026399E" w:rsidRDefault="0026399E" w:rsidP="0026399E">
      <w:pPr>
        <w:pStyle w:val="BodyText"/>
      </w:pPr>
      <w:r>
        <w:t>The Supplier must provide evidence to demonstrate compliance of all requirements.</w:t>
      </w:r>
    </w:p>
    <w:p w14:paraId="27ECB293" w14:textId="1828AC29" w:rsidR="0026399E" w:rsidRDefault="0026399E" w:rsidP="00C062BF">
      <w:pPr>
        <w:pStyle w:val="Heading1"/>
      </w:pPr>
      <w:bookmarkStart w:id="3" w:name="_Toc129615137"/>
      <w:r>
        <w:t>Supplier's Company Details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062BF" w:rsidRPr="00A62F42" w14:paraId="5C55DF2F" w14:textId="77777777" w:rsidTr="00BB36F7">
        <w:tc>
          <w:tcPr>
            <w:tcW w:w="2263" w:type="dxa"/>
            <w:vAlign w:val="top"/>
          </w:tcPr>
          <w:p w14:paraId="25E66A03" w14:textId="77777777" w:rsidR="00C062BF" w:rsidRPr="00684535" w:rsidRDefault="00C062BF" w:rsidP="00BB36F7">
            <w:pPr>
              <w:pStyle w:val="TableBodyText"/>
              <w:rPr>
                <w:rStyle w:val="BodyTextbold"/>
              </w:rPr>
            </w:pPr>
            <w:r w:rsidRPr="00684535">
              <w:rPr>
                <w:rStyle w:val="BodyTextbold"/>
              </w:rPr>
              <w:t>Company legal name</w:t>
            </w:r>
          </w:p>
        </w:tc>
        <w:tc>
          <w:tcPr>
            <w:tcW w:w="6797" w:type="dxa"/>
            <w:vAlign w:val="top"/>
          </w:tcPr>
          <w:p w14:paraId="137DCE09" w14:textId="77777777" w:rsidR="00C062BF" w:rsidRPr="00A62F42" w:rsidRDefault="00C062BF" w:rsidP="00BB36F7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  <w:bookmarkEnd w:id="4"/>
          </w:p>
        </w:tc>
      </w:tr>
      <w:tr w:rsidR="00C062BF" w:rsidRPr="00A62F42" w14:paraId="37C56FA3" w14:textId="77777777" w:rsidTr="00BB36F7">
        <w:tc>
          <w:tcPr>
            <w:tcW w:w="2263" w:type="dxa"/>
            <w:vAlign w:val="top"/>
          </w:tcPr>
          <w:p w14:paraId="65600133" w14:textId="0FF2E4F3" w:rsidR="00C062BF" w:rsidRPr="00684535" w:rsidRDefault="00C062BF" w:rsidP="00BB36F7">
            <w:pPr>
              <w:pStyle w:val="TableBodyText"/>
              <w:rPr>
                <w:rStyle w:val="BodyTextbold"/>
              </w:rPr>
            </w:pPr>
            <w:r w:rsidRPr="00684535">
              <w:rPr>
                <w:rStyle w:val="BodyTextbold"/>
              </w:rPr>
              <w:t>Also know</w:t>
            </w:r>
            <w:r w:rsidR="002551CC">
              <w:rPr>
                <w:rStyle w:val="BodyTextbold"/>
              </w:rPr>
              <w:t>n</w:t>
            </w:r>
            <w:r w:rsidRPr="00684535">
              <w:rPr>
                <w:rStyle w:val="BodyTextbold"/>
              </w:rPr>
              <w:t xml:space="preserve"> as name</w:t>
            </w:r>
          </w:p>
        </w:tc>
        <w:tc>
          <w:tcPr>
            <w:tcW w:w="6797" w:type="dxa"/>
            <w:vAlign w:val="top"/>
          </w:tcPr>
          <w:p w14:paraId="2F1AF212" w14:textId="77777777" w:rsidR="00C062BF" w:rsidRPr="00A62F42" w:rsidRDefault="00C062BF" w:rsidP="00BB36F7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Supplier to insert other registered business name"/>
                  </w:textInput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registered business name</w:t>
            </w:r>
            <w:r>
              <w:fldChar w:fldCharType="end"/>
            </w:r>
            <w:bookmarkEnd w:id="5"/>
          </w:p>
        </w:tc>
      </w:tr>
    </w:tbl>
    <w:p w14:paraId="0DB078DD" w14:textId="423F6898" w:rsidR="0026399E" w:rsidRDefault="0026399E" w:rsidP="00C062BF">
      <w:pPr>
        <w:pStyle w:val="Heading1"/>
      </w:pPr>
      <w:bookmarkStart w:id="6" w:name="_Toc129615138"/>
      <w:r>
        <w:t>Minimum Standards</w:t>
      </w:r>
      <w:bookmarkEnd w:id="6"/>
    </w:p>
    <w:p w14:paraId="343CD760" w14:textId="05724B99" w:rsidR="00311389" w:rsidRPr="00311389" w:rsidRDefault="00311389" w:rsidP="00311389">
      <w:pPr>
        <w:pStyle w:val="BodyText"/>
        <w:spacing w:after="240"/>
      </w:pPr>
      <w:r w:rsidRPr="00311389">
        <w:t xml:space="preserve">The uncertainty values as stated below represent the minimum standards that Transport and Main Roads uses for MLS survey for Project </w:t>
      </w:r>
      <w:proofErr w:type="spellStart"/>
      <w:r w:rsidRPr="00311389">
        <w:t>Pointcloud</w:t>
      </w:r>
      <w:proofErr w:type="spellEnd"/>
      <w:r w:rsidRPr="00311389">
        <w:t xml:space="preserve"> (PPC) and Ground and Feature Models (GFM).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11389" w14:paraId="0E86776B" w14:textId="77777777" w:rsidTr="00311389">
        <w:tc>
          <w:tcPr>
            <w:tcW w:w="4530" w:type="dxa"/>
          </w:tcPr>
          <w:p w14:paraId="5DE0A4D5" w14:textId="0F8E4B52" w:rsidR="00311389" w:rsidRPr="00BB36F7" w:rsidRDefault="00311389" w:rsidP="00311389">
            <w:pPr>
              <w:pStyle w:val="TableHeading"/>
            </w:pPr>
            <w:r w:rsidRPr="00BB36F7">
              <w:t>Horizontal uncertainties</w:t>
            </w:r>
          </w:p>
        </w:tc>
        <w:tc>
          <w:tcPr>
            <w:tcW w:w="4530" w:type="dxa"/>
          </w:tcPr>
          <w:p w14:paraId="0E20771E" w14:textId="60EC49FA" w:rsidR="00311389" w:rsidRPr="00BB36F7" w:rsidRDefault="00311389" w:rsidP="00311389">
            <w:pPr>
              <w:pStyle w:val="TableHeading"/>
            </w:pPr>
            <w:r w:rsidRPr="00BB36F7">
              <w:t>Vertical uncertainties</w:t>
            </w:r>
          </w:p>
        </w:tc>
      </w:tr>
      <w:tr w:rsidR="00C062BF" w14:paraId="2986AC1D" w14:textId="77777777" w:rsidTr="00311389">
        <w:tc>
          <w:tcPr>
            <w:tcW w:w="4530" w:type="dxa"/>
          </w:tcPr>
          <w:p w14:paraId="561301E0" w14:textId="5008309B" w:rsidR="00BB36F7" w:rsidRDefault="00BB36F7" w:rsidP="00311389">
            <w:pPr>
              <w:pStyle w:val="TableBodyText"/>
              <w:ind w:left="0"/>
              <w:jc w:val="center"/>
            </w:pPr>
            <w:r>
              <w:t>Survey: 25 mm</w:t>
            </w:r>
          </w:p>
          <w:p w14:paraId="6F30DC3A" w14:textId="06060055" w:rsidR="00C062BF" w:rsidRDefault="00BB36F7" w:rsidP="00311389">
            <w:pPr>
              <w:pStyle w:val="TableBodyText"/>
              <w:ind w:left="0"/>
              <w:jc w:val="center"/>
            </w:pPr>
            <w:r>
              <w:t>Relational: 20 mm + 5 ppm</w:t>
            </w:r>
          </w:p>
        </w:tc>
        <w:tc>
          <w:tcPr>
            <w:tcW w:w="4530" w:type="dxa"/>
          </w:tcPr>
          <w:p w14:paraId="2D3957A6" w14:textId="2F476724" w:rsidR="00BB36F7" w:rsidRDefault="00BB36F7" w:rsidP="00311389">
            <w:pPr>
              <w:pStyle w:val="TableBodyText"/>
              <w:ind w:left="0"/>
              <w:jc w:val="center"/>
            </w:pPr>
            <w:r>
              <w:t>Survey: 15 mm</w:t>
            </w:r>
          </w:p>
          <w:p w14:paraId="407D7F3A" w14:textId="51EF12C5" w:rsidR="00C062BF" w:rsidRDefault="00BB36F7" w:rsidP="00311389">
            <w:pPr>
              <w:pStyle w:val="TableBodyText"/>
              <w:ind w:left="0"/>
              <w:jc w:val="center"/>
            </w:pPr>
            <w:r>
              <w:t>Relational: 10 mm + 5 ppm</w:t>
            </w:r>
          </w:p>
        </w:tc>
      </w:tr>
    </w:tbl>
    <w:p w14:paraId="58FF0AF4" w14:textId="613090A7" w:rsidR="00311389" w:rsidRDefault="00311389" w:rsidP="00311389">
      <w:pPr>
        <w:pStyle w:val="TableNotes"/>
      </w:pPr>
      <w:r w:rsidRPr="00311389">
        <w:t xml:space="preserve">Note: Transport and Main Roads MLS Technical Guideline, GNSS Control Surveys and MLS Technical Guideline Checklist represent minimum standards. Refer to the following link for details: </w:t>
      </w:r>
      <w:hyperlink r:id="rId22" w:history="1">
        <w:r w:rsidRPr="00140100">
          <w:rPr>
            <w:rStyle w:val="Hyperlink"/>
            <w:sz w:val="18"/>
          </w:rPr>
          <w:t>Surveying support documents</w:t>
        </w:r>
      </w:hyperlink>
    </w:p>
    <w:p w14:paraId="260B7E48" w14:textId="42D3F8DD" w:rsidR="0026399E" w:rsidRDefault="0026399E" w:rsidP="00C062BF">
      <w:pPr>
        <w:pStyle w:val="Heading1"/>
      </w:pPr>
      <w:bookmarkStart w:id="7" w:name="_Toc129615139"/>
      <w:r>
        <w:t>Highest Accuracy</w:t>
      </w:r>
      <w:bookmarkEnd w:id="7"/>
    </w:p>
    <w:p w14:paraId="21F844FC" w14:textId="4F8A3ED1" w:rsidR="0026399E" w:rsidRDefault="0026399E" w:rsidP="00140100">
      <w:pPr>
        <w:pStyle w:val="BodyText"/>
        <w:spacing w:after="240"/>
      </w:pPr>
      <w:r>
        <w:t>The Supplier must identify the highest accuracy of which its system and processes can achieve. The stated accuracy must be better than the minimum standards as specified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0100" w14:paraId="799A1D4F" w14:textId="77777777" w:rsidTr="0077476D">
        <w:tc>
          <w:tcPr>
            <w:tcW w:w="4530" w:type="dxa"/>
          </w:tcPr>
          <w:p w14:paraId="4CA0CC9E" w14:textId="77777777" w:rsidR="00140100" w:rsidRPr="00BB36F7" w:rsidRDefault="00140100" w:rsidP="0077476D">
            <w:pPr>
              <w:pStyle w:val="TableHeading"/>
            </w:pPr>
            <w:r w:rsidRPr="00BB36F7">
              <w:t>Horizontal uncertainties</w:t>
            </w:r>
          </w:p>
        </w:tc>
        <w:tc>
          <w:tcPr>
            <w:tcW w:w="4530" w:type="dxa"/>
          </w:tcPr>
          <w:p w14:paraId="4FD6AC3A" w14:textId="77777777" w:rsidR="00140100" w:rsidRPr="00BB36F7" w:rsidRDefault="00140100" w:rsidP="0077476D">
            <w:pPr>
              <w:pStyle w:val="TableHeading"/>
            </w:pPr>
            <w:r w:rsidRPr="00BB36F7">
              <w:t>Vertical uncertainties</w:t>
            </w:r>
          </w:p>
        </w:tc>
      </w:tr>
      <w:tr w:rsidR="00140100" w14:paraId="7C21EBF0" w14:textId="77777777" w:rsidTr="00140100">
        <w:tc>
          <w:tcPr>
            <w:tcW w:w="4530" w:type="dxa"/>
            <w:vAlign w:val="top"/>
          </w:tcPr>
          <w:p w14:paraId="286363A6" w14:textId="1093B900" w:rsidR="00140100" w:rsidRDefault="00140100" w:rsidP="00140100">
            <w:pPr>
              <w:pStyle w:val="TableBodyText"/>
              <w:ind w:left="0"/>
            </w:pPr>
            <w:r>
              <w:t xml:space="preserve">Survey: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  <w:p w14:paraId="07F2AC34" w14:textId="6CBF97E7" w:rsidR="00140100" w:rsidRDefault="00140100" w:rsidP="00140100">
            <w:pPr>
              <w:pStyle w:val="TableBodyText"/>
              <w:ind w:left="0"/>
            </w:pPr>
            <w:r>
              <w:t xml:space="preserve">Relational: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  <w:tc>
          <w:tcPr>
            <w:tcW w:w="4530" w:type="dxa"/>
            <w:vAlign w:val="top"/>
          </w:tcPr>
          <w:p w14:paraId="03C4F2A7" w14:textId="087B85E1" w:rsidR="00140100" w:rsidRDefault="00140100" w:rsidP="00140100">
            <w:pPr>
              <w:pStyle w:val="TableBodyText"/>
              <w:ind w:left="0"/>
            </w:pPr>
            <w:r>
              <w:t xml:space="preserve">Survey: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  <w:p w14:paraId="359DA724" w14:textId="7203928A" w:rsidR="00140100" w:rsidRDefault="00140100" w:rsidP="00140100">
            <w:pPr>
              <w:pStyle w:val="TableBodyText"/>
              <w:ind w:left="0"/>
            </w:pPr>
            <w:r>
              <w:t xml:space="preserve">Relational: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140100" w14:paraId="48DF3E47" w14:textId="77777777" w:rsidTr="00FE1802">
        <w:tc>
          <w:tcPr>
            <w:tcW w:w="9060" w:type="dxa"/>
            <w:gridSpan w:val="2"/>
            <w:vAlign w:val="top"/>
          </w:tcPr>
          <w:p w14:paraId="4C6B1F67" w14:textId="77777777" w:rsidR="00140100" w:rsidRDefault="00140100" w:rsidP="00140100">
            <w:pPr>
              <w:pStyle w:val="Table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upplier to insert other detail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details</w:t>
            </w:r>
            <w:r>
              <w:fldChar w:fldCharType="end"/>
            </w:r>
          </w:p>
          <w:p w14:paraId="2EDF557C" w14:textId="1D9A8849" w:rsidR="00140100" w:rsidRDefault="00140100" w:rsidP="00140100">
            <w:pPr>
              <w:pStyle w:val="TableBodyText"/>
              <w:ind w:left="0"/>
            </w:pPr>
          </w:p>
        </w:tc>
      </w:tr>
    </w:tbl>
    <w:p w14:paraId="2B761065" w14:textId="7C20C5F9" w:rsidR="0026399E" w:rsidRDefault="0026399E" w:rsidP="00C062BF">
      <w:pPr>
        <w:pStyle w:val="Heading1"/>
      </w:pPr>
      <w:bookmarkStart w:id="8" w:name="_Toc129615140"/>
      <w:r>
        <w:t>Equipment, System and Software</w:t>
      </w:r>
      <w:bookmarkEnd w:id="8"/>
    </w:p>
    <w:p w14:paraId="6B5FB779" w14:textId="00241756" w:rsidR="0026399E" w:rsidRDefault="0026399E" w:rsidP="00140100">
      <w:pPr>
        <w:pStyle w:val="BodyText"/>
        <w:spacing w:after="240"/>
      </w:pPr>
      <w:r>
        <w:t>The Supplier must specify the equipment, system and software used to achieve the stated highest accuracy for MLS survey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763A2FCF" w14:textId="77777777" w:rsidTr="0077476D">
        <w:tc>
          <w:tcPr>
            <w:tcW w:w="9060" w:type="dxa"/>
            <w:vAlign w:val="top"/>
          </w:tcPr>
          <w:p w14:paraId="167EE817" w14:textId="77777777" w:rsidR="00140100" w:rsidRDefault="00140100" w:rsidP="00140100">
            <w:pPr>
              <w:pStyle w:val="TableBodyText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  <w:p w14:paraId="33419692" w14:textId="0283D494" w:rsidR="00140100" w:rsidRDefault="00140100" w:rsidP="00140100">
            <w:pPr>
              <w:pStyle w:val="TableBodyText"/>
              <w:ind w:left="0"/>
            </w:pPr>
          </w:p>
        </w:tc>
      </w:tr>
    </w:tbl>
    <w:p w14:paraId="118F04EF" w14:textId="40C58266" w:rsidR="0026399E" w:rsidRDefault="0026399E" w:rsidP="00C062BF">
      <w:pPr>
        <w:pStyle w:val="Heading1"/>
      </w:pPr>
      <w:bookmarkStart w:id="9" w:name="_Toc129615141"/>
      <w:r>
        <w:t>Process and Methodology</w:t>
      </w:r>
      <w:bookmarkEnd w:id="9"/>
    </w:p>
    <w:p w14:paraId="36BD0E68" w14:textId="44A085D0" w:rsidR="0026399E" w:rsidRDefault="0026399E" w:rsidP="00140100">
      <w:pPr>
        <w:pStyle w:val="BodyText"/>
        <w:spacing w:after="240"/>
      </w:pPr>
      <w:r>
        <w:t>The Supplier must specify the process and methodology in delivering and achieving the stated highest accuracy for MLS survey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31605F6D" w14:textId="77777777" w:rsidTr="0077476D">
        <w:tc>
          <w:tcPr>
            <w:tcW w:w="9060" w:type="dxa"/>
            <w:vAlign w:val="top"/>
          </w:tcPr>
          <w:p w14:paraId="3A829C04" w14:textId="632517AE" w:rsidR="00140100" w:rsidRDefault="00140100" w:rsidP="00140100">
            <w:pPr>
              <w:pStyle w:val="TableBodyText"/>
              <w:keepNext w:val="0"/>
              <w:keepLines w:val="0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  <w:p w14:paraId="3FA82A02" w14:textId="77777777" w:rsidR="00140100" w:rsidRDefault="00140100" w:rsidP="00140100">
            <w:pPr>
              <w:pStyle w:val="TableBodyText"/>
              <w:keepNext w:val="0"/>
              <w:keepLines w:val="0"/>
              <w:ind w:left="0"/>
            </w:pPr>
          </w:p>
        </w:tc>
      </w:tr>
    </w:tbl>
    <w:p w14:paraId="63FA2E6A" w14:textId="4F4A14D8" w:rsidR="0026399E" w:rsidRDefault="00140100" w:rsidP="00C062BF">
      <w:pPr>
        <w:pStyle w:val="Heading1"/>
      </w:pPr>
      <w:bookmarkStart w:id="10" w:name="_Toc129615142"/>
      <w:r>
        <w:lastRenderedPageBreak/>
        <w:t xml:space="preserve">Transport and Main Roads </w:t>
      </w:r>
      <w:r w:rsidR="0026399E">
        <w:t>Project Examples (where applicable)</w:t>
      </w:r>
      <w:bookmarkEnd w:id="10"/>
    </w:p>
    <w:p w14:paraId="0FD379B1" w14:textId="2D7F4066" w:rsidR="0026399E" w:rsidRDefault="0026399E" w:rsidP="00140100">
      <w:pPr>
        <w:pStyle w:val="BodyText"/>
        <w:spacing w:after="240"/>
      </w:pPr>
      <w:r>
        <w:t xml:space="preserve">The Supplier must provide project examples, including project details and contact details, for </w:t>
      </w:r>
      <w:r w:rsidR="00140100" w:rsidRPr="00140100">
        <w:t xml:space="preserve">Transport and Main Roads </w:t>
      </w:r>
      <w:r>
        <w:t xml:space="preserve">verification of the stated processes, </w:t>
      </w:r>
      <w:proofErr w:type="gramStart"/>
      <w:r>
        <w:t>methodologies</w:t>
      </w:r>
      <w:proofErr w:type="gramEnd"/>
      <w:r>
        <w:t xml:space="preserve"> and highest accuracy.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735935C2" w14:textId="77777777" w:rsidTr="0077476D">
        <w:tc>
          <w:tcPr>
            <w:tcW w:w="9060" w:type="dxa"/>
            <w:vAlign w:val="top"/>
          </w:tcPr>
          <w:p w14:paraId="05818ABC" w14:textId="40D29FBA" w:rsidR="00140100" w:rsidRDefault="00140100" w:rsidP="0077476D">
            <w:pPr>
              <w:pStyle w:val="TableBodyText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  <w:p w14:paraId="55B3F209" w14:textId="77777777" w:rsidR="00140100" w:rsidRDefault="00140100" w:rsidP="0077476D">
            <w:pPr>
              <w:pStyle w:val="TableBodyText"/>
              <w:ind w:left="0"/>
            </w:pPr>
          </w:p>
        </w:tc>
      </w:tr>
    </w:tbl>
    <w:p w14:paraId="7828EA84" w14:textId="1BF0D33D" w:rsidR="0026399E" w:rsidRDefault="0026399E" w:rsidP="00C062BF">
      <w:pPr>
        <w:pStyle w:val="Heading1"/>
      </w:pPr>
      <w:bookmarkStart w:id="11" w:name="_Toc129615143"/>
      <w:r>
        <w:t>Other Australian State Road Authorities Project Examples (where applicable)</w:t>
      </w:r>
      <w:bookmarkEnd w:id="11"/>
    </w:p>
    <w:p w14:paraId="54B9CA3B" w14:textId="4517B00B" w:rsidR="0026399E" w:rsidRDefault="0026399E" w:rsidP="00140100">
      <w:pPr>
        <w:pStyle w:val="BodyText"/>
        <w:spacing w:after="240"/>
      </w:pPr>
      <w:r>
        <w:t xml:space="preserve">The Supplier must provide project examples, including project details and contact details, for </w:t>
      </w:r>
      <w:r w:rsidR="00140100">
        <w:t xml:space="preserve">Transport and Main Roads </w:t>
      </w:r>
      <w:r>
        <w:t xml:space="preserve">verification of the stated processes, </w:t>
      </w:r>
      <w:proofErr w:type="gramStart"/>
      <w:r>
        <w:t>methodologies</w:t>
      </w:r>
      <w:proofErr w:type="gramEnd"/>
      <w:r>
        <w:t xml:space="preserve"> and highest accuracy.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78FB9A42" w14:textId="77777777" w:rsidTr="0077476D">
        <w:tc>
          <w:tcPr>
            <w:tcW w:w="9060" w:type="dxa"/>
            <w:vAlign w:val="top"/>
          </w:tcPr>
          <w:p w14:paraId="1BE7EBD1" w14:textId="77777777" w:rsidR="00140100" w:rsidRDefault="00140100" w:rsidP="0077476D">
            <w:pPr>
              <w:pStyle w:val="Table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upplier to insert other detail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details</w:t>
            </w:r>
            <w:r>
              <w:fldChar w:fldCharType="end"/>
            </w:r>
          </w:p>
          <w:p w14:paraId="2B4E6168" w14:textId="77777777" w:rsidR="00140100" w:rsidRDefault="00140100" w:rsidP="0077476D">
            <w:pPr>
              <w:pStyle w:val="TableBodyText"/>
              <w:ind w:left="0"/>
            </w:pPr>
          </w:p>
        </w:tc>
      </w:tr>
    </w:tbl>
    <w:p w14:paraId="71F492B9" w14:textId="5A2C5BCB" w:rsidR="0026399E" w:rsidRDefault="00140100" w:rsidP="00C062BF">
      <w:pPr>
        <w:pStyle w:val="Heading1"/>
      </w:pPr>
      <w:bookmarkStart w:id="12" w:name="_Toc129615144"/>
      <w:r w:rsidRPr="00140100">
        <w:t xml:space="preserve">Transport and Main Roads </w:t>
      </w:r>
      <w:r w:rsidR="0026399E">
        <w:t>Specification Compliance</w:t>
      </w:r>
      <w:bookmarkEnd w:id="12"/>
    </w:p>
    <w:p w14:paraId="4EADA6B6" w14:textId="7AB72AE5" w:rsidR="0026399E" w:rsidRDefault="0026399E" w:rsidP="00140100">
      <w:pPr>
        <w:pStyle w:val="BodyText"/>
        <w:spacing w:after="240"/>
      </w:pPr>
      <w:r>
        <w:t xml:space="preserve">The Supplier must provide clear evidence that the works comply with </w:t>
      </w:r>
      <w:r w:rsidRPr="00140100">
        <w:rPr>
          <w:rStyle w:val="BodyTextitalic"/>
        </w:rPr>
        <w:t>TMR Surveying Standards</w:t>
      </w:r>
      <w:r>
        <w:t xml:space="preserve"> and </w:t>
      </w:r>
      <w:r w:rsidR="00140100" w:rsidRPr="00140100">
        <w:rPr>
          <w:rStyle w:val="BodyTextitalic"/>
        </w:rPr>
        <w:t>MLS</w:t>
      </w:r>
      <w:r w:rsidRPr="00140100">
        <w:rPr>
          <w:rStyle w:val="BodyTextitalic"/>
        </w:rPr>
        <w:t xml:space="preserve"> Technical Guideline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64FAF0E6" w14:textId="77777777" w:rsidTr="0077476D">
        <w:tc>
          <w:tcPr>
            <w:tcW w:w="9060" w:type="dxa"/>
            <w:vAlign w:val="top"/>
          </w:tcPr>
          <w:p w14:paraId="6759E11E" w14:textId="77777777" w:rsidR="00140100" w:rsidRDefault="00140100" w:rsidP="0077476D">
            <w:pPr>
              <w:pStyle w:val="Table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upplier to insert other detail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details</w:t>
            </w:r>
            <w:r>
              <w:fldChar w:fldCharType="end"/>
            </w:r>
          </w:p>
          <w:p w14:paraId="7E1E2193" w14:textId="77777777" w:rsidR="00140100" w:rsidRDefault="00140100" w:rsidP="0077476D">
            <w:pPr>
              <w:pStyle w:val="TableBodyText"/>
              <w:ind w:left="0"/>
            </w:pPr>
          </w:p>
        </w:tc>
      </w:tr>
    </w:tbl>
    <w:p w14:paraId="54D39FD6" w14:textId="521A9A53" w:rsidR="0026399E" w:rsidRDefault="0026399E" w:rsidP="00C062BF">
      <w:pPr>
        <w:pStyle w:val="Heading1"/>
      </w:pPr>
      <w:bookmarkStart w:id="13" w:name="_Toc129615145"/>
      <w:r>
        <w:t xml:space="preserve">MLS </w:t>
      </w:r>
      <w:proofErr w:type="spellStart"/>
      <w:r>
        <w:t>Pointcloud</w:t>
      </w:r>
      <w:proofErr w:type="spellEnd"/>
      <w:r>
        <w:t xml:space="preserve"> Capability</w:t>
      </w:r>
      <w:bookmarkEnd w:id="13"/>
    </w:p>
    <w:p w14:paraId="1DAA92C0" w14:textId="40FCA20D" w:rsidR="0026399E" w:rsidRDefault="0026399E" w:rsidP="008A1E96">
      <w:pPr>
        <w:pStyle w:val="BodyText"/>
        <w:spacing w:after="240"/>
      </w:pPr>
      <w:r>
        <w:t xml:space="preserve">The Supplier must provide clear evidence demonstrating relevant skills, </w:t>
      </w:r>
      <w:proofErr w:type="gramStart"/>
      <w:r>
        <w:t>knowledge</w:t>
      </w:r>
      <w:proofErr w:type="gramEnd"/>
      <w:r>
        <w:t xml:space="preserve"> and experience in capturing and processing MLS </w:t>
      </w:r>
      <w:proofErr w:type="spellStart"/>
      <w:r>
        <w:t>Pointcloud</w:t>
      </w:r>
      <w:proofErr w:type="spellEnd"/>
      <w:r>
        <w:t xml:space="preserve">, as well as extraction of ground and feature models from MLS </w:t>
      </w:r>
      <w:proofErr w:type="spellStart"/>
      <w:r>
        <w:t>Pointcloud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1708054E" w14:textId="77777777" w:rsidTr="0077476D">
        <w:tc>
          <w:tcPr>
            <w:tcW w:w="9060" w:type="dxa"/>
            <w:vAlign w:val="top"/>
          </w:tcPr>
          <w:p w14:paraId="09F881FF" w14:textId="77777777" w:rsidR="00140100" w:rsidRDefault="00140100" w:rsidP="0077476D">
            <w:pPr>
              <w:pStyle w:val="Table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upplier to insert other detail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details</w:t>
            </w:r>
            <w:r>
              <w:fldChar w:fldCharType="end"/>
            </w:r>
          </w:p>
          <w:p w14:paraId="1D9FD055" w14:textId="77777777" w:rsidR="00140100" w:rsidRDefault="00140100" w:rsidP="0077476D">
            <w:pPr>
              <w:pStyle w:val="TableBodyText"/>
              <w:ind w:left="0"/>
            </w:pPr>
          </w:p>
        </w:tc>
      </w:tr>
    </w:tbl>
    <w:p w14:paraId="6A92AD2B" w14:textId="63B3AD75" w:rsidR="0026399E" w:rsidRDefault="0026399E" w:rsidP="00C062BF">
      <w:pPr>
        <w:pStyle w:val="Heading1"/>
      </w:pPr>
      <w:bookmarkStart w:id="14" w:name="_Toc129615146"/>
      <w:r>
        <w:t>MLS Survey Client Referee</w:t>
      </w:r>
      <w:bookmarkEnd w:id="14"/>
    </w:p>
    <w:p w14:paraId="5E21AF9B" w14:textId="38CD4DDE" w:rsidR="0026399E" w:rsidRDefault="0026399E" w:rsidP="008A1E96">
      <w:pPr>
        <w:pStyle w:val="BodyText"/>
        <w:spacing w:after="240"/>
      </w:pPr>
      <w:r>
        <w:t>The Supplier must provide contact details of at least one Client Referee. An Eligible Customer will contact the Client Referee to discuss compliance and client's satisfaction of the above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100" w14:paraId="133E5D27" w14:textId="77777777" w:rsidTr="0077476D">
        <w:tc>
          <w:tcPr>
            <w:tcW w:w="9060" w:type="dxa"/>
            <w:vAlign w:val="top"/>
          </w:tcPr>
          <w:p w14:paraId="724A02C2" w14:textId="77777777" w:rsidR="00140100" w:rsidRDefault="00140100" w:rsidP="0077476D">
            <w:pPr>
              <w:pStyle w:val="Table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upplier to insert other detail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details</w:t>
            </w:r>
            <w:r>
              <w:fldChar w:fldCharType="end"/>
            </w:r>
          </w:p>
          <w:p w14:paraId="1C58BC59" w14:textId="77777777" w:rsidR="00140100" w:rsidRDefault="00140100" w:rsidP="0077476D">
            <w:pPr>
              <w:pStyle w:val="TableBodyText"/>
              <w:ind w:left="0"/>
            </w:pPr>
          </w:p>
        </w:tc>
      </w:tr>
    </w:tbl>
    <w:p w14:paraId="4D5AC33F" w14:textId="77777777" w:rsidR="0026399E" w:rsidRDefault="0026399E" w:rsidP="0026399E">
      <w:pPr>
        <w:pStyle w:val="BodyText"/>
      </w:pPr>
    </w:p>
    <w:p w14:paraId="7B3D5445" w14:textId="77777777" w:rsidR="0061185E" w:rsidRPr="00CE6618" w:rsidRDefault="0061185E" w:rsidP="004525EA">
      <w:pPr>
        <w:pStyle w:val="BodyText"/>
        <w:sectPr w:rsidR="0061185E" w:rsidRPr="00CE6618" w:rsidSect="00275DDB">
          <w:headerReference w:type="default" r:id="rId23"/>
          <w:footerReference w:type="default" r:id="rId24"/>
          <w:pgSz w:w="11906" w:h="16838" w:code="9"/>
          <w:pgMar w:top="1418" w:right="1418" w:bottom="1418" w:left="1418" w:header="454" w:footer="454" w:gutter="0"/>
          <w:pgNumType w:start="1"/>
          <w:cols w:space="708"/>
          <w:docGrid w:linePitch="360"/>
        </w:sectPr>
      </w:pPr>
    </w:p>
    <w:p w14:paraId="7B3D5446" w14:textId="77777777" w:rsidR="00BC68B8" w:rsidRPr="00CE6618" w:rsidRDefault="00BC68B8" w:rsidP="0061185E">
      <w:pPr>
        <w:pStyle w:val="BodyText"/>
      </w:pPr>
    </w:p>
    <w:p w14:paraId="7B3D5447" w14:textId="77777777" w:rsidR="0061185E" w:rsidRPr="00CE6618" w:rsidRDefault="0061185E" w:rsidP="0061185E">
      <w:pPr>
        <w:pStyle w:val="BodyText"/>
      </w:pPr>
    </w:p>
    <w:p w14:paraId="7B3D5448" w14:textId="77777777" w:rsidR="0061185E" w:rsidRPr="00CE6618" w:rsidRDefault="0061185E" w:rsidP="0061185E">
      <w:pPr>
        <w:pStyle w:val="BodyText"/>
      </w:pPr>
    </w:p>
    <w:p w14:paraId="7B3D5449" w14:textId="77777777" w:rsidR="0061185E" w:rsidRPr="00CE6618" w:rsidRDefault="0061185E" w:rsidP="0061185E">
      <w:pPr>
        <w:pStyle w:val="BodyText"/>
      </w:pPr>
    </w:p>
    <w:p w14:paraId="7B3D544A" w14:textId="77777777" w:rsidR="0061185E" w:rsidRPr="00CE6618" w:rsidRDefault="0061185E" w:rsidP="0061185E">
      <w:pPr>
        <w:pStyle w:val="BodyText"/>
      </w:pPr>
    </w:p>
    <w:p w14:paraId="7B3D544B" w14:textId="77777777" w:rsidR="0061185E" w:rsidRPr="00CE6618" w:rsidRDefault="0061185E" w:rsidP="0061185E">
      <w:pPr>
        <w:pStyle w:val="BodyText"/>
      </w:pPr>
    </w:p>
    <w:p w14:paraId="7B3D544C" w14:textId="77777777" w:rsidR="0061185E" w:rsidRPr="00CE6618" w:rsidRDefault="0061185E" w:rsidP="0061185E">
      <w:pPr>
        <w:pStyle w:val="BodyText"/>
      </w:pPr>
    </w:p>
    <w:p w14:paraId="7B3D544D" w14:textId="77777777" w:rsidR="0061185E" w:rsidRPr="00CE6618" w:rsidRDefault="0061185E" w:rsidP="0061185E">
      <w:pPr>
        <w:pStyle w:val="BodyText"/>
      </w:pPr>
    </w:p>
    <w:p w14:paraId="7B3D544E" w14:textId="77777777" w:rsidR="0061185E" w:rsidRPr="00CE6618" w:rsidRDefault="0061185E" w:rsidP="0061185E">
      <w:pPr>
        <w:pStyle w:val="BodyText"/>
      </w:pPr>
    </w:p>
    <w:p w14:paraId="7B3D544F" w14:textId="77777777" w:rsidR="0061185E" w:rsidRPr="00CE6618" w:rsidRDefault="0061185E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5"/>
      <w:headerReference w:type="default" r:id="rId26"/>
      <w:footerReference w:type="default" r:id="rId27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C0B3" w14:textId="77777777" w:rsidR="008D0D3F" w:rsidRDefault="008D0D3F">
      <w:r>
        <w:separator/>
      </w:r>
    </w:p>
    <w:p w14:paraId="42D381B2" w14:textId="77777777" w:rsidR="008D0D3F" w:rsidRDefault="008D0D3F"/>
  </w:endnote>
  <w:endnote w:type="continuationSeparator" w:id="0">
    <w:p w14:paraId="3550CAA8" w14:textId="77777777" w:rsidR="008D0D3F" w:rsidRDefault="008D0D3F">
      <w:r>
        <w:continuationSeparator/>
      </w:r>
    </w:p>
    <w:p w14:paraId="777B4E31" w14:textId="77777777" w:rsidR="008D0D3F" w:rsidRDefault="008D0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C" w14:textId="77777777" w:rsidR="00BF7B37" w:rsidRDefault="00BF7B37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BF7B37" w:rsidRDefault="00BF7B37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E" w14:textId="77777777" w:rsidR="00BF7B37" w:rsidRPr="00391457" w:rsidRDefault="00BF7B37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BF7B37" w:rsidRPr="00391457" w:rsidRDefault="00BF7B37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2" w14:textId="2082B256" w:rsidR="00BF7B37" w:rsidRPr="00176CC5" w:rsidRDefault="00C062BF" w:rsidP="00176CC5">
    <w:pPr>
      <w:pStyle w:val="Footer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FA67EB">
      <w:t>December</w:t>
    </w:r>
    <w:r>
      <w:t xml:space="preserve"> 202</w:t>
    </w:r>
    <w:r w:rsidR="00F3590A">
      <w:t>3</w:t>
    </w:r>
    <w:r w:rsidR="00BF7B37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4" w14:textId="77777777" w:rsidR="00BF7B37" w:rsidRPr="00F64B7F" w:rsidRDefault="00BF7B37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6" w14:textId="5069F60C" w:rsidR="00BF7B37" w:rsidRPr="009E5C89" w:rsidRDefault="00C062BF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FA67EB">
      <w:t>December</w:t>
    </w:r>
    <w:r>
      <w:t xml:space="preserve"> 202</w:t>
    </w:r>
    <w:r w:rsidR="00F3590A">
      <w:t>3</w:t>
    </w:r>
    <w:r w:rsidR="00BF7B37">
      <w:tab/>
    </w:r>
    <w:r w:rsidR="00BF7B37" w:rsidRPr="00391457">
      <w:rPr>
        <w:rStyle w:val="PageNumber"/>
      </w:rPr>
      <w:fldChar w:fldCharType="begin"/>
    </w:r>
    <w:r w:rsidR="00BF7B37" w:rsidRPr="00391457">
      <w:rPr>
        <w:rStyle w:val="PageNumber"/>
      </w:rPr>
      <w:instrText xml:space="preserve">PAGE  </w:instrText>
    </w:r>
    <w:r w:rsidR="00BF7B37" w:rsidRPr="00391457">
      <w:rPr>
        <w:rStyle w:val="PageNumber"/>
      </w:rPr>
      <w:fldChar w:fldCharType="separate"/>
    </w:r>
    <w:r w:rsidR="00E404D7">
      <w:rPr>
        <w:rStyle w:val="PageNumber"/>
        <w:noProof/>
      </w:rPr>
      <w:t>i</w:t>
    </w:r>
    <w:r w:rsidR="00BF7B37"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8" w14:textId="462EBD1E" w:rsidR="00BF7B37" w:rsidRPr="009E5C89" w:rsidRDefault="00C062BF" w:rsidP="00E92ACF">
    <w:pPr>
      <w:pStyle w:val="Footer"/>
      <w:tabs>
        <w:tab w:val="clear" w:pos="9540"/>
        <w:tab w:val="right" w:pos="9072"/>
      </w:tabs>
      <w:ind w:right="-2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FA67EB">
      <w:t>December</w:t>
    </w:r>
    <w:r>
      <w:t xml:space="preserve"> 202</w:t>
    </w:r>
    <w:r w:rsidR="00F3590A">
      <w:t>3</w:t>
    </w:r>
    <w:r w:rsidR="00BF7B37">
      <w:tab/>
    </w:r>
    <w:r w:rsidR="00BF7B37" w:rsidRPr="00BF0295">
      <w:rPr>
        <w:rStyle w:val="PageNumber"/>
      </w:rPr>
      <w:fldChar w:fldCharType="begin"/>
    </w:r>
    <w:r w:rsidR="00BF7B37" w:rsidRPr="00BF0295">
      <w:rPr>
        <w:rStyle w:val="PageNumber"/>
      </w:rPr>
      <w:instrText xml:space="preserve">PAGE  </w:instrText>
    </w:r>
    <w:r w:rsidR="00BF7B37" w:rsidRPr="00BF0295">
      <w:rPr>
        <w:rStyle w:val="PageNumber"/>
      </w:rPr>
      <w:fldChar w:fldCharType="separate"/>
    </w:r>
    <w:r w:rsidR="00E404D7">
      <w:rPr>
        <w:rStyle w:val="PageNumber"/>
        <w:noProof/>
      </w:rPr>
      <w:t>1</w:t>
    </w:r>
    <w:r w:rsidR="00BF7B37"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B" w14:textId="77777777" w:rsidR="00BF7B37" w:rsidRPr="00391457" w:rsidRDefault="00EE7EEC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D5474" wp14:editId="0C613A2D">
          <wp:simplePos x="0" y="0"/>
          <wp:positionH relativeFrom="page">
            <wp:posOffset>3562350</wp:posOffset>
          </wp:positionH>
          <wp:positionV relativeFrom="page">
            <wp:posOffset>9991725</wp:posOffset>
          </wp:positionV>
          <wp:extent cx="4027805" cy="698500"/>
          <wp:effectExtent l="0" t="0" r="0" b="6350"/>
          <wp:wrapNone/>
          <wp:docPr id="12" name="Picture 12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041E" w14:textId="77777777" w:rsidR="008D0D3F" w:rsidRDefault="008D0D3F">
      <w:r>
        <w:separator/>
      </w:r>
    </w:p>
    <w:p w14:paraId="31A8C28C" w14:textId="77777777" w:rsidR="008D0D3F" w:rsidRDefault="008D0D3F"/>
  </w:footnote>
  <w:footnote w:type="continuationSeparator" w:id="0">
    <w:p w14:paraId="4F1F9523" w14:textId="77777777" w:rsidR="008D0D3F" w:rsidRDefault="008D0D3F">
      <w:r>
        <w:continuationSeparator/>
      </w:r>
    </w:p>
    <w:p w14:paraId="09A947B8" w14:textId="77777777" w:rsidR="008D0D3F" w:rsidRDefault="008D0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B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0" w14:textId="13D346C1" w:rsidR="00BF7B37" w:rsidRDefault="00FA67E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B4E1AEE" wp14:editId="7EDB8278">
          <wp:simplePos x="0" y="0"/>
          <wp:positionH relativeFrom="page">
            <wp:posOffset>8890</wp:posOffset>
          </wp:positionH>
          <wp:positionV relativeFrom="paragraph">
            <wp:posOffset>-282575</wp:posOffset>
          </wp:positionV>
          <wp:extent cx="7559675" cy="10693400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1" w14:textId="7ED60CA7" w:rsidR="00BF7B37" w:rsidRDefault="009407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1B8E3752">
              <wp:simplePos x="0" y="0"/>
              <wp:positionH relativeFrom="margin">
                <wp:posOffset>4445</wp:posOffset>
              </wp:positionH>
              <wp:positionV relativeFrom="margin">
                <wp:posOffset>3461385</wp:posOffset>
              </wp:positionV>
              <wp:extent cx="5579745" cy="5431155"/>
              <wp:effectExtent l="0" t="0" r="1905" b="17145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24A" w14:textId="2CC091DC" w:rsidR="009407AF" w:rsidRPr="001675E4" w:rsidRDefault="009407AF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64233099" w14:textId="6F27BECE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 w:rsidR="00CA52EB">
                            <w:t>2</w:t>
                          </w:r>
                          <w:r w:rsidR="00F3590A">
                            <w:t>3</w:t>
                          </w:r>
                          <w:r>
                            <w:t>.</w:t>
                          </w:r>
                        </w:p>
                        <w:p w14:paraId="350C5731" w14:textId="77777777" w:rsidR="009407AF" w:rsidRPr="001675E4" w:rsidRDefault="009407AF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579C513" w14:textId="5D17D7A7" w:rsid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21BF90C9" w14:textId="4D2240D7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61E5F6F" wp14:editId="463FEB4F">
                                <wp:extent cx="809625" cy="37147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30234" w14:textId="78B4113A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35838E" w14:textId="77777777" w:rsidR="00F600A5" w:rsidRPr="009407AF" w:rsidRDefault="00F600A5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77EB654" w14:textId="3228154E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73256451" w14:textId="1E051EC2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</w:t>
                          </w:r>
                          <w:proofErr w:type="gramStart"/>
                          <w:r w:rsidRPr="001675E4">
                            <w:t>as long as</w:t>
                          </w:r>
                          <w:proofErr w:type="gramEnd"/>
                          <w:r w:rsidRPr="001675E4">
                            <w:t xml:space="preserve">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7C867347" w14:textId="43F958AB" w:rsidR="009407AF" w:rsidRP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D0174BC" w14:textId="77777777" w:rsidR="009407AF" w:rsidRDefault="009407AF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407AF" w14:paraId="7BB9DF68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657FDF76" w14:textId="0FF7DB28" w:rsidR="009407AF" w:rsidRDefault="009407AF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3625" wp14:editId="4E8688A8">
                                      <wp:extent cx="536813" cy="609600"/>
                                      <wp:effectExtent l="0" t="0" r="0" b="0"/>
                                      <wp:docPr id="14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5ACA81A" w14:textId="7E41F3F2" w:rsidR="009407AF" w:rsidRPr="00F600A5" w:rsidRDefault="00F600A5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26F577BF" w14:textId="77777777" w:rsid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1FFAED5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9407AF">
                            <w:rPr>
                              <w:b/>
                            </w:rPr>
                            <w:t>Disclaime</w:t>
                          </w:r>
                          <w:r w:rsidRPr="001675E4">
                            <w:t>r</w:t>
                          </w:r>
                        </w:p>
                        <w:p w14:paraId="38E2F00E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 xml:space="preserve">responsibility for decisions or actions taken </w:t>
                          </w:r>
                          <w:proofErr w:type="gramStart"/>
                          <w:r w:rsidRPr="001675E4">
                            <w:t>as a result of</w:t>
                          </w:r>
                          <w:proofErr w:type="gramEnd"/>
                          <w:r w:rsidRPr="001675E4">
                            <w:t xml:space="preserve">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75201848" w14:textId="77777777" w:rsidR="009407AF" w:rsidRPr="001675E4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B508222" w14:textId="77777777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1CFAA79C" w:rsidR="00BF7B37" w:rsidRPr="00F322FA" w:rsidRDefault="009407AF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.35pt;margin-top:272.55pt;width:439.35pt;height:4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" filled="f" stroked="f">
              <v:textbox inset="0,0,0,0">
                <w:txbxContent>
                  <w:p w14:paraId="74F1324A" w14:textId="2CC091DC" w:rsidR="009407AF" w:rsidRPr="001675E4" w:rsidRDefault="009407AF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64233099" w14:textId="6F27BECE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 w:rsidR="00CA52EB">
                      <w:t>2</w:t>
                    </w:r>
                    <w:r w:rsidR="00F3590A">
                      <w:t>3</w:t>
                    </w:r>
                    <w:r>
                      <w:t>.</w:t>
                    </w:r>
                  </w:p>
                  <w:p w14:paraId="350C5731" w14:textId="77777777" w:rsidR="009407AF" w:rsidRPr="001675E4" w:rsidRDefault="009407AF" w:rsidP="00F600A5">
                    <w:pPr>
                      <w:pStyle w:val="BodyText"/>
                      <w:spacing w:after="0" w:line="240" w:lineRule="auto"/>
                    </w:pPr>
                  </w:p>
                  <w:p w14:paraId="3579C513" w14:textId="5D17D7A7" w:rsid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21BF90C9" w14:textId="4D2240D7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61E5F6F" wp14:editId="463FEB4F">
                          <wp:extent cx="809625" cy="371475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30234" w14:textId="78B4113A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35838E" w14:textId="77777777" w:rsidR="00F600A5" w:rsidRPr="009407AF" w:rsidRDefault="00F600A5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77EB654" w14:textId="3228154E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73256451" w14:textId="1E051EC2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</w:t>
                    </w:r>
                    <w:proofErr w:type="gramStart"/>
                    <w:r w:rsidRPr="001675E4">
                      <w:t>as long as</w:t>
                    </w:r>
                    <w:proofErr w:type="gramEnd"/>
                    <w:r w:rsidRPr="001675E4">
                      <w:t xml:space="preserve">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7C867347" w14:textId="43F958AB" w:rsidR="009407AF" w:rsidRP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4D0174BC" w14:textId="77777777" w:rsidR="009407AF" w:rsidRDefault="009407AF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407AF" w14:paraId="7BB9DF68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657FDF76" w14:textId="0FF7DB28" w:rsidR="009407AF" w:rsidRDefault="009407AF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3625" wp14:editId="4E8688A8">
                                <wp:extent cx="536813" cy="609600"/>
                                <wp:effectExtent l="0" t="0" r="0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5ACA81A" w14:textId="7E41F3F2" w:rsidR="009407AF" w:rsidRPr="00F600A5" w:rsidRDefault="00F600A5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26F577BF" w14:textId="77777777" w:rsid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31FFAED5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9407AF">
                      <w:rPr>
                        <w:b/>
                      </w:rPr>
                      <w:t>Disclaime</w:t>
                    </w:r>
                    <w:r w:rsidRPr="001675E4">
                      <w:t>r</w:t>
                    </w:r>
                  </w:p>
                  <w:p w14:paraId="38E2F00E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 xml:space="preserve">responsibility for decisions or actions taken </w:t>
                    </w:r>
                    <w:proofErr w:type="gramStart"/>
                    <w:r w:rsidRPr="001675E4">
                      <w:t>as a result of</w:t>
                    </w:r>
                    <w:proofErr w:type="gramEnd"/>
                    <w:r w:rsidRPr="001675E4">
                      <w:t xml:space="preserve">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75201848" w14:textId="77777777" w:rsidR="009407AF" w:rsidRPr="001675E4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6B508222" w14:textId="77777777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1CFAA79C" w:rsidR="00BF7B37" w:rsidRPr="00F322FA" w:rsidRDefault="009407AF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3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1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5" w14:textId="56B65EFE" w:rsidR="00BF7B37" w:rsidRDefault="00BF7B37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7" w14:textId="15851939" w:rsidR="00BF7B37" w:rsidRPr="00125B5A" w:rsidRDefault="00C062BF" w:rsidP="00125B5A">
    <w:pPr>
      <w:pStyle w:val="HeaderChapterpart"/>
    </w:pPr>
    <w:r>
      <w:t xml:space="preserve">Standing Offer Arrangement (SOA) – </w:t>
    </w:r>
    <w:r w:rsidR="002D1B75">
      <w:t xml:space="preserve">IBCP SOA Part D, </w:t>
    </w:r>
    <w:r>
      <w:t xml:space="preserve">Mobile Laser Scanning (MLS) </w:t>
    </w:r>
    <w:r w:rsidR="00F3590A">
      <w:t xml:space="preserve">Survey </w:t>
    </w:r>
    <w:r>
      <w:t>Details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9" w14:textId="77777777" w:rsidR="00BF7B37" w:rsidRDefault="00BF7B3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A" w14:textId="77777777" w:rsidR="00BF7B37" w:rsidRDefault="00BF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7E395C"/>
    <w:multiLevelType w:val="multilevel"/>
    <w:tmpl w:val="5DAC17FA"/>
    <w:numStyleLink w:val="TableListSmallNumber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0774F"/>
    <w:multiLevelType w:val="multilevel"/>
    <w:tmpl w:val="620CC31C"/>
    <w:numStyleLink w:val="ListAllBullets3Level"/>
  </w:abstractNum>
  <w:abstractNum w:abstractNumId="1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1" w15:restartNumberingAfterBreak="0">
    <w:nsid w:val="3D4716F6"/>
    <w:multiLevelType w:val="multilevel"/>
    <w:tmpl w:val="B2B20138"/>
    <w:numStyleLink w:val="TableListAllLetter3level"/>
  </w:abstractNum>
  <w:abstractNum w:abstractNumId="1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582309"/>
    <w:multiLevelType w:val="multilevel"/>
    <w:tmpl w:val="620CC31C"/>
    <w:numStyleLink w:val="ListAllBullets3Level"/>
  </w:abstractNum>
  <w:abstractNum w:abstractNumId="1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5E02"/>
    <w:multiLevelType w:val="multilevel"/>
    <w:tmpl w:val="DC821EBC"/>
    <w:numStyleLink w:val="TableListAllBullets3Level"/>
  </w:abstractNum>
  <w:num w:numId="1" w16cid:durableId="785125567">
    <w:abstractNumId w:val="5"/>
  </w:num>
  <w:num w:numId="2" w16cid:durableId="1386757551">
    <w:abstractNumId w:val="10"/>
  </w:num>
  <w:num w:numId="3" w16cid:durableId="2038575319">
    <w:abstractNumId w:val="15"/>
  </w:num>
  <w:num w:numId="4" w16cid:durableId="474373829">
    <w:abstractNumId w:val="0"/>
  </w:num>
  <w:num w:numId="5" w16cid:durableId="1541473834">
    <w:abstractNumId w:val="7"/>
  </w:num>
  <w:num w:numId="6" w16cid:durableId="64112887">
    <w:abstractNumId w:val="6"/>
  </w:num>
  <w:num w:numId="7" w16cid:durableId="238100472">
    <w:abstractNumId w:val="3"/>
  </w:num>
  <w:num w:numId="8" w16cid:durableId="586306221">
    <w:abstractNumId w:val="9"/>
  </w:num>
  <w:num w:numId="9" w16cid:durableId="267005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75717">
    <w:abstractNumId w:val="1"/>
  </w:num>
  <w:num w:numId="11" w16cid:durableId="1284465066">
    <w:abstractNumId w:val="4"/>
  </w:num>
  <w:num w:numId="12" w16cid:durableId="548345471">
    <w:abstractNumId w:val="13"/>
  </w:num>
  <w:num w:numId="13" w16cid:durableId="1879926615">
    <w:abstractNumId w:val="17"/>
  </w:num>
  <w:num w:numId="14" w16cid:durableId="2109620744">
    <w:abstractNumId w:val="12"/>
  </w:num>
  <w:num w:numId="15" w16cid:durableId="590511907">
    <w:abstractNumId w:val="8"/>
  </w:num>
  <w:num w:numId="16" w16cid:durableId="1558129691">
    <w:abstractNumId w:val="16"/>
  </w:num>
  <w:num w:numId="17" w16cid:durableId="2107067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6778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3730781">
    <w:abstractNumId w:val="14"/>
  </w:num>
  <w:num w:numId="20" w16cid:durableId="481042243">
    <w:abstractNumId w:val="18"/>
  </w:num>
  <w:num w:numId="21" w16cid:durableId="1458791996">
    <w:abstractNumId w:val="11"/>
  </w:num>
  <w:num w:numId="22" w16cid:durableId="5639512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40100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3E78"/>
    <w:rsid w:val="001E4709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551CC"/>
    <w:rsid w:val="0026399E"/>
    <w:rsid w:val="002669B1"/>
    <w:rsid w:val="00271868"/>
    <w:rsid w:val="002738CB"/>
    <w:rsid w:val="00273C11"/>
    <w:rsid w:val="00275DDB"/>
    <w:rsid w:val="00277E0F"/>
    <w:rsid w:val="00287680"/>
    <w:rsid w:val="002A50A0"/>
    <w:rsid w:val="002C2F25"/>
    <w:rsid w:val="002D1B75"/>
    <w:rsid w:val="002E0B83"/>
    <w:rsid w:val="002E6EBF"/>
    <w:rsid w:val="002F2356"/>
    <w:rsid w:val="0030503A"/>
    <w:rsid w:val="003108B7"/>
    <w:rsid w:val="00311389"/>
    <w:rsid w:val="0031235E"/>
    <w:rsid w:val="00315F53"/>
    <w:rsid w:val="00322F9D"/>
    <w:rsid w:val="003231FA"/>
    <w:rsid w:val="003323B1"/>
    <w:rsid w:val="00336228"/>
    <w:rsid w:val="00350E10"/>
    <w:rsid w:val="00361264"/>
    <w:rsid w:val="003618DC"/>
    <w:rsid w:val="00363C04"/>
    <w:rsid w:val="003717FA"/>
    <w:rsid w:val="00376A0A"/>
    <w:rsid w:val="00383A3B"/>
    <w:rsid w:val="00391457"/>
    <w:rsid w:val="003960ED"/>
    <w:rsid w:val="003A36A5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1B39"/>
    <w:rsid w:val="00477792"/>
    <w:rsid w:val="00477962"/>
    <w:rsid w:val="00485DDC"/>
    <w:rsid w:val="004C2895"/>
    <w:rsid w:val="004C3F31"/>
    <w:rsid w:val="004D1FDD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50E09"/>
    <w:rsid w:val="00666E20"/>
    <w:rsid w:val="00676214"/>
    <w:rsid w:val="00686875"/>
    <w:rsid w:val="006915E9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1EC7"/>
    <w:rsid w:val="007672DC"/>
    <w:rsid w:val="0077261D"/>
    <w:rsid w:val="00785550"/>
    <w:rsid w:val="00793FA9"/>
    <w:rsid w:val="00796D7D"/>
    <w:rsid w:val="007A460B"/>
    <w:rsid w:val="007A65FD"/>
    <w:rsid w:val="007C4319"/>
    <w:rsid w:val="007D0963"/>
    <w:rsid w:val="007D76AC"/>
    <w:rsid w:val="007F0ABF"/>
    <w:rsid w:val="00811807"/>
    <w:rsid w:val="008807C8"/>
    <w:rsid w:val="008843E8"/>
    <w:rsid w:val="008A19A0"/>
    <w:rsid w:val="008A1E96"/>
    <w:rsid w:val="008B3748"/>
    <w:rsid w:val="008B61BF"/>
    <w:rsid w:val="008D02E2"/>
    <w:rsid w:val="008D0D3F"/>
    <w:rsid w:val="008F36D9"/>
    <w:rsid w:val="008F47F2"/>
    <w:rsid w:val="00904118"/>
    <w:rsid w:val="0091452E"/>
    <w:rsid w:val="00926AFF"/>
    <w:rsid w:val="00937DB8"/>
    <w:rsid w:val="009407AF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E22DF"/>
    <w:rsid w:val="009E5C89"/>
    <w:rsid w:val="00A00922"/>
    <w:rsid w:val="00A00F46"/>
    <w:rsid w:val="00A121EB"/>
    <w:rsid w:val="00A12D4E"/>
    <w:rsid w:val="00A20B17"/>
    <w:rsid w:val="00A27877"/>
    <w:rsid w:val="00A52AB4"/>
    <w:rsid w:val="00A8127D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36F7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62BF"/>
    <w:rsid w:val="00C226B2"/>
    <w:rsid w:val="00C33EEE"/>
    <w:rsid w:val="00C34106"/>
    <w:rsid w:val="00C352F9"/>
    <w:rsid w:val="00C50278"/>
    <w:rsid w:val="00C62500"/>
    <w:rsid w:val="00C76378"/>
    <w:rsid w:val="00C81006"/>
    <w:rsid w:val="00C965C0"/>
    <w:rsid w:val="00CA107F"/>
    <w:rsid w:val="00CA3157"/>
    <w:rsid w:val="00CA4B9D"/>
    <w:rsid w:val="00CA52EB"/>
    <w:rsid w:val="00CD30F9"/>
    <w:rsid w:val="00CE22EC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2B49"/>
    <w:rsid w:val="00D67F00"/>
    <w:rsid w:val="00D725E3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0714C"/>
    <w:rsid w:val="00E249A4"/>
    <w:rsid w:val="00E404D7"/>
    <w:rsid w:val="00E53219"/>
    <w:rsid w:val="00E57C45"/>
    <w:rsid w:val="00E70EA9"/>
    <w:rsid w:val="00E8162F"/>
    <w:rsid w:val="00E84619"/>
    <w:rsid w:val="00E92ACF"/>
    <w:rsid w:val="00E96F32"/>
    <w:rsid w:val="00EA319A"/>
    <w:rsid w:val="00EC0517"/>
    <w:rsid w:val="00ED06E5"/>
    <w:rsid w:val="00ED5C9C"/>
    <w:rsid w:val="00EE3AA3"/>
    <w:rsid w:val="00EE7EEC"/>
    <w:rsid w:val="00EF2FDD"/>
    <w:rsid w:val="00F05413"/>
    <w:rsid w:val="00F15554"/>
    <w:rsid w:val="00F30D7C"/>
    <w:rsid w:val="00F322FA"/>
    <w:rsid w:val="00F3590A"/>
    <w:rsid w:val="00F44BA4"/>
    <w:rsid w:val="00F451CD"/>
    <w:rsid w:val="00F45A8D"/>
    <w:rsid w:val="00F600A5"/>
    <w:rsid w:val="00F64B7F"/>
    <w:rsid w:val="00F70E96"/>
    <w:rsid w:val="00F87D4E"/>
    <w:rsid w:val="00FA5570"/>
    <w:rsid w:val="00FA67EB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D725E3"/>
    <w:pPr>
      <w:tabs>
        <w:tab w:val="left" w:pos="567"/>
      </w:tabs>
      <w:spacing w:after="240"/>
    </w:pPr>
    <w:rPr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3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tmr.qld.gov.au/business-industry/Technical-standards-publications/Surveying-support-documents" TargetMode="External"/><Relationship Id="rId27" Type="http://schemas.openxmlformats.org/officeDocument/2006/relationships/footer" Target="footer7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a4b41637-c39a-4fcf-ba83-ba894a3db53d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56</TotalTime>
  <Pages>6</Pages>
  <Words>532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Offer Arrangement (SOA) IBCP SOS Part D – Mobile Laser Scanning (MLS) Details</vt:lpstr>
    </vt:vector>
  </TitlesOfParts>
  <Company>Department of Transport and Main Roads</Company>
  <LinksUpToDate>false</LinksUpToDate>
  <CharactersWithSpaces>4675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Offer Arrangement (SOA) IBCP SOS Part D – Mobile Laser Scanning (MLS) Details</dc:title>
  <dc:subject>Invitation SOA Reference No. TMR12920</dc:subject>
  <dc:creator>Department of Transport and Main Roads</dc:creator>
  <cp:keywords>IBCP, Infrastructure Building Construction Panel, Contract,</cp:keywords>
  <dc:description/>
  <cp:lastModifiedBy>Ashley N Stevens</cp:lastModifiedBy>
  <cp:revision>13</cp:revision>
  <cp:lastPrinted>2013-06-20T03:17:00Z</cp:lastPrinted>
  <dcterms:created xsi:type="dcterms:W3CDTF">2021-01-21T03:22:00Z</dcterms:created>
  <dcterms:modified xsi:type="dcterms:W3CDTF">2023-12-12T21:15:00Z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