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5"/>
      </w:tblGrid>
      <w:tr w:rsidR="003861E9" w14:paraId="7793C183" w14:textId="77777777" w:rsidTr="00945189">
        <w:trPr>
          <w:trHeight w:val="136"/>
        </w:trPr>
        <w:tc>
          <w:tcPr>
            <w:tcW w:w="6967" w:type="dxa"/>
            <w:gridSpan w:val="3"/>
          </w:tcPr>
          <w:p w14:paraId="44B93EB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 w:val="restart"/>
          </w:tcPr>
          <w:p w14:paraId="11A810A8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244046" wp14:editId="17C2AFD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DC93C1E" w14:textId="77777777" w:rsidTr="00945189">
        <w:trPr>
          <w:trHeight w:val="426"/>
        </w:trPr>
        <w:tc>
          <w:tcPr>
            <w:tcW w:w="6967" w:type="dxa"/>
            <w:gridSpan w:val="3"/>
            <w:vAlign w:val="bottom"/>
          </w:tcPr>
          <w:p w14:paraId="7A73BF8A" w14:textId="4AD47B5F" w:rsidR="003861E9" w:rsidRPr="00070033" w:rsidRDefault="0036648E" w:rsidP="00082D78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082D78">
              <w:rPr>
                <w:b/>
                <w:sz w:val="40"/>
                <w:szCs w:val="40"/>
              </w:rPr>
              <w:t>74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436461">
              <w:rPr>
                <w:b/>
                <w:sz w:val="40"/>
                <w:szCs w:val="40"/>
              </w:rPr>
              <w:t xml:space="preserve"> </w:t>
            </w:r>
            <w:r w:rsidR="00436461" w:rsidRPr="00436461">
              <w:rPr>
                <w:b/>
                <w:sz w:val="32"/>
                <w:szCs w:val="40"/>
              </w:rPr>
              <w:t>(</w:t>
            </w:r>
            <w:r w:rsidR="000675E3">
              <w:rPr>
                <w:b/>
                <w:sz w:val="32"/>
                <w:szCs w:val="40"/>
              </w:rPr>
              <w:t>November</w:t>
            </w:r>
            <w:r w:rsidR="00436461" w:rsidRPr="00436461">
              <w:rPr>
                <w:b/>
                <w:sz w:val="32"/>
                <w:szCs w:val="40"/>
              </w:rPr>
              <w:t xml:space="preserve"> 20</w:t>
            </w:r>
            <w:r w:rsidR="000675E3">
              <w:rPr>
                <w:b/>
                <w:sz w:val="32"/>
                <w:szCs w:val="40"/>
              </w:rPr>
              <w:t>23</w:t>
            </w:r>
            <w:r w:rsidR="00436461" w:rsidRPr="00436461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5" w:type="dxa"/>
            <w:vMerge/>
          </w:tcPr>
          <w:p w14:paraId="45880233" w14:textId="77777777" w:rsidR="003861E9" w:rsidRDefault="003861E9" w:rsidP="003000CD">
            <w:pPr>
              <w:pStyle w:val="BodyText"/>
            </w:pPr>
          </w:p>
        </w:tc>
      </w:tr>
      <w:tr w:rsidR="003861E9" w14:paraId="51866FA6" w14:textId="77777777" w:rsidTr="00945189">
        <w:tc>
          <w:tcPr>
            <w:tcW w:w="6967" w:type="dxa"/>
            <w:gridSpan w:val="3"/>
          </w:tcPr>
          <w:p w14:paraId="7C13F95A" w14:textId="0F9B1C0D" w:rsidR="003861E9" w:rsidRPr="00CC22DF" w:rsidRDefault="00CC22DF" w:rsidP="0024107A">
            <w:pPr>
              <w:pStyle w:val="BodyText"/>
              <w:rPr>
                <w:b/>
                <w:sz w:val="40"/>
                <w:szCs w:val="40"/>
              </w:rPr>
            </w:pPr>
            <w:r w:rsidRPr="00CC22DF">
              <w:rPr>
                <w:b/>
                <w:sz w:val="40"/>
                <w:szCs w:val="40"/>
              </w:rPr>
              <w:t>Supply and Erection of Prestressed Concrete Deck</w:t>
            </w:r>
            <w:r w:rsidR="000675E3">
              <w:rPr>
                <w:b/>
                <w:sz w:val="40"/>
                <w:szCs w:val="40"/>
              </w:rPr>
              <w:t xml:space="preserve"> Units, </w:t>
            </w:r>
            <w:r w:rsidRPr="00CC22DF">
              <w:rPr>
                <w:b/>
                <w:sz w:val="40"/>
                <w:szCs w:val="40"/>
              </w:rPr>
              <w:t>Kerb Units</w:t>
            </w:r>
            <w:r w:rsidR="000675E3">
              <w:rPr>
                <w:b/>
                <w:sz w:val="40"/>
                <w:szCs w:val="40"/>
              </w:rPr>
              <w:t xml:space="preserve"> and Winged Planks</w:t>
            </w:r>
          </w:p>
        </w:tc>
        <w:tc>
          <w:tcPr>
            <w:tcW w:w="2105" w:type="dxa"/>
            <w:vMerge/>
          </w:tcPr>
          <w:p w14:paraId="2551E337" w14:textId="77777777" w:rsidR="003861E9" w:rsidRDefault="003861E9" w:rsidP="003000CD">
            <w:pPr>
              <w:pStyle w:val="BodyText"/>
            </w:pPr>
          </w:p>
        </w:tc>
      </w:tr>
      <w:tr w:rsidR="003861E9" w14:paraId="4075C15A" w14:textId="77777777" w:rsidTr="00945189">
        <w:trPr>
          <w:trHeight w:val="257"/>
        </w:trPr>
        <w:tc>
          <w:tcPr>
            <w:tcW w:w="6967" w:type="dxa"/>
            <w:gridSpan w:val="3"/>
          </w:tcPr>
          <w:p w14:paraId="2D7615C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262DA73E" w14:textId="77777777" w:rsidR="003861E9" w:rsidRDefault="003861E9" w:rsidP="003000CD">
            <w:pPr>
              <w:pStyle w:val="BodyText"/>
            </w:pPr>
          </w:p>
        </w:tc>
      </w:tr>
      <w:tr w:rsidR="003861E9" w14:paraId="7F635A7F" w14:textId="77777777" w:rsidTr="00945189">
        <w:trPr>
          <w:trHeight w:val="267"/>
        </w:trPr>
        <w:tc>
          <w:tcPr>
            <w:tcW w:w="6967" w:type="dxa"/>
            <w:gridSpan w:val="3"/>
          </w:tcPr>
          <w:p w14:paraId="00876CA5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vMerge/>
          </w:tcPr>
          <w:p w14:paraId="665FAC56" w14:textId="77777777" w:rsidR="003861E9" w:rsidRDefault="003861E9" w:rsidP="003000CD">
            <w:pPr>
              <w:pStyle w:val="BodyText"/>
            </w:pPr>
          </w:p>
        </w:tc>
      </w:tr>
      <w:tr w:rsidR="003861E9" w14:paraId="0710A497" w14:textId="77777777" w:rsidTr="00945189">
        <w:tc>
          <w:tcPr>
            <w:tcW w:w="6967" w:type="dxa"/>
            <w:gridSpan w:val="3"/>
          </w:tcPr>
          <w:p w14:paraId="2193BE1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3BF026E3" w14:textId="77777777" w:rsidR="003861E9" w:rsidRDefault="003861E9" w:rsidP="003000CD">
            <w:pPr>
              <w:pStyle w:val="BodyText"/>
            </w:pPr>
          </w:p>
        </w:tc>
      </w:tr>
      <w:tr w:rsidR="00CC22DF" w14:paraId="704DB55E" w14:textId="77777777" w:rsidTr="00945189"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2486EB55" w14:textId="77777777" w:rsidR="00CC22DF" w:rsidRPr="00070033" w:rsidRDefault="00CC22DF" w:rsidP="00CC22DF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160" w14:textId="77777777" w:rsidR="00CC22DF" w:rsidRPr="00F731A9" w:rsidRDefault="00CC22DF" w:rsidP="00CC22DF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14:paraId="58B3443D" w14:textId="77777777" w:rsidR="00CC22DF" w:rsidRDefault="00CC22DF" w:rsidP="00CC22DF">
            <w:pPr>
              <w:pStyle w:val="BodyText"/>
            </w:pPr>
          </w:p>
        </w:tc>
      </w:tr>
      <w:tr w:rsidR="00CC22DF" w14:paraId="0F9FEC08" w14:textId="77777777" w:rsidTr="00945189">
        <w:trPr>
          <w:trHeight w:val="295"/>
        </w:trPr>
        <w:tc>
          <w:tcPr>
            <w:tcW w:w="9072" w:type="dxa"/>
            <w:gridSpan w:val="4"/>
          </w:tcPr>
          <w:p w14:paraId="7033D5D9" w14:textId="77777777" w:rsidR="00CC22DF" w:rsidRPr="00555B77" w:rsidRDefault="00CC22DF" w:rsidP="00CC22DF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CC22DF" w14:paraId="0B8E3BE4" w14:textId="77777777" w:rsidTr="00945189">
        <w:tc>
          <w:tcPr>
            <w:tcW w:w="779" w:type="dxa"/>
            <w:vAlign w:val="top"/>
          </w:tcPr>
          <w:p w14:paraId="052EAEAD" w14:textId="77777777" w:rsidR="00CC22DF" w:rsidRPr="000157C6" w:rsidRDefault="00CC22DF" w:rsidP="00CC22DF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</w:tcPr>
          <w:p w14:paraId="6AEFC610" w14:textId="77777777" w:rsidR="00CC22DF" w:rsidRPr="000157C6" w:rsidRDefault="00CC22DF" w:rsidP="00CC22DF">
            <w:pPr>
              <w:pStyle w:val="BodyText"/>
              <w:spacing w:after="240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</w:t>
            </w:r>
            <w:r w:rsidR="0036648E">
              <w:rPr>
                <w:rStyle w:val="BodyTextbold"/>
              </w:rPr>
              <w:t xml:space="preserve"> parent Technical Specification </w:t>
            </w:r>
            <w:r w:rsidRPr="000157C6">
              <w:rPr>
                <w:rStyle w:val="BodyTextbold"/>
              </w:rPr>
              <w:t>MRTS</w:t>
            </w:r>
            <w:r>
              <w:rPr>
                <w:rStyle w:val="BodyTextbold"/>
              </w:rPr>
              <w:t>74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0C400C" w:rsidRPr="003732D8" w14:paraId="792D8846" w14:textId="77777777" w:rsidTr="00945189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58D7" w14:textId="7D189D3B" w:rsidR="000C400C" w:rsidRPr="00945189" w:rsidRDefault="000675E3" w:rsidP="00945189">
            <w:pPr>
              <w:pStyle w:val="Heading1"/>
            </w:pPr>
            <w:r>
              <w:t xml:space="preserve">Proprietary grouting products for grouting of transverse stressing holes – </w:t>
            </w:r>
            <w:r w:rsidRPr="00945189">
              <w:t>(Clause</w:t>
            </w:r>
            <w:r>
              <w:t>s</w:t>
            </w:r>
            <w:r w:rsidRPr="00945189">
              <w:t> </w:t>
            </w:r>
            <w:r>
              <w:t>6.3</w:t>
            </w:r>
            <w:r w:rsidR="0012298C">
              <w:t>.1</w:t>
            </w:r>
            <w:r>
              <w:t xml:space="preserve"> and 8.7</w:t>
            </w:r>
            <w:r w:rsidRPr="00945189">
              <w:t>)</w:t>
            </w:r>
          </w:p>
          <w:p w14:paraId="0B092718" w14:textId="77777777" w:rsidR="000C400C" w:rsidRPr="00945189" w:rsidRDefault="000C400C" w:rsidP="00C62E3D">
            <w:pPr>
              <w:pStyle w:val="BodyText"/>
              <w:ind w:left="609"/>
              <w:rPr>
                <w:rStyle w:val="AnnexStyle1"/>
                <w:rFonts w:ascii="Arial" w:hAnsi="Arial"/>
                <w:color w:val="auto"/>
                <w:sz w:val="20"/>
              </w:rPr>
            </w:pPr>
            <w:r w:rsidRPr="00945189">
              <w:t xml:space="preserve">The following products are </w:t>
            </w:r>
            <w:r w:rsidR="00C62E3D">
              <w:t>registered for use</w:t>
            </w:r>
            <w:r w:rsidRPr="00945189">
              <w:t>.</w:t>
            </w:r>
          </w:p>
        </w:tc>
      </w:tr>
      <w:tr w:rsidR="000C400C" w:rsidRPr="00B13FA1" w14:paraId="3F62CD8D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D1ED59" w14:textId="77777777" w:rsidR="000C400C" w:rsidRPr="00B13FA1" w:rsidRDefault="000C400C" w:rsidP="003B632A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5C5B" w14:textId="77777777" w:rsidR="000C400C" w:rsidRPr="00B13FA1" w:rsidRDefault="000C400C" w:rsidP="003B632A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0C400C" w:rsidRPr="003732D8" w14:paraId="62D31E15" w14:textId="77777777" w:rsidTr="00945189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606E" w14:textId="3454DC71" w:rsidR="000C400C" w:rsidRPr="00945189" w:rsidRDefault="000675E3" w:rsidP="000675E3">
            <w:pPr>
              <w:pStyle w:val="Heading1"/>
              <w:tabs>
                <w:tab w:val="clear" w:pos="574"/>
              </w:tabs>
            </w:pPr>
            <w:r w:rsidRPr="000675E3">
              <w:t>Cementitious grout for filling up Holding Down Bolts</w:t>
            </w:r>
            <w:r>
              <w:t xml:space="preserve"> </w:t>
            </w:r>
            <w:r w:rsidRPr="000675E3">
              <w:t>(Clauses</w:t>
            </w:r>
            <w:r>
              <w:t> </w:t>
            </w:r>
            <w:r w:rsidRPr="000675E3">
              <w:t>6.3.2 and 9.1</w:t>
            </w:r>
            <w:r w:rsidR="000C400C" w:rsidRPr="00945189">
              <w:t>)</w:t>
            </w:r>
          </w:p>
          <w:p w14:paraId="27A43D5F" w14:textId="77777777" w:rsidR="000C400C" w:rsidRPr="00945189" w:rsidRDefault="000C400C" w:rsidP="00C62E3D">
            <w:pPr>
              <w:pStyle w:val="BodyText"/>
              <w:ind w:firstLine="609"/>
              <w:rPr>
                <w:rStyle w:val="AnnexStyle1"/>
                <w:rFonts w:ascii="Arial" w:hAnsi="Arial"/>
                <w:color w:val="auto"/>
                <w:sz w:val="20"/>
              </w:rPr>
            </w:pPr>
            <w:r w:rsidRPr="00945189">
              <w:t xml:space="preserve">The following products are </w:t>
            </w:r>
            <w:r w:rsidR="00C62E3D">
              <w:t xml:space="preserve">registered </w:t>
            </w:r>
            <w:r w:rsidRPr="00945189">
              <w:t>for use.</w:t>
            </w:r>
          </w:p>
        </w:tc>
      </w:tr>
      <w:tr w:rsidR="000C400C" w:rsidRPr="00B13FA1" w14:paraId="049EAE55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835EAC9" w14:textId="77777777" w:rsidR="000C400C" w:rsidRPr="00B13FA1" w:rsidRDefault="000C400C" w:rsidP="003B632A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1516" w14:textId="77777777" w:rsidR="000C400C" w:rsidRPr="00B13FA1" w:rsidRDefault="000C400C" w:rsidP="003B632A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0C400C" w:rsidRPr="003732D8" w14:paraId="1FB21375" w14:textId="77777777" w:rsidTr="00945189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B557" w14:textId="37AEF3AB" w:rsidR="000C400C" w:rsidRPr="00945189" w:rsidRDefault="00C62E3D" w:rsidP="00945189">
            <w:pPr>
              <w:pStyle w:val="Heading1"/>
            </w:pPr>
            <w:r>
              <w:t xml:space="preserve">Epoxy paste for seating of prestressed concrete deck and kerb units – Transport and Main Roads Registered Products </w:t>
            </w:r>
            <w:r w:rsidR="000C400C" w:rsidRPr="00945189">
              <w:t>(Clause</w:t>
            </w:r>
            <w:r>
              <w:t>s </w:t>
            </w:r>
            <w:r w:rsidR="000675E3">
              <w:t xml:space="preserve">6.1, </w:t>
            </w:r>
            <w:r>
              <w:t>6.4 and 7.3.3</w:t>
            </w:r>
            <w:r w:rsidR="000C400C" w:rsidRPr="00945189">
              <w:t>)</w:t>
            </w:r>
          </w:p>
          <w:p w14:paraId="5543A8DD" w14:textId="77777777" w:rsidR="000C400C" w:rsidRPr="00945189" w:rsidRDefault="000C400C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945189">
              <w:t xml:space="preserve">The following </w:t>
            </w:r>
            <w:r w:rsidR="00C62E3D">
              <w:t>products are registered for use</w:t>
            </w:r>
            <w:r w:rsidRPr="00945189">
              <w:t>.</w:t>
            </w:r>
          </w:p>
        </w:tc>
      </w:tr>
      <w:tr w:rsidR="000C400C" w:rsidRPr="00B13FA1" w14:paraId="72091089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DA13BEF" w14:textId="77777777" w:rsidR="000C400C" w:rsidRPr="00B13FA1" w:rsidRDefault="000C400C" w:rsidP="003B632A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FDC9" w14:textId="77777777" w:rsidR="000C400C" w:rsidRPr="00B13FA1" w:rsidRDefault="000C400C" w:rsidP="003B632A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C62E3D" w:rsidRPr="00945189" w14:paraId="5C6866DF" w14:textId="77777777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562C" w14:textId="553396CC" w:rsidR="00C62E3D" w:rsidRPr="00945189" w:rsidRDefault="00C62E3D" w:rsidP="00086DD7">
            <w:pPr>
              <w:pStyle w:val="Heading1"/>
            </w:pPr>
            <w:r>
              <w:lastRenderedPageBreak/>
              <w:t xml:space="preserve">Surface tolerant epoxy for </w:t>
            </w:r>
            <w:r w:rsidR="000675E3">
              <w:t xml:space="preserve">cut off lifting hoop anchors, </w:t>
            </w:r>
            <w:r>
              <w:t xml:space="preserve">cast in lifting anchor and anchorage protection – Transport and Main Roads Registered Products </w:t>
            </w:r>
            <w:r w:rsidRPr="00945189">
              <w:t>(Clause</w:t>
            </w:r>
            <w:r>
              <w:t>s</w:t>
            </w:r>
            <w:r w:rsidRPr="00945189">
              <w:t> </w:t>
            </w:r>
            <w:r>
              <w:t>6.1, 10.3, 10.4</w:t>
            </w:r>
            <w:r w:rsidR="002F2683">
              <w:t> </w:t>
            </w:r>
            <w:r>
              <w:t>and 11.1</w:t>
            </w:r>
            <w:r w:rsidRPr="00945189">
              <w:t>)</w:t>
            </w:r>
          </w:p>
          <w:p w14:paraId="1A12C04F" w14:textId="77777777" w:rsidR="00C62E3D" w:rsidRPr="00945189" w:rsidRDefault="00C62E3D" w:rsidP="00086DD7">
            <w:pPr>
              <w:pStyle w:val="BodyText"/>
              <w:ind w:left="609"/>
              <w:rPr>
                <w:rStyle w:val="AnnexStyle1"/>
                <w:rFonts w:ascii="Arial" w:hAnsi="Arial"/>
                <w:color w:val="auto"/>
                <w:sz w:val="20"/>
              </w:rPr>
            </w:pPr>
            <w:r w:rsidRPr="00945189">
              <w:t xml:space="preserve">The following products are </w:t>
            </w:r>
            <w:r>
              <w:t>registered for use</w:t>
            </w:r>
            <w:r w:rsidRPr="00945189">
              <w:t>.</w:t>
            </w:r>
          </w:p>
        </w:tc>
      </w:tr>
      <w:tr w:rsidR="008565EC" w:rsidRPr="00B13FA1" w14:paraId="4C6CD423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F607D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656F55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C62E3D" w:rsidRPr="00945189" w14:paraId="77B351CB" w14:textId="77777777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2EC4" w14:textId="77777777" w:rsidR="00C62E3D" w:rsidRPr="00945189" w:rsidRDefault="00C62E3D" w:rsidP="00086DD7">
            <w:pPr>
              <w:pStyle w:val="Heading1"/>
              <w:tabs>
                <w:tab w:val="clear" w:pos="574"/>
              </w:tabs>
            </w:pPr>
            <w:r>
              <w:t xml:space="preserve">Wet-to-dry epoxy for transverse stressing anchorage recesses – Transport and </w:t>
            </w:r>
            <w:r w:rsidRPr="00945189">
              <w:t>M</w:t>
            </w:r>
            <w:r>
              <w:t xml:space="preserve">ain Roads Registered Products </w:t>
            </w:r>
            <w:r w:rsidRPr="00945189">
              <w:t>(Clause</w:t>
            </w:r>
            <w:r>
              <w:t>s</w:t>
            </w:r>
            <w:r w:rsidRPr="00945189">
              <w:t> </w:t>
            </w:r>
            <w:r>
              <w:t>6.1 and 11.2</w:t>
            </w:r>
            <w:r w:rsidRPr="00945189">
              <w:t>)</w:t>
            </w:r>
          </w:p>
          <w:p w14:paraId="28F5C5D5" w14:textId="77777777" w:rsidR="00C62E3D" w:rsidRPr="00945189" w:rsidRDefault="00C62E3D" w:rsidP="00086DD7">
            <w:pPr>
              <w:pStyle w:val="BodyText"/>
              <w:ind w:firstLine="609"/>
              <w:rPr>
                <w:rStyle w:val="AnnexStyle1"/>
                <w:rFonts w:ascii="Arial" w:hAnsi="Arial"/>
                <w:color w:val="auto"/>
                <w:sz w:val="20"/>
              </w:rPr>
            </w:pPr>
            <w:r w:rsidRPr="00945189">
              <w:t xml:space="preserve">The following products are </w:t>
            </w:r>
            <w:r>
              <w:t xml:space="preserve">registered </w:t>
            </w:r>
            <w:r w:rsidRPr="00945189">
              <w:t>for use.</w:t>
            </w:r>
          </w:p>
        </w:tc>
      </w:tr>
      <w:tr w:rsidR="008565EC" w:rsidRPr="00B13FA1" w14:paraId="359E0E9A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DBA6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D82F5E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C62E3D" w:rsidRPr="00945189" w14:paraId="265481F9" w14:textId="77777777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3018A" w14:textId="77777777" w:rsidR="00C62E3D" w:rsidRPr="00945189" w:rsidRDefault="00C62E3D" w:rsidP="00086DD7">
            <w:pPr>
              <w:pStyle w:val="Heading1"/>
            </w:pPr>
            <w:r>
              <w:t>Supplementary requirements (</w:t>
            </w:r>
            <w:r w:rsidRPr="00945189">
              <w:t>Clause</w:t>
            </w:r>
            <w:r>
              <w:t> 13</w:t>
            </w:r>
            <w:r w:rsidRPr="00945189">
              <w:t>)</w:t>
            </w:r>
          </w:p>
          <w:p w14:paraId="077ECB93" w14:textId="77777777" w:rsidR="00C62E3D" w:rsidRPr="00945189" w:rsidRDefault="00C62E3D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945189">
              <w:t xml:space="preserve">The following </w:t>
            </w:r>
            <w:r>
              <w:t>supplementary requirements shall apply</w:t>
            </w:r>
            <w:r w:rsidRPr="00945189">
              <w:t>.</w:t>
            </w:r>
          </w:p>
        </w:tc>
      </w:tr>
      <w:tr w:rsidR="008565EC" w:rsidRPr="00B13FA1" w14:paraId="79B03AE4" w14:textId="77777777" w:rsidTr="008565EC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AF072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B707BA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78D0323D" w14:textId="77777777" w:rsidR="000C400C" w:rsidRDefault="000C400C" w:rsidP="000C400C">
      <w:pPr>
        <w:rPr>
          <w:rFonts w:cs="Arial"/>
        </w:rPr>
      </w:pPr>
    </w:p>
    <w:sectPr w:rsidR="000C400C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D9BD" w14:textId="77777777" w:rsidR="00EF2FDD" w:rsidRDefault="00EF2FDD">
      <w:r>
        <w:separator/>
      </w:r>
    </w:p>
    <w:p w14:paraId="3B5DDCB6" w14:textId="77777777" w:rsidR="00EF2FDD" w:rsidRDefault="00EF2FDD"/>
  </w:endnote>
  <w:endnote w:type="continuationSeparator" w:id="0">
    <w:p w14:paraId="7732220E" w14:textId="77777777" w:rsidR="00EF2FDD" w:rsidRDefault="00EF2FDD">
      <w:r>
        <w:continuationSeparator/>
      </w:r>
    </w:p>
    <w:p w14:paraId="59516F8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73DE" w14:textId="290E3DF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0675E3">
      <w:t>November</w:t>
    </w:r>
    <w:r w:rsidR="0036648E">
      <w:t> </w:t>
    </w:r>
    <w:r w:rsidR="00082D78">
      <w:t>20</w:t>
    </w:r>
    <w:r w:rsidR="000675E3">
      <w:t>23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36461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D952" w14:textId="77777777" w:rsidR="00EF2FDD" w:rsidRDefault="00EF2FDD">
      <w:r>
        <w:separator/>
      </w:r>
    </w:p>
    <w:p w14:paraId="26FDEF30" w14:textId="77777777" w:rsidR="00EF2FDD" w:rsidRDefault="00EF2FDD"/>
  </w:footnote>
  <w:footnote w:type="continuationSeparator" w:id="0">
    <w:p w14:paraId="5242820F" w14:textId="77777777" w:rsidR="00EF2FDD" w:rsidRDefault="00EF2FDD">
      <w:r>
        <w:continuationSeparator/>
      </w:r>
    </w:p>
    <w:p w14:paraId="5C84654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E551" w14:textId="31919215" w:rsidR="00CE3694" w:rsidRPr="00082D78" w:rsidRDefault="00082D78" w:rsidP="00C62E3D">
    <w:pPr>
      <w:pStyle w:val="HeaderChapterpart"/>
    </w:pPr>
    <w:r>
      <w:t xml:space="preserve">Technical </w:t>
    </w:r>
    <w:r w:rsidRPr="006A3DE9">
      <w:t>S</w:t>
    </w:r>
    <w:r>
      <w:t xml:space="preserve">pecification Annexure, </w:t>
    </w:r>
    <w:r w:rsidRPr="003732D8">
      <w:t>MRTS74.1</w:t>
    </w:r>
    <w:r w:rsidR="0036648E">
      <w:t> </w:t>
    </w:r>
    <w:r w:rsidRPr="003732D8">
      <w:t>Supply and Erection of Prestressed Concrete Deck</w:t>
    </w:r>
    <w:r w:rsidR="00E266DD">
      <w:t xml:space="preserve"> Units</w:t>
    </w:r>
    <w:r w:rsidR="000675E3">
      <w:t xml:space="preserve">, </w:t>
    </w:r>
    <w:r w:rsidRPr="003732D8">
      <w:t>Kerb Units</w:t>
    </w:r>
    <w:r w:rsidR="000675E3">
      <w:t xml:space="preserve"> and Winged Planks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FB5FF0"/>
    <w:multiLevelType w:val="hybridMultilevel"/>
    <w:tmpl w:val="E0F4768E"/>
    <w:lvl w:ilvl="0" w:tplc="FFFFFFFF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5174725">
    <w:abstractNumId w:val="4"/>
  </w:num>
  <w:num w:numId="2" w16cid:durableId="1879932148">
    <w:abstractNumId w:val="9"/>
  </w:num>
  <w:num w:numId="3" w16cid:durableId="2037341542">
    <w:abstractNumId w:val="11"/>
  </w:num>
  <w:num w:numId="4" w16cid:durableId="190068064">
    <w:abstractNumId w:val="0"/>
  </w:num>
  <w:num w:numId="5" w16cid:durableId="1755979138">
    <w:abstractNumId w:val="6"/>
  </w:num>
  <w:num w:numId="6" w16cid:durableId="1570919002">
    <w:abstractNumId w:val="5"/>
  </w:num>
  <w:num w:numId="7" w16cid:durableId="1852597353">
    <w:abstractNumId w:val="2"/>
  </w:num>
  <w:num w:numId="8" w16cid:durableId="1186793472">
    <w:abstractNumId w:val="8"/>
  </w:num>
  <w:num w:numId="9" w16cid:durableId="2058162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30132">
    <w:abstractNumId w:val="1"/>
  </w:num>
  <w:num w:numId="11" w16cid:durableId="2081903395">
    <w:abstractNumId w:val="3"/>
  </w:num>
  <w:num w:numId="12" w16cid:durableId="1310591938">
    <w:abstractNumId w:val="10"/>
  </w:num>
  <w:num w:numId="13" w16cid:durableId="557087022">
    <w:abstractNumId w:val="4"/>
  </w:num>
  <w:num w:numId="14" w16cid:durableId="1539859409">
    <w:abstractNumId w:val="4"/>
  </w:num>
  <w:num w:numId="15" w16cid:durableId="17584035">
    <w:abstractNumId w:val="4"/>
  </w:num>
  <w:num w:numId="16" w16cid:durableId="167877651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675E3"/>
    <w:rsid w:val="00070044"/>
    <w:rsid w:val="0007027D"/>
    <w:rsid w:val="0007165A"/>
    <w:rsid w:val="00075B74"/>
    <w:rsid w:val="00080E05"/>
    <w:rsid w:val="00082D78"/>
    <w:rsid w:val="000913ED"/>
    <w:rsid w:val="000964E2"/>
    <w:rsid w:val="00096FC7"/>
    <w:rsid w:val="000A31F1"/>
    <w:rsid w:val="000B047B"/>
    <w:rsid w:val="000B71E8"/>
    <w:rsid w:val="000C400C"/>
    <w:rsid w:val="000E1CE3"/>
    <w:rsid w:val="0010528D"/>
    <w:rsid w:val="00115E98"/>
    <w:rsid w:val="00117AA8"/>
    <w:rsid w:val="0012298C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D3806"/>
    <w:rsid w:val="001E28D4"/>
    <w:rsid w:val="001E3E78"/>
    <w:rsid w:val="001F2035"/>
    <w:rsid w:val="00216756"/>
    <w:rsid w:val="00216F79"/>
    <w:rsid w:val="00217457"/>
    <w:rsid w:val="00223BD8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2F2683"/>
    <w:rsid w:val="0030503A"/>
    <w:rsid w:val="00305BD7"/>
    <w:rsid w:val="003108B7"/>
    <w:rsid w:val="00315F53"/>
    <w:rsid w:val="00322F9D"/>
    <w:rsid w:val="003231FA"/>
    <w:rsid w:val="00324F91"/>
    <w:rsid w:val="00324FBC"/>
    <w:rsid w:val="003310DF"/>
    <w:rsid w:val="003323B1"/>
    <w:rsid w:val="00336228"/>
    <w:rsid w:val="0034310D"/>
    <w:rsid w:val="00350E10"/>
    <w:rsid w:val="00361264"/>
    <w:rsid w:val="00363C04"/>
    <w:rsid w:val="0036648E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36461"/>
    <w:rsid w:val="004525EA"/>
    <w:rsid w:val="00453989"/>
    <w:rsid w:val="00456933"/>
    <w:rsid w:val="00456A07"/>
    <w:rsid w:val="00477792"/>
    <w:rsid w:val="00477962"/>
    <w:rsid w:val="0048095B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308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31FB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B172B"/>
    <w:rsid w:val="007C4319"/>
    <w:rsid w:val="007D0963"/>
    <w:rsid w:val="007D238D"/>
    <w:rsid w:val="007D76AC"/>
    <w:rsid w:val="00811807"/>
    <w:rsid w:val="00836DC0"/>
    <w:rsid w:val="008565EC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189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503F2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359"/>
    <w:rsid w:val="00BF373B"/>
    <w:rsid w:val="00BF7B37"/>
    <w:rsid w:val="00C12DF8"/>
    <w:rsid w:val="00C15F7F"/>
    <w:rsid w:val="00C3039A"/>
    <w:rsid w:val="00C33EEE"/>
    <w:rsid w:val="00C34106"/>
    <w:rsid w:val="00C352F9"/>
    <w:rsid w:val="00C37C4F"/>
    <w:rsid w:val="00C456DF"/>
    <w:rsid w:val="00C50278"/>
    <w:rsid w:val="00C62500"/>
    <w:rsid w:val="00C62E3D"/>
    <w:rsid w:val="00C76378"/>
    <w:rsid w:val="00C81006"/>
    <w:rsid w:val="00C965C0"/>
    <w:rsid w:val="00CA107F"/>
    <w:rsid w:val="00CA3157"/>
    <w:rsid w:val="00CA4B9D"/>
    <w:rsid w:val="00CB07D7"/>
    <w:rsid w:val="00CC22DF"/>
    <w:rsid w:val="00CC4CFC"/>
    <w:rsid w:val="00CD30F9"/>
    <w:rsid w:val="00CE3694"/>
    <w:rsid w:val="00CE6618"/>
    <w:rsid w:val="00CE6F6C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266DD"/>
    <w:rsid w:val="00E42F6C"/>
    <w:rsid w:val="00E57C45"/>
    <w:rsid w:val="00E70EA9"/>
    <w:rsid w:val="00E8162F"/>
    <w:rsid w:val="00E83669"/>
    <w:rsid w:val="00E84619"/>
    <w:rsid w:val="00E96F32"/>
    <w:rsid w:val="00EA319A"/>
    <w:rsid w:val="00EC0517"/>
    <w:rsid w:val="00EC0DC4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6DC8216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CC22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CC22DF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84</TotalTime>
  <Pages>2</Pages>
  <Words>185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MRTS74.1 - Annexure</vt:lpstr>
    </vt:vector>
  </TitlesOfParts>
  <Company>Department of Transport and Main Roads</Company>
  <LinksUpToDate>false</LinksUpToDate>
  <CharactersWithSpaces>1321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MRTS74.1 - Annexure</dc:title>
  <dc:subject>Supply and Erection of Prestressed Concrete Deck and Kerb Units</dc:subject>
  <dc:creator>Department of Transport and Main Roads</dc:creator>
  <cp:keywords>Specification; Technical; Standard; Contract; Tender; Construction; Design</cp:keywords>
  <dc:description/>
  <cp:lastModifiedBy>Courtney M West</cp:lastModifiedBy>
  <cp:revision>27</cp:revision>
  <cp:lastPrinted>2013-06-20T03:17:00Z</cp:lastPrinted>
  <dcterms:created xsi:type="dcterms:W3CDTF">2017-03-28T06:21:00Z</dcterms:created>
  <dcterms:modified xsi:type="dcterms:W3CDTF">2023-11-02T03:56:00Z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