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3861E9" w14:paraId="2206FD5A" w14:textId="77777777" w:rsidTr="00C061EC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DD2E3B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434050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EC536E2" wp14:editId="4ED76E24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59F350F8" w14:textId="77777777" w:rsidTr="00C061EC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239B2" w14:textId="6BC020AC" w:rsidR="003861E9" w:rsidRPr="00070033" w:rsidRDefault="00633FD9" w:rsidP="0000011C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Annexure </w:t>
            </w:r>
            <w:r w:rsidR="00BC13C9">
              <w:rPr>
                <w:b/>
                <w:sz w:val="40"/>
                <w:szCs w:val="40"/>
              </w:rPr>
              <w:t>MRTS</w:t>
            </w:r>
            <w:r w:rsidR="00376127">
              <w:rPr>
                <w:b/>
                <w:sz w:val="40"/>
                <w:szCs w:val="40"/>
              </w:rPr>
              <w:t>115</w:t>
            </w:r>
            <w:r w:rsidR="003861E9" w:rsidRPr="00070033">
              <w:rPr>
                <w:b/>
                <w:sz w:val="40"/>
                <w:szCs w:val="40"/>
              </w:rPr>
              <w:t>.1</w:t>
            </w:r>
            <w:r w:rsidR="00780C27">
              <w:rPr>
                <w:b/>
                <w:sz w:val="40"/>
                <w:szCs w:val="40"/>
              </w:rPr>
              <w:t> </w:t>
            </w:r>
            <w:r w:rsidR="000457F1" w:rsidRPr="000457F1">
              <w:rPr>
                <w:b/>
                <w:sz w:val="32"/>
                <w:szCs w:val="40"/>
              </w:rPr>
              <w:t>(</w:t>
            </w:r>
            <w:r w:rsidR="00BC13C9">
              <w:rPr>
                <w:b/>
                <w:sz w:val="32"/>
                <w:szCs w:val="40"/>
              </w:rPr>
              <w:t>July 202</w:t>
            </w:r>
            <w:r w:rsidR="00004B7C">
              <w:rPr>
                <w:b/>
                <w:sz w:val="32"/>
                <w:szCs w:val="40"/>
              </w:rPr>
              <w:t>4</w:t>
            </w:r>
            <w:r w:rsidR="000457F1" w:rsidRPr="000457F1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C0686" w14:textId="77777777" w:rsidR="003861E9" w:rsidRDefault="003861E9" w:rsidP="003000CD">
            <w:pPr>
              <w:pStyle w:val="BodyText"/>
            </w:pPr>
          </w:p>
        </w:tc>
      </w:tr>
      <w:tr w:rsidR="003861E9" w14:paraId="0D211D31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61D12" w14:textId="04BD5AF5" w:rsidR="003861E9" w:rsidRPr="00070033" w:rsidRDefault="00765092" w:rsidP="0000011C">
            <w:pPr>
              <w:pStyle w:val="BodyText"/>
              <w:rPr>
                <w:b/>
                <w:sz w:val="40"/>
                <w:szCs w:val="40"/>
              </w:rPr>
            </w:pPr>
            <w:r w:rsidRPr="00765092">
              <w:rPr>
                <w:b/>
                <w:sz w:val="40"/>
                <w:szCs w:val="40"/>
              </w:rPr>
              <w:t xml:space="preserve">Insitu Stabilised </w:t>
            </w:r>
            <w:r w:rsidR="000364E9">
              <w:rPr>
                <w:b/>
                <w:sz w:val="40"/>
                <w:szCs w:val="40"/>
              </w:rPr>
              <w:t>Subbases</w:t>
            </w:r>
            <w:r w:rsidR="0000011C">
              <w:rPr>
                <w:b/>
                <w:sz w:val="40"/>
                <w:szCs w:val="40"/>
              </w:rPr>
              <w:t xml:space="preserve"> </w:t>
            </w:r>
            <w:r w:rsidRPr="00765092">
              <w:rPr>
                <w:b/>
                <w:sz w:val="40"/>
                <w:szCs w:val="40"/>
              </w:rPr>
              <w:t xml:space="preserve">using </w:t>
            </w:r>
            <w:r w:rsidR="00BC13C9">
              <w:rPr>
                <w:b/>
                <w:sz w:val="40"/>
                <w:szCs w:val="40"/>
              </w:rPr>
              <w:t>Triple Blend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639B8" w14:textId="77777777" w:rsidR="003861E9" w:rsidRDefault="003861E9" w:rsidP="003000CD">
            <w:pPr>
              <w:pStyle w:val="BodyText"/>
            </w:pPr>
          </w:p>
        </w:tc>
      </w:tr>
      <w:tr w:rsidR="003861E9" w14:paraId="2B7DCFDB" w14:textId="77777777" w:rsidTr="00C061EC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699001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660D6" w14:textId="77777777" w:rsidR="003861E9" w:rsidRDefault="003861E9" w:rsidP="003000CD">
            <w:pPr>
              <w:pStyle w:val="BodyText"/>
            </w:pPr>
          </w:p>
        </w:tc>
      </w:tr>
      <w:tr w:rsidR="003861E9" w14:paraId="7A7B7911" w14:textId="77777777" w:rsidTr="00C061EC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BBD6F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BEF9A2" w14:textId="77777777" w:rsidR="003861E9" w:rsidRDefault="003861E9" w:rsidP="003000CD">
            <w:pPr>
              <w:pStyle w:val="BodyText"/>
            </w:pPr>
          </w:p>
        </w:tc>
      </w:tr>
      <w:tr w:rsidR="003861E9" w14:paraId="088CC2AE" w14:textId="77777777" w:rsidTr="00C061EC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06A5F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DBF9D" w14:textId="77777777" w:rsidR="003861E9" w:rsidRDefault="003861E9" w:rsidP="003000CD">
            <w:pPr>
              <w:pStyle w:val="BodyText"/>
            </w:pPr>
          </w:p>
        </w:tc>
      </w:tr>
      <w:tr w:rsidR="003861E9" w14:paraId="4001E2AB" w14:textId="77777777" w:rsidTr="00C061EC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53C1E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980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CF0BBB" w14:textId="77777777" w:rsidR="003861E9" w:rsidRDefault="003861E9" w:rsidP="003000CD">
            <w:pPr>
              <w:pStyle w:val="BodyText"/>
            </w:pPr>
          </w:p>
        </w:tc>
      </w:tr>
      <w:tr w:rsidR="003861E9" w14:paraId="72CC26A5" w14:textId="77777777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619CE1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640A3171" w14:textId="77777777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F39003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E89789" w14:textId="439B4559" w:rsidR="003861E9" w:rsidRPr="000157C6" w:rsidRDefault="00765092" w:rsidP="0000011C">
            <w:pPr>
              <w:pStyle w:val="BodyText"/>
              <w:rPr>
                <w:rStyle w:val="BodyTextbold"/>
              </w:rPr>
            </w:pPr>
            <w:r w:rsidRPr="00765092">
              <w:rPr>
                <w:rStyle w:val="BodyTextbold"/>
              </w:rPr>
              <w:t>Clause references within brackets in this Annexure refer to Clauses in the</w:t>
            </w:r>
            <w:r>
              <w:rPr>
                <w:rStyle w:val="BodyTextbold"/>
              </w:rPr>
              <w:t xml:space="preserve"> parent Technical Specification </w:t>
            </w:r>
            <w:r w:rsidR="00BC13C9">
              <w:rPr>
                <w:rStyle w:val="BodyTextbold"/>
              </w:rPr>
              <w:t>MRTS</w:t>
            </w:r>
            <w:r w:rsidR="00376127">
              <w:rPr>
                <w:rStyle w:val="BodyTextbold"/>
              </w:rPr>
              <w:t>115</w:t>
            </w:r>
            <w:r w:rsidRPr="00765092">
              <w:rPr>
                <w:rStyle w:val="BodyTextbold"/>
              </w:rPr>
              <w:t xml:space="preserve"> unless otherwise noted.</w:t>
            </w:r>
          </w:p>
        </w:tc>
      </w:tr>
    </w:tbl>
    <w:p w14:paraId="7617B19C" w14:textId="5869D750" w:rsidR="00080E05" w:rsidRPr="005B050C" w:rsidRDefault="00633FD9" w:rsidP="00765092">
      <w:pPr>
        <w:pStyle w:val="HeadingPartChapter"/>
        <w:spacing w:before="240"/>
        <w:rPr>
          <w:sz w:val="22"/>
        </w:rPr>
      </w:pPr>
      <w:r w:rsidRPr="005B050C">
        <w:rPr>
          <w:sz w:val="22"/>
        </w:rPr>
        <w:t>Part </w:t>
      </w:r>
      <w:r w:rsidR="00765092" w:rsidRPr="005B050C">
        <w:rPr>
          <w:sz w:val="22"/>
        </w:rPr>
        <w:t>A</w:t>
      </w:r>
      <w:r w:rsidR="00780C27">
        <w:rPr>
          <w:rFonts w:hint="eastAsia"/>
          <w:sz w:val="22"/>
        </w:rPr>
        <w:t> </w:t>
      </w:r>
      <w:r w:rsidR="00765092" w:rsidRPr="005B050C">
        <w:rPr>
          <w:sz w:val="22"/>
        </w:rPr>
        <w:t>–</w:t>
      </w:r>
      <w:r w:rsidR="00780C27">
        <w:rPr>
          <w:rFonts w:hint="eastAsia"/>
          <w:sz w:val="22"/>
        </w:rPr>
        <w:t> </w:t>
      </w:r>
      <w:r w:rsidR="00765092" w:rsidRPr="005B050C">
        <w:rPr>
          <w:sz w:val="22"/>
        </w:rPr>
        <w:t>Completed by Principal as part of brief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536"/>
      </w:tblGrid>
      <w:tr w:rsidR="003861E9" w14:paraId="10F53414" w14:textId="77777777" w:rsidTr="007E63FB">
        <w:trPr>
          <w:trHeight w:val="578"/>
        </w:trPr>
        <w:tc>
          <w:tcPr>
            <w:tcW w:w="9072" w:type="dxa"/>
            <w:gridSpan w:val="3"/>
          </w:tcPr>
          <w:p w14:paraId="0605ADA7" w14:textId="1CC505F6" w:rsidR="003861E9" w:rsidRPr="00A87F08" w:rsidRDefault="004D7403" w:rsidP="00765092">
            <w:pPr>
              <w:pStyle w:val="Heading1"/>
            </w:pPr>
            <w:r>
              <w:t>Quality system requirements</w:t>
            </w:r>
            <w:r w:rsidR="00780C27">
              <w:t> </w:t>
            </w:r>
            <w:r>
              <w:t>(Clause</w:t>
            </w:r>
            <w:r w:rsidR="00633FD9">
              <w:t> </w:t>
            </w:r>
            <w:r w:rsidR="00765092" w:rsidRPr="00765092">
              <w:t>5.4</w:t>
            </w:r>
            <w:r>
              <w:t>)</w:t>
            </w:r>
          </w:p>
          <w:p w14:paraId="22E39C70" w14:textId="23962BB6" w:rsidR="003861E9" w:rsidRPr="00070033" w:rsidRDefault="004D7403" w:rsidP="00765092">
            <w:pPr>
              <w:pStyle w:val="Heading2"/>
            </w:pPr>
            <w:r>
              <w:t>Lot sizes</w:t>
            </w:r>
          </w:p>
        </w:tc>
      </w:tr>
      <w:tr w:rsidR="00C456DF" w14:paraId="3939AA32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0A0810" w14:textId="77777777" w:rsidR="00C456DF" w:rsidRDefault="00C456DF" w:rsidP="0007027D">
            <w:pPr>
              <w:pStyle w:val="BodyText"/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423AE" w14:textId="01CEEDD2" w:rsidR="00C456DF" w:rsidRDefault="00765092" w:rsidP="0017085D">
            <w:pPr>
              <w:pStyle w:val="BodyText"/>
            </w:pPr>
            <w:r w:rsidRPr="00765092">
              <w:t xml:space="preserve">The following </w:t>
            </w:r>
            <w:r w:rsidR="0017085D">
              <w:t>m</w:t>
            </w:r>
            <w:r w:rsidR="004D7403">
              <w:t>aximum lot sizes shall apply to work covered by this Technical Specification.</w:t>
            </w:r>
          </w:p>
        </w:tc>
      </w:tr>
      <w:tr w:rsidR="004D7403" w:rsidRPr="00080E05" w14:paraId="690C5470" w14:textId="77777777" w:rsidTr="004D7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B74DF1D" w14:textId="57C4400A" w:rsidR="004D7403" w:rsidRPr="00766E91" w:rsidRDefault="004D7403" w:rsidP="00780C27">
            <w:pPr>
              <w:pStyle w:val="TableHeading"/>
            </w:pPr>
            <w:r>
              <w:t>Construction Activity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A0488E" w14:textId="1ED9B187" w:rsidR="004D7403" w:rsidRDefault="004D7403" w:rsidP="00780C27">
            <w:pPr>
              <w:pStyle w:val="TableHeading"/>
            </w:pPr>
            <w:r>
              <w:t>Maximum Lot Size</w:t>
            </w:r>
          </w:p>
        </w:tc>
      </w:tr>
      <w:tr w:rsidR="004D7403" w:rsidRPr="00080E05" w14:paraId="3F62C6EE" w14:textId="77777777" w:rsidTr="00B404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6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7F39" w14:textId="5682DA1C" w:rsidR="004D7403" w:rsidRPr="004D7403" w:rsidRDefault="004D7403" w:rsidP="00780C27">
            <w:pPr>
              <w:pStyle w:val="TableBodyText"/>
            </w:pPr>
            <w:r w:rsidRPr="004D74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4CDA6" wp14:editId="1D0DF630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-10795</wp:posOffset>
                      </wp:positionV>
                      <wp:extent cx="5029200" cy="4953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4953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CB50B" w14:textId="7B6A9A45" w:rsidR="004D7403" w:rsidRPr="0000011C" w:rsidRDefault="004D7403" w:rsidP="0000011C">
                                  <w:pPr>
                                    <w:pStyle w:val="TableBodyText"/>
                                  </w:pPr>
                                  <w:r w:rsidRPr="0000011C">
                                    <w:t xml:space="preserve">Default lot sizes are provided in Appendix A of </w:t>
                                  </w:r>
                                  <w:r w:rsidR="00BC13C9">
                                    <w:t>MRTS</w:t>
                                  </w:r>
                                  <w:r w:rsidR="00376127">
                                    <w:t>115</w:t>
                                  </w:r>
                                  <w:r w:rsidRPr="0000011C">
                                    <w:t>. This table should only</w:t>
                                  </w:r>
                                  <w:r w:rsidR="0017085D" w:rsidRPr="0000011C">
                                    <w:t xml:space="preserve"> be </w:t>
                                  </w:r>
                                  <w:r w:rsidRPr="0000011C">
                                    <w:t>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4CDA6" id="Rectangle 2" o:spid="_x0000_s1026" style="position:absolute;left:0;text-align:left;margin-left:21.95pt;margin-top:-.85pt;width:396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" fillcolor="white [3201]" strokecolor="black [3200]" strokeweight=".5pt">
                      <v:textbox>
                        <w:txbxContent>
                          <w:p w14:paraId="477CB50B" w14:textId="7B6A9A45" w:rsidR="004D7403" w:rsidRPr="0000011C" w:rsidRDefault="004D7403" w:rsidP="0000011C">
                            <w:pPr>
                              <w:pStyle w:val="TableBodyText"/>
                            </w:pPr>
                            <w:r w:rsidRPr="0000011C">
                              <w:t xml:space="preserve">Default lot sizes are provided in Appendix A of </w:t>
                            </w:r>
                            <w:r w:rsidR="00BC13C9">
                              <w:t>MRTS</w:t>
                            </w:r>
                            <w:r w:rsidR="00376127">
                              <w:t>115</w:t>
                            </w:r>
                            <w:r w:rsidRPr="0000011C">
                              <w:t>. This table should only</w:t>
                            </w:r>
                            <w:r w:rsidR="0017085D" w:rsidRPr="0000011C">
                              <w:t xml:space="preserve"> be </w:t>
                            </w:r>
                            <w:r w:rsidRPr="0000011C">
                              <w:t>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E08A" w14:textId="287C0DBB" w:rsidR="004D7403" w:rsidRPr="004D7403" w:rsidRDefault="004D7403" w:rsidP="00780C27">
            <w:pPr>
              <w:pStyle w:val="TableBodyText"/>
            </w:pPr>
          </w:p>
        </w:tc>
      </w:tr>
    </w:tbl>
    <w:p w14:paraId="5612CDF9" w14:textId="39F065EC" w:rsidR="003861E9" w:rsidRDefault="003861E9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268"/>
        <w:gridCol w:w="2117"/>
        <w:gridCol w:w="2265"/>
        <w:gridCol w:w="12"/>
      </w:tblGrid>
      <w:tr w:rsidR="00BF3D1B" w14:paraId="282F2290" w14:textId="77777777" w:rsidTr="0042786E">
        <w:trPr>
          <w:trHeight w:val="578"/>
        </w:trPr>
        <w:tc>
          <w:tcPr>
            <w:tcW w:w="9072" w:type="dxa"/>
            <w:gridSpan w:val="6"/>
          </w:tcPr>
          <w:p w14:paraId="7968E7FD" w14:textId="6C4B3A36" w:rsidR="00BF3D1B" w:rsidRPr="00A87F08" w:rsidRDefault="00BF3D1B" w:rsidP="00BF3D1B">
            <w:pPr>
              <w:pStyle w:val="Heading2"/>
            </w:pPr>
            <w:r>
              <w:t>Testing frequencies</w:t>
            </w:r>
          </w:p>
          <w:p w14:paraId="4898C7A0" w14:textId="7B2D5E97" w:rsidR="00BF3D1B" w:rsidRPr="00070033" w:rsidRDefault="0000011C" w:rsidP="0000011C">
            <w:pPr>
              <w:pStyle w:val="Heading3"/>
            </w:pPr>
            <w:r>
              <w:t xml:space="preserve">Additional material for shape correction and new material to replace </w:t>
            </w:r>
            <w:r w:rsidR="00BF3D1B">
              <w:t>unsuitable material</w:t>
            </w:r>
          </w:p>
        </w:tc>
      </w:tr>
      <w:tr w:rsidR="00BF3D1B" w14:paraId="272DD829" w14:textId="77777777" w:rsidTr="00427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4DB532" w14:textId="77777777" w:rsidR="00BF3D1B" w:rsidRDefault="00BF3D1B" w:rsidP="0042786E">
            <w:pPr>
              <w:pStyle w:val="BodyText"/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D128F" w14:textId="3D71482D" w:rsidR="00BF3D1B" w:rsidRDefault="00BF3D1B" w:rsidP="0000011C">
            <w:pPr>
              <w:pStyle w:val="BodyText"/>
            </w:pPr>
            <w:r>
              <w:t xml:space="preserve">The following minimum testing frequencies </w:t>
            </w:r>
            <w:r w:rsidR="0000011C">
              <w:t xml:space="preserve">for unbound pavement </w:t>
            </w:r>
            <w:r w:rsidR="00671C9C">
              <w:t xml:space="preserve">material </w:t>
            </w:r>
            <w:r w:rsidR="0000011C">
              <w:t>source and product testing shall apply.</w:t>
            </w:r>
          </w:p>
        </w:tc>
      </w:tr>
      <w:tr w:rsidR="00BF3D1B" w14:paraId="3418DF00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410" w:type="dxa"/>
            <w:gridSpan w:val="2"/>
            <w:vAlign w:val="top"/>
          </w:tcPr>
          <w:p w14:paraId="01C78F30" w14:textId="1CD9B0E2" w:rsidR="00BF3D1B" w:rsidRPr="00780C27" w:rsidRDefault="00BF3D1B" w:rsidP="00780C27">
            <w:pPr>
              <w:pStyle w:val="TableHeading"/>
            </w:pPr>
            <w:r w:rsidRPr="00780C27">
              <w:t>Property</w:t>
            </w:r>
          </w:p>
        </w:tc>
        <w:tc>
          <w:tcPr>
            <w:tcW w:w="2268" w:type="dxa"/>
            <w:vAlign w:val="top"/>
          </w:tcPr>
          <w:p w14:paraId="4DCC5CFA" w14:textId="66639103" w:rsidR="00BF3D1B" w:rsidRPr="00780C27" w:rsidRDefault="00BF3D1B" w:rsidP="00780C27">
            <w:pPr>
              <w:pStyle w:val="TableHeading"/>
            </w:pPr>
            <w:r w:rsidRPr="00780C27">
              <w:t>Test Method</w:t>
            </w:r>
          </w:p>
        </w:tc>
        <w:tc>
          <w:tcPr>
            <w:tcW w:w="2117" w:type="dxa"/>
            <w:vAlign w:val="top"/>
          </w:tcPr>
          <w:p w14:paraId="1108EA67" w14:textId="14BF01CD" w:rsidR="00BF3D1B" w:rsidRPr="00780C27" w:rsidRDefault="00BF3D1B" w:rsidP="00780C27">
            <w:pPr>
              <w:pStyle w:val="TableHeading"/>
            </w:pPr>
            <w:r w:rsidRPr="00780C27">
              <w:t>Normal Testing Level</w:t>
            </w:r>
          </w:p>
        </w:tc>
        <w:tc>
          <w:tcPr>
            <w:tcW w:w="2265" w:type="dxa"/>
            <w:vAlign w:val="top"/>
          </w:tcPr>
          <w:p w14:paraId="2B749F88" w14:textId="7EB4C38D" w:rsidR="00BF3D1B" w:rsidRPr="00780C27" w:rsidRDefault="00BF3D1B" w:rsidP="00780C27">
            <w:pPr>
              <w:pStyle w:val="TableHeading"/>
            </w:pPr>
            <w:r w:rsidRPr="00780C27">
              <w:t>Reduced Testing Level</w:t>
            </w:r>
          </w:p>
        </w:tc>
      </w:tr>
      <w:tr w:rsidR="00BF3D1B" w14:paraId="52777D37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59"/>
        </w:trPr>
        <w:tc>
          <w:tcPr>
            <w:tcW w:w="4678" w:type="dxa"/>
            <w:gridSpan w:val="3"/>
          </w:tcPr>
          <w:p w14:paraId="7C7732EE" w14:textId="16A72403" w:rsidR="00BF3D1B" w:rsidRDefault="00BF3D1B" w:rsidP="00780C27">
            <w:pPr>
              <w:pStyle w:val="TableBodyText"/>
            </w:pPr>
            <w:r w:rsidRPr="00BF3D1B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D3BB1" wp14:editId="5FC52A29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26035</wp:posOffset>
                      </wp:positionV>
                      <wp:extent cx="5200650" cy="6000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06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18D5B7" w14:textId="00A57A96" w:rsidR="00BF3D1B" w:rsidRDefault="00BF3D1B" w:rsidP="0000011C">
                                  <w:pPr>
                                    <w:pStyle w:val="TableBodyText"/>
                                  </w:pPr>
                                  <w:r>
                                    <w:t xml:space="preserve">Default testing frequencies are provided in 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Appendix A</w:t>
                                  </w:r>
                                  <w:r w:rsidR="00053FEC">
                                    <w:rPr>
                                      <w:rStyle w:val="TableBodyTextCharChar"/>
                                    </w:rPr>
                                    <w:t> 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of</w:t>
                                  </w:r>
                                  <w:r w:rsidR="00053FEC">
                                    <w:rPr>
                                      <w:rStyle w:val="TableBodyTextCharChar"/>
                                    </w:rPr>
                                    <w:t> </w:t>
                                  </w:r>
                                  <w:r w:rsidR="00BC13C9">
                                    <w:rPr>
                                      <w:rStyle w:val="TableBodyTextCharChar"/>
                                    </w:rPr>
                                    <w:t>MRTS</w:t>
                                  </w:r>
                                  <w:r w:rsidR="00376127">
                                    <w:rPr>
                                      <w:rStyle w:val="TableBodyTextCharChar"/>
                                    </w:rPr>
                                    <w:t>115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. This table</w:t>
                                  </w:r>
                                  <w:r>
                                    <w:t xml:space="preserve"> should only be used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3BB1" id="Rectangle 3" o:spid="_x0000_s1027" style="position:absolute;left:0;text-align:left;margin-left:15.95pt;margin-top:2.05pt;width:409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" fillcolor="window" strokecolor="windowText" strokeweight=".5pt">
                      <v:textbox>
                        <w:txbxContent>
                          <w:p w14:paraId="7A18D5B7" w14:textId="00A57A96" w:rsidR="00BF3D1B" w:rsidRDefault="00BF3D1B" w:rsidP="0000011C">
                            <w:pPr>
                              <w:pStyle w:val="TableBodyText"/>
                            </w:pPr>
                            <w:r>
                              <w:t xml:space="preserve">Default testing frequencies are provided in 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Appendix A</w:t>
                            </w:r>
                            <w:r w:rsidR="00053FEC">
                              <w:rPr>
                                <w:rStyle w:val="TableBodyTextCharChar"/>
                              </w:rPr>
                              <w:t> 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of</w:t>
                            </w:r>
                            <w:r w:rsidR="00053FEC">
                              <w:rPr>
                                <w:rStyle w:val="TableBodyTextCharChar"/>
                              </w:rPr>
                              <w:t> </w:t>
                            </w:r>
                            <w:r w:rsidR="00BC13C9">
                              <w:rPr>
                                <w:rStyle w:val="TableBodyTextCharChar"/>
                              </w:rPr>
                              <w:t>MRTS</w:t>
                            </w:r>
                            <w:r w:rsidR="00376127">
                              <w:rPr>
                                <w:rStyle w:val="TableBodyTextCharChar"/>
                              </w:rPr>
                              <w:t>115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. This table</w:t>
                            </w:r>
                            <w:r>
                              <w:t xml:space="preserve"> should only be used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82" w:type="dxa"/>
            <w:gridSpan w:val="2"/>
          </w:tcPr>
          <w:p w14:paraId="3A686856" w14:textId="77777777" w:rsidR="00BF3D1B" w:rsidRDefault="00BF3D1B" w:rsidP="00780C27">
            <w:pPr>
              <w:pStyle w:val="TableBodyText"/>
            </w:pPr>
          </w:p>
        </w:tc>
      </w:tr>
    </w:tbl>
    <w:p w14:paraId="5479DEC5" w14:textId="77777777" w:rsidR="00BF3D1B" w:rsidRDefault="00BF3D1B" w:rsidP="0064699C">
      <w:pPr>
        <w:pStyle w:val="BodyText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268"/>
        <w:gridCol w:w="2113"/>
        <w:gridCol w:w="2269"/>
        <w:gridCol w:w="12"/>
      </w:tblGrid>
      <w:tr w:rsidR="00B41AC0" w14:paraId="7F115A60" w14:textId="77777777" w:rsidTr="00B41AC0">
        <w:trPr>
          <w:trHeight w:val="578"/>
        </w:trPr>
        <w:tc>
          <w:tcPr>
            <w:tcW w:w="9072" w:type="dxa"/>
            <w:gridSpan w:val="6"/>
          </w:tcPr>
          <w:p w14:paraId="2CC790F9" w14:textId="37CC1912" w:rsidR="00B41AC0" w:rsidRPr="00070033" w:rsidRDefault="00B41AC0" w:rsidP="00B41AC0">
            <w:pPr>
              <w:pStyle w:val="Heading3"/>
            </w:pPr>
            <w:r>
              <w:lastRenderedPageBreak/>
              <w:t>Construction standards and geometrics</w:t>
            </w:r>
          </w:p>
        </w:tc>
      </w:tr>
      <w:tr w:rsidR="00B41AC0" w14:paraId="58B688B4" w14:textId="77777777" w:rsidTr="00B41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7C4FE5F" w14:textId="77777777" w:rsidR="00B41AC0" w:rsidRDefault="00B41AC0" w:rsidP="0042786E">
            <w:pPr>
              <w:pStyle w:val="BodyText"/>
            </w:pPr>
          </w:p>
        </w:tc>
        <w:tc>
          <w:tcPr>
            <w:tcW w:w="85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5F7920" w14:textId="7E6D64E9" w:rsidR="00B41AC0" w:rsidRDefault="00B41AC0" w:rsidP="00B41AC0">
            <w:pPr>
              <w:pStyle w:val="BodyText"/>
            </w:pPr>
            <w:r>
              <w:t>The following minimum construction standard and geometric testing shall apply.</w:t>
            </w:r>
          </w:p>
        </w:tc>
      </w:tr>
      <w:tr w:rsidR="00B41AC0" w14:paraId="450E6859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410" w:type="dxa"/>
            <w:gridSpan w:val="2"/>
            <w:vAlign w:val="top"/>
          </w:tcPr>
          <w:p w14:paraId="6DA7578D" w14:textId="77777777" w:rsidR="00B41AC0" w:rsidRPr="00780C27" w:rsidRDefault="00B41AC0" w:rsidP="00780C27">
            <w:pPr>
              <w:pStyle w:val="TableHeading"/>
            </w:pPr>
            <w:r w:rsidRPr="00780C27">
              <w:t>Property</w:t>
            </w:r>
          </w:p>
        </w:tc>
        <w:tc>
          <w:tcPr>
            <w:tcW w:w="2268" w:type="dxa"/>
            <w:vAlign w:val="top"/>
          </w:tcPr>
          <w:p w14:paraId="47D6A738" w14:textId="77777777" w:rsidR="00B41AC0" w:rsidRPr="00780C27" w:rsidRDefault="00B41AC0" w:rsidP="00780C27">
            <w:pPr>
              <w:pStyle w:val="TableHeading"/>
            </w:pPr>
            <w:r w:rsidRPr="00780C27">
              <w:t>Test Method</w:t>
            </w:r>
          </w:p>
        </w:tc>
        <w:tc>
          <w:tcPr>
            <w:tcW w:w="2113" w:type="dxa"/>
            <w:vAlign w:val="top"/>
          </w:tcPr>
          <w:p w14:paraId="10D9F7DF" w14:textId="77777777" w:rsidR="00B41AC0" w:rsidRPr="00780C27" w:rsidRDefault="00B41AC0" w:rsidP="00780C27">
            <w:pPr>
              <w:pStyle w:val="TableHeading"/>
            </w:pPr>
            <w:r w:rsidRPr="00780C27">
              <w:t>Normal Testing Level</w:t>
            </w:r>
          </w:p>
        </w:tc>
        <w:tc>
          <w:tcPr>
            <w:tcW w:w="2269" w:type="dxa"/>
            <w:vAlign w:val="top"/>
          </w:tcPr>
          <w:p w14:paraId="1506E867" w14:textId="77777777" w:rsidR="00B41AC0" w:rsidRPr="00780C27" w:rsidRDefault="00B41AC0" w:rsidP="00780C27">
            <w:pPr>
              <w:pStyle w:val="TableHeading"/>
            </w:pPr>
            <w:r w:rsidRPr="00780C27">
              <w:t>Reduced Testing Level</w:t>
            </w:r>
          </w:p>
        </w:tc>
      </w:tr>
      <w:tr w:rsidR="00B41AC0" w14:paraId="5994932D" w14:textId="77777777" w:rsidTr="000001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659"/>
        </w:trPr>
        <w:tc>
          <w:tcPr>
            <w:tcW w:w="4678" w:type="dxa"/>
            <w:gridSpan w:val="3"/>
          </w:tcPr>
          <w:p w14:paraId="54C5E942" w14:textId="77777777" w:rsidR="00B41AC0" w:rsidRDefault="00BF3D1B" w:rsidP="00780C27">
            <w:pPr>
              <w:pStyle w:val="TableBodyText"/>
            </w:pPr>
            <w:r w:rsidRPr="00BF3D1B">
              <w:rPr>
                <w:rFonts w:cs="Times New Roman"/>
                <w:noProof/>
                <w:color w:val="auto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DF1C1C" wp14:editId="482495B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31115</wp:posOffset>
                      </wp:positionV>
                      <wp:extent cx="5295900" cy="581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959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5DD83F" w14:textId="0BBDAC29" w:rsidR="00B41AC0" w:rsidRPr="00A54740" w:rsidRDefault="00B41AC0" w:rsidP="0000011C">
                                  <w:pPr>
                                    <w:pStyle w:val="TableBodyText"/>
                                    <w:rPr>
                                      <w:rStyle w:val="TableBodyTextCharChar"/>
                                    </w:rPr>
                                  </w:pPr>
                                  <w:r>
                                    <w:t xml:space="preserve">Default testing frequencies are provided in 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Appendix A</w:t>
                                  </w:r>
                                  <w:r w:rsidR="00053FEC">
                                    <w:rPr>
                                      <w:rStyle w:val="TableBodyTextCharChar"/>
                                    </w:rPr>
                                    <w:t> 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of</w:t>
                                  </w:r>
                                  <w:r w:rsidR="00053FEC">
                                    <w:rPr>
                                      <w:rStyle w:val="TableBodyTextCharChar"/>
                                    </w:rPr>
                                    <w:t> </w:t>
                                  </w:r>
                                  <w:r w:rsidR="00BC13C9">
                                    <w:rPr>
                                      <w:rStyle w:val="TableBodyTextCharChar"/>
                                    </w:rPr>
                                    <w:t>MRTS</w:t>
                                  </w:r>
                                  <w:r w:rsidR="00376127">
                                    <w:rPr>
                                      <w:rStyle w:val="TableBodyTextCharChar"/>
                                    </w:rPr>
                                    <w:t>115</w:t>
                                  </w:r>
                                  <w:r w:rsidRPr="0000011C">
                                    <w:rPr>
                                      <w:rStyle w:val="TableBodyTextCharChar"/>
                                    </w:rPr>
                                    <w:t>. This</w:t>
                                  </w:r>
                                  <w:r>
                                    <w:t xml:space="preserve"> table should only be filled in where it is proposed to vary these requirements on a project specific basis.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F1C1C" id="Rectangle 4" o:spid="_x0000_s1028" style="position:absolute;left:0;text-align:left;margin-left:12.7pt;margin-top:2.45pt;width:417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" fillcolor="window" strokecolor="windowText" strokeweight=".5pt">
                      <v:textbox>
                        <w:txbxContent>
                          <w:p w14:paraId="2A5DD83F" w14:textId="0BBDAC29" w:rsidR="00B41AC0" w:rsidRPr="00A54740" w:rsidRDefault="00B41AC0" w:rsidP="0000011C">
                            <w:pPr>
                              <w:pStyle w:val="TableBodyText"/>
                              <w:rPr>
                                <w:rStyle w:val="TableBodyTextCharChar"/>
                              </w:rPr>
                            </w:pPr>
                            <w:r>
                              <w:t xml:space="preserve">Default testing frequencies are provided in 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Appendix A</w:t>
                            </w:r>
                            <w:r w:rsidR="00053FEC">
                              <w:rPr>
                                <w:rStyle w:val="TableBodyTextCharChar"/>
                              </w:rPr>
                              <w:t> 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of</w:t>
                            </w:r>
                            <w:r w:rsidR="00053FEC">
                              <w:rPr>
                                <w:rStyle w:val="TableBodyTextCharChar"/>
                              </w:rPr>
                              <w:t> </w:t>
                            </w:r>
                            <w:r w:rsidR="00BC13C9">
                              <w:rPr>
                                <w:rStyle w:val="TableBodyTextCharChar"/>
                              </w:rPr>
                              <w:t>MRTS</w:t>
                            </w:r>
                            <w:r w:rsidR="00376127">
                              <w:rPr>
                                <w:rStyle w:val="TableBodyTextCharChar"/>
                              </w:rPr>
                              <w:t>115</w:t>
                            </w:r>
                            <w:r w:rsidRPr="0000011C">
                              <w:rPr>
                                <w:rStyle w:val="TableBodyTextCharChar"/>
                              </w:rPr>
                              <w:t>. This</w:t>
                            </w:r>
                            <w:r>
                              <w:t xml:space="preserve"> table should only be filled in where it is proposed to vary these requirements on a project specific basis.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82" w:type="dxa"/>
            <w:gridSpan w:val="2"/>
          </w:tcPr>
          <w:p w14:paraId="47927B64" w14:textId="77777777" w:rsidR="00B41AC0" w:rsidRDefault="00B41AC0" w:rsidP="00780C27">
            <w:pPr>
              <w:pStyle w:val="TableBodyText"/>
            </w:pPr>
          </w:p>
        </w:tc>
      </w:tr>
    </w:tbl>
    <w:p w14:paraId="10DB9D3A" w14:textId="77777777" w:rsidR="00B41AC0" w:rsidRDefault="00B41AC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74C6F" w14:paraId="33614714" w14:textId="77777777" w:rsidTr="0042786E">
        <w:tc>
          <w:tcPr>
            <w:tcW w:w="9060" w:type="dxa"/>
            <w:gridSpan w:val="2"/>
          </w:tcPr>
          <w:p w14:paraId="0F61BB76" w14:textId="4F0B87C8" w:rsidR="00874C6F" w:rsidRDefault="00874C6F" w:rsidP="0042786E">
            <w:pPr>
              <w:pStyle w:val="Heading1"/>
            </w:pPr>
            <w:r w:rsidRPr="00765092">
              <w:t>New material to replace material not sui</w:t>
            </w:r>
            <w:r>
              <w:t>table for stabilisation</w:t>
            </w:r>
            <w:r w:rsidR="00053FEC">
              <w:t> </w:t>
            </w:r>
            <w:r>
              <w:t>(Clause </w:t>
            </w:r>
            <w:r w:rsidRPr="00765092">
              <w:t>6.1)</w:t>
            </w:r>
          </w:p>
        </w:tc>
      </w:tr>
      <w:tr w:rsidR="00874C6F" w14:paraId="4651A68A" w14:textId="77777777" w:rsidTr="0042786E">
        <w:tc>
          <w:tcPr>
            <w:tcW w:w="560" w:type="dxa"/>
          </w:tcPr>
          <w:p w14:paraId="35F0A05C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6B44B7F2" w14:textId="640EEFDF" w:rsidR="00874C6F" w:rsidRDefault="00874C6F" w:rsidP="0000011C">
            <w:pPr>
              <w:pStyle w:val="BodyText"/>
            </w:pPr>
            <w:r w:rsidRPr="00765092">
              <w:t xml:space="preserve">Any material required to </w:t>
            </w:r>
            <w:r w:rsidR="0000011C">
              <w:t xml:space="preserve">be incorporated into the stabilised layer shall be unbound granular material that complies with the </w:t>
            </w:r>
            <w:r w:rsidRPr="00765092">
              <w:t>following requirements and/or standards.</w:t>
            </w:r>
          </w:p>
        </w:tc>
      </w:tr>
      <w:tr w:rsidR="00874C6F" w14:paraId="354F0E92" w14:textId="77777777" w:rsidTr="00F7653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456EDE10" w14:textId="77777777" w:rsidR="00874C6F" w:rsidRDefault="00874C6F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949F529" w14:textId="77777777" w:rsidR="00874C6F" w:rsidRDefault="00874C6F" w:rsidP="0042786E">
            <w:pPr>
              <w:pStyle w:val="BodyText"/>
            </w:pPr>
          </w:p>
        </w:tc>
      </w:tr>
    </w:tbl>
    <w:p w14:paraId="7657C777" w14:textId="77777777" w:rsidR="00874C6F" w:rsidRDefault="00874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7653E" w14:paraId="258122E6" w14:textId="77777777" w:rsidTr="0042786E">
        <w:tc>
          <w:tcPr>
            <w:tcW w:w="9060" w:type="dxa"/>
            <w:gridSpan w:val="2"/>
          </w:tcPr>
          <w:p w14:paraId="3E24D160" w14:textId="2027C799" w:rsidR="00F7653E" w:rsidRDefault="0000011C" w:rsidP="0000011C">
            <w:pPr>
              <w:pStyle w:val="Heading1"/>
            </w:pPr>
            <w:r>
              <w:t>Additional</w:t>
            </w:r>
            <w:r w:rsidR="00F7653E">
              <w:t xml:space="preserve"> material </w:t>
            </w:r>
            <w:r>
              <w:t>for shape correction</w:t>
            </w:r>
            <w:r w:rsidR="00053FEC">
              <w:t> </w:t>
            </w:r>
            <w:r w:rsidR="00F7653E">
              <w:t>(Clause </w:t>
            </w:r>
            <w:r>
              <w:t>6.2</w:t>
            </w:r>
            <w:r w:rsidR="00F7653E" w:rsidRPr="00765092">
              <w:t>)</w:t>
            </w:r>
          </w:p>
        </w:tc>
      </w:tr>
      <w:tr w:rsidR="00F7653E" w14:paraId="43FE81B9" w14:textId="77777777" w:rsidTr="0042786E">
        <w:tc>
          <w:tcPr>
            <w:tcW w:w="560" w:type="dxa"/>
          </w:tcPr>
          <w:p w14:paraId="66248EEB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238BC482" w14:textId="40CBCE17" w:rsidR="00F7653E" w:rsidRDefault="0000011C" w:rsidP="0042786E">
            <w:pPr>
              <w:pStyle w:val="BodyText"/>
              <w:keepNext w:val="0"/>
              <w:keepLines w:val="0"/>
            </w:pPr>
            <w:r w:rsidRPr="0000011C">
              <w:t>Any additional material required to be incorporated into the stabilised layer shall comply with the following requirements and/or standards.</w:t>
            </w:r>
          </w:p>
        </w:tc>
      </w:tr>
      <w:tr w:rsidR="00F7653E" w14:paraId="07077D11" w14:textId="77777777" w:rsidTr="0000011C">
        <w:trPr>
          <w:trHeight w:val="2381"/>
        </w:trPr>
        <w:tc>
          <w:tcPr>
            <w:tcW w:w="560" w:type="dxa"/>
            <w:tcBorders>
              <w:right w:val="single" w:sz="4" w:space="0" w:color="auto"/>
            </w:tcBorders>
          </w:tcPr>
          <w:p w14:paraId="15C36F86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59A2EF1" w14:textId="77777777" w:rsidR="00F7653E" w:rsidRDefault="00F7653E" w:rsidP="0042786E">
            <w:pPr>
              <w:pStyle w:val="BodyText"/>
              <w:keepNext w:val="0"/>
              <w:keepLines w:val="0"/>
            </w:pPr>
          </w:p>
        </w:tc>
      </w:tr>
      <w:tr w:rsidR="00AA6747" w14:paraId="6805498D" w14:textId="77777777" w:rsidTr="0000011C">
        <w:trPr>
          <w:gridAfter w:val="1"/>
          <w:wAfter w:w="8500" w:type="dxa"/>
          <w:trHeight w:val="446"/>
        </w:trPr>
        <w:tc>
          <w:tcPr>
            <w:tcW w:w="560" w:type="dxa"/>
          </w:tcPr>
          <w:p w14:paraId="7E98B53D" w14:textId="77777777" w:rsidR="00AA6747" w:rsidRDefault="00AA6747" w:rsidP="0042786E">
            <w:pPr>
              <w:pStyle w:val="BodyText"/>
            </w:pPr>
          </w:p>
        </w:tc>
      </w:tr>
    </w:tbl>
    <w:p w14:paraId="6ED85FF0" w14:textId="77777777" w:rsidR="00F7653E" w:rsidRDefault="00F765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F7653E" w14:paraId="005B935F" w14:textId="77777777" w:rsidTr="0042786E">
        <w:tc>
          <w:tcPr>
            <w:tcW w:w="9060" w:type="dxa"/>
            <w:gridSpan w:val="2"/>
          </w:tcPr>
          <w:p w14:paraId="777937B8" w14:textId="56D62F94" w:rsidR="00F7653E" w:rsidRDefault="00F7653E" w:rsidP="0000011C">
            <w:pPr>
              <w:pStyle w:val="Heading1"/>
            </w:pPr>
            <w:r>
              <w:lastRenderedPageBreak/>
              <w:t>Removal and disposal of material not suitable for stabilisation</w:t>
            </w:r>
            <w:r w:rsidR="00053FEC">
              <w:t> </w:t>
            </w:r>
            <w:r>
              <w:t>(Clause 8.</w:t>
            </w:r>
            <w:r w:rsidR="00963788">
              <w:t>6</w:t>
            </w:r>
            <w:r>
              <w:t>.</w:t>
            </w:r>
            <w:r w:rsidR="0000011C">
              <w:t>1</w:t>
            </w:r>
            <w:r w:rsidRPr="00633FD9">
              <w:t>)</w:t>
            </w:r>
          </w:p>
        </w:tc>
      </w:tr>
      <w:tr w:rsidR="00F7653E" w14:paraId="498B8266" w14:textId="77777777" w:rsidTr="0042786E">
        <w:tc>
          <w:tcPr>
            <w:tcW w:w="560" w:type="dxa"/>
          </w:tcPr>
          <w:p w14:paraId="54314AFF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02170E48" w14:textId="5795CA38" w:rsidR="00F7653E" w:rsidRDefault="00F7653E" w:rsidP="0000011C">
            <w:pPr>
              <w:pStyle w:val="BodyText"/>
            </w:pPr>
            <w:r>
              <w:t>Notwithstanding the requirements of Clause 8.</w:t>
            </w:r>
            <w:r w:rsidR="00C7396F">
              <w:t>6</w:t>
            </w:r>
            <w:r>
              <w:t>.</w:t>
            </w:r>
            <w:r w:rsidR="0000011C">
              <w:t>1</w:t>
            </w:r>
            <w:r>
              <w:t>, the following material shall also be removed and disposed of.</w:t>
            </w:r>
          </w:p>
        </w:tc>
      </w:tr>
      <w:tr w:rsidR="00F7653E" w14:paraId="24A6176D" w14:textId="77777777" w:rsidTr="0042786E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14:paraId="08165D46" w14:textId="77777777" w:rsidR="00F7653E" w:rsidRDefault="00F7653E" w:rsidP="0042786E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050538" w14:textId="77777777" w:rsidR="00F7653E" w:rsidRDefault="00F7653E" w:rsidP="0042786E">
            <w:pPr>
              <w:pStyle w:val="BodyText"/>
            </w:pPr>
          </w:p>
        </w:tc>
      </w:tr>
    </w:tbl>
    <w:p w14:paraId="7DE5652F" w14:textId="77777777" w:rsidR="00F7653E" w:rsidRDefault="00F7653E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905"/>
        <w:gridCol w:w="2906"/>
      </w:tblGrid>
      <w:tr w:rsidR="007E63FB" w14:paraId="4080EE28" w14:textId="77777777" w:rsidTr="007E63FB">
        <w:trPr>
          <w:trHeight w:val="578"/>
        </w:trPr>
        <w:tc>
          <w:tcPr>
            <w:tcW w:w="9072" w:type="dxa"/>
            <w:gridSpan w:val="4"/>
          </w:tcPr>
          <w:p w14:paraId="549703FD" w14:textId="09F09C0B" w:rsidR="007E63FB" w:rsidRPr="00070033" w:rsidRDefault="007E63FB" w:rsidP="0000011C">
            <w:pPr>
              <w:pStyle w:val="Heading1"/>
            </w:pPr>
            <w:r w:rsidRPr="007E63FB">
              <w:t>Minimum requirements and minimum numb</w:t>
            </w:r>
            <w:r w:rsidR="00B54C26">
              <w:t>ers of particular plant</w:t>
            </w:r>
            <w:r w:rsidR="00053FEC">
              <w:t> </w:t>
            </w:r>
            <w:r w:rsidR="00B54C26">
              <w:t>(Clause</w:t>
            </w:r>
            <w:r w:rsidR="00F7653E">
              <w:t>s</w:t>
            </w:r>
            <w:r w:rsidR="00A54740">
              <w:t> </w:t>
            </w:r>
            <w:r w:rsidR="0000011C">
              <w:t>8.</w:t>
            </w:r>
            <w:r w:rsidR="00D02199">
              <w:t>6</w:t>
            </w:r>
            <w:r w:rsidR="0000011C">
              <w:t>.5</w:t>
            </w:r>
            <w:r w:rsidR="00F7653E">
              <w:t xml:space="preserve"> and </w:t>
            </w:r>
            <w:r w:rsidRPr="007E63FB">
              <w:t>8.</w:t>
            </w:r>
            <w:r w:rsidR="00D02199">
              <w:t>6</w:t>
            </w:r>
            <w:r w:rsidRPr="007E63FB">
              <w:t>.</w:t>
            </w:r>
            <w:r w:rsidR="00BC13C9">
              <w:t>1</w:t>
            </w:r>
            <w:r w:rsidR="00E82BDD">
              <w:t>5</w:t>
            </w:r>
            <w:r w:rsidRPr="007E63FB">
              <w:t>)</w:t>
            </w:r>
          </w:p>
        </w:tc>
      </w:tr>
      <w:tr w:rsidR="007E63FB" w14:paraId="660CA5DD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3D47EE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D2F4F" w14:textId="77777777" w:rsidR="007E63FB" w:rsidRDefault="007E63FB" w:rsidP="000A6909">
            <w:pPr>
              <w:pStyle w:val="BodyText"/>
            </w:pPr>
            <w:r w:rsidRPr="007E63FB">
              <w:t>The following minimum requirements and minimum numbers of particular plant shall be on Site at all times during stabilisation works.</w:t>
            </w:r>
          </w:p>
        </w:tc>
      </w:tr>
      <w:tr w:rsidR="007E63FB" w:rsidRPr="00080E05" w14:paraId="78DF523D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tblHeader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E440A05" w14:textId="77777777" w:rsidR="007E63FB" w:rsidRPr="00780C27" w:rsidRDefault="007E63FB" w:rsidP="00780C27">
            <w:pPr>
              <w:pStyle w:val="TableHeading"/>
            </w:pPr>
            <w:r w:rsidRPr="00780C27">
              <w:t>Description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412985" w14:textId="0457F62F" w:rsidR="007E63FB" w:rsidRPr="00780C27" w:rsidRDefault="007E63FB" w:rsidP="00780C27">
            <w:pPr>
              <w:pStyle w:val="TableHeading"/>
            </w:pPr>
            <w:r w:rsidRPr="00780C27">
              <w:t xml:space="preserve">Minimum </w:t>
            </w:r>
            <w:r w:rsidR="0017085D" w:rsidRPr="00780C27">
              <w:t>R</w:t>
            </w:r>
            <w:r w:rsidR="0000011C" w:rsidRPr="00780C27">
              <w:t>equirement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5E2CD00" w14:textId="7A328BD5" w:rsidR="007E63FB" w:rsidRPr="00780C27" w:rsidRDefault="007E63FB" w:rsidP="00780C27">
            <w:pPr>
              <w:pStyle w:val="TableHeading"/>
            </w:pPr>
            <w:r w:rsidRPr="00780C27">
              <w:t xml:space="preserve">Minimum </w:t>
            </w:r>
            <w:r w:rsidR="0017085D" w:rsidRPr="00780C27">
              <w:t>N</w:t>
            </w:r>
            <w:r w:rsidRPr="00780C27">
              <w:t xml:space="preserve">umber of </w:t>
            </w:r>
            <w:r w:rsidR="0017085D" w:rsidRPr="00780C27">
              <w:t>U</w:t>
            </w:r>
            <w:r w:rsidRPr="00780C27">
              <w:t>nits</w:t>
            </w:r>
          </w:p>
        </w:tc>
      </w:tr>
      <w:tr w:rsidR="00BC20E4" w:rsidRPr="00080E05" w14:paraId="3EE18A0E" w14:textId="77777777" w:rsidTr="005E00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A62D4D0" w14:textId="0DA05E8B" w:rsidR="00BC20E4" w:rsidRPr="00E878F2" w:rsidRDefault="00BC20E4" w:rsidP="00BC20E4">
            <w:pPr>
              <w:pStyle w:val="TableBodyText"/>
            </w:pPr>
            <w:r w:rsidRPr="00205A62">
              <w:t>Stabiliser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C8B03B5" w14:textId="77777777" w:rsidR="00BC20E4" w:rsidRPr="00DB4FCC" w:rsidRDefault="00BC20E4" w:rsidP="00BC20E4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0FEB" w14:textId="77777777" w:rsidR="00BC20E4" w:rsidRPr="00DB4FCC" w:rsidRDefault="00BC20E4" w:rsidP="00BC20E4">
            <w:pPr>
              <w:pStyle w:val="TableBodyText"/>
            </w:pPr>
          </w:p>
        </w:tc>
      </w:tr>
      <w:tr w:rsidR="00BC20E4" w:rsidRPr="00080E05" w14:paraId="6CB0E7D7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D7A1346" w14:textId="29B466E6" w:rsidR="00BC20E4" w:rsidRPr="00E878F2" w:rsidRDefault="00BC20E4" w:rsidP="00BC20E4">
            <w:pPr>
              <w:pStyle w:val="TableBodyText"/>
            </w:pPr>
            <w:r w:rsidRPr="00205A62">
              <w:t>Integrated spreader stabiliser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F425C9C" w14:textId="77777777" w:rsidR="00BC20E4" w:rsidRPr="00DB4FCC" w:rsidRDefault="00BC20E4" w:rsidP="00BC20E4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DA5D" w14:textId="77777777" w:rsidR="00BC20E4" w:rsidRPr="00DB4FCC" w:rsidRDefault="00BC20E4" w:rsidP="00BC20E4">
            <w:pPr>
              <w:pStyle w:val="TableBodyText"/>
            </w:pPr>
          </w:p>
        </w:tc>
      </w:tr>
      <w:tr w:rsidR="007E63FB" w:rsidRPr="00080E05" w14:paraId="5BE91857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E7C8F9" w14:textId="5D5595DF" w:rsidR="007E63FB" w:rsidRPr="00E878F2" w:rsidRDefault="007E63FB" w:rsidP="00780C27">
            <w:pPr>
              <w:pStyle w:val="TableBodyText"/>
            </w:pPr>
            <w:r w:rsidRPr="00E878F2">
              <w:t>Purpose</w:t>
            </w:r>
            <w:r w:rsidR="00053FEC">
              <w:noBreakHyphen/>
            </w:r>
            <w:r w:rsidRPr="00E878F2">
              <w:t>built calibrated spreader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C15F49D" w14:textId="77777777" w:rsidR="007E63FB" w:rsidRPr="00DB4FCC" w:rsidRDefault="007E63FB" w:rsidP="00780C27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421" w14:textId="77777777" w:rsidR="007E63FB" w:rsidRPr="00DB4FCC" w:rsidRDefault="007E63FB" w:rsidP="00780C27">
            <w:pPr>
              <w:pStyle w:val="TableBodyText"/>
            </w:pPr>
          </w:p>
        </w:tc>
      </w:tr>
      <w:tr w:rsidR="007E63FB" w:rsidRPr="00080E05" w14:paraId="09E9A4BD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579DD9" w14:textId="77777777" w:rsidR="007E63FB" w:rsidRPr="00E878F2" w:rsidRDefault="007E63FB" w:rsidP="00780C27">
            <w:pPr>
              <w:pStyle w:val="TableBodyText"/>
            </w:pPr>
            <w:r w:rsidRPr="00E878F2">
              <w:t>Vibrating pad foot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44F3D69" w14:textId="77777777" w:rsidR="007E63FB" w:rsidRPr="00DB4FCC" w:rsidRDefault="007E63FB" w:rsidP="00780C27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C19" w14:textId="77777777" w:rsidR="007E63FB" w:rsidRPr="00DB4FCC" w:rsidRDefault="007E63FB" w:rsidP="00780C27">
            <w:pPr>
              <w:pStyle w:val="TableBodyText"/>
            </w:pPr>
          </w:p>
        </w:tc>
      </w:tr>
      <w:tr w:rsidR="007E63FB" w:rsidRPr="00080E05" w14:paraId="5BB63FAA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61AF57" w14:textId="77777777" w:rsidR="007E63FB" w:rsidRPr="00E878F2" w:rsidRDefault="007E63FB" w:rsidP="00780C27">
            <w:pPr>
              <w:pStyle w:val="TableBodyText"/>
            </w:pPr>
            <w:r w:rsidRPr="00E878F2">
              <w:t>Vibrating smooth drum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5907DCA" w14:textId="77777777" w:rsidR="007E63FB" w:rsidRPr="00DB4FCC" w:rsidRDefault="007E63FB" w:rsidP="00780C27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786A" w14:textId="77777777" w:rsidR="007E63FB" w:rsidRPr="00DB4FCC" w:rsidRDefault="007E63FB" w:rsidP="00780C27">
            <w:pPr>
              <w:pStyle w:val="TableBodyText"/>
            </w:pPr>
          </w:p>
        </w:tc>
      </w:tr>
      <w:tr w:rsidR="007E63FB" w:rsidRPr="00080E05" w14:paraId="04C7C4F4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9B54FB2" w14:textId="7F0D0269" w:rsidR="007E63FB" w:rsidRPr="00E878F2" w:rsidRDefault="007E63FB" w:rsidP="00780C27">
            <w:pPr>
              <w:pStyle w:val="TableBodyText"/>
            </w:pPr>
            <w:r w:rsidRPr="00E878F2">
              <w:t>Multi</w:t>
            </w:r>
            <w:r w:rsidR="00053FEC">
              <w:noBreakHyphen/>
            </w:r>
            <w:r w:rsidRPr="00E878F2">
              <w:t>tyre roller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BBF68EF" w14:textId="77777777" w:rsidR="007E63FB" w:rsidRPr="00DB4FCC" w:rsidRDefault="007E63FB" w:rsidP="00780C27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69AC" w14:textId="77777777" w:rsidR="007E63FB" w:rsidRPr="00DB4FCC" w:rsidRDefault="007E63FB" w:rsidP="00780C27">
            <w:pPr>
              <w:pStyle w:val="TableBodyText"/>
            </w:pPr>
          </w:p>
        </w:tc>
      </w:tr>
      <w:tr w:rsidR="007E63FB" w:rsidRPr="00080E05" w14:paraId="628C979D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EDB7378" w14:textId="77777777" w:rsidR="007E63FB" w:rsidRPr="00E878F2" w:rsidRDefault="007E63FB" w:rsidP="00780C27">
            <w:pPr>
              <w:pStyle w:val="TableBodyText"/>
            </w:pPr>
            <w:r w:rsidRPr="00E878F2">
              <w:t>Water truck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3E9B097" w14:textId="77777777" w:rsidR="007E63FB" w:rsidRPr="00DB4FCC" w:rsidRDefault="007E63FB" w:rsidP="00780C27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D34" w14:textId="77777777" w:rsidR="007E63FB" w:rsidRPr="00DB4FCC" w:rsidRDefault="007E63FB" w:rsidP="00780C27">
            <w:pPr>
              <w:pStyle w:val="TableBodyText"/>
            </w:pPr>
          </w:p>
        </w:tc>
      </w:tr>
      <w:tr w:rsidR="007E63FB" w:rsidRPr="00080E05" w14:paraId="31CF090B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6A14876" w14:textId="77777777" w:rsidR="007E63FB" w:rsidRDefault="007E63FB" w:rsidP="00780C27">
            <w:pPr>
              <w:pStyle w:val="TableBodyText"/>
            </w:pPr>
            <w:r w:rsidRPr="00E878F2">
              <w:t>Grader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465BC52" w14:textId="77777777" w:rsidR="007E63FB" w:rsidRPr="00DB4FCC" w:rsidRDefault="007E63FB" w:rsidP="00780C27">
            <w:pPr>
              <w:pStyle w:val="TableBodyText"/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D61" w14:textId="77777777" w:rsidR="007E63FB" w:rsidRPr="00DB4FCC" w:rsidRDefault="007E63FB" w:rsidP="00780C27">
            <w:pPr>
              <w:pStyle w:val="TableBodyText"/>
            </w:pPr>
          </w:p>
        </w:tc>
      </w:tr>
    </w:tbl>
    <w:p w14:paraId="2F9409A8" w14:textId="77777777" w:rsidR="00BF3D1B" w:rsidRDefault="00BF3D1B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977"/>
        <w:gridCol w:w="3106"/>
        <w:gridCol w:w="12"/>
      </w:tblGrid>
      <w:tr w:rsidR="007E63FB" w14:paraId="7335FB37" w14:textId="77777777" w:rsidTr="007E63FB">
        <w:trPr>
          <w:trHeight w:val="578"/>
        </w:trPr>
        <w:tc>
          <w:tcPr>
            <w:tcW w:w="9072" w:type="dxa"/>
            <w:gridSpan w:val="5"/>
          </w:tcPr>
          <w:p w14:paraId="6E9AA690" w14:textId="77EE2F90" w:rsidR="007E63FB" w:rsidRPr="00A87F08" w:rsidRDefault="00F63204" w:rsidP="000A6909">
            <w:pPr>
              <w:pStyle w:val="Heading1"/>
            </w:pPr>
            <w:r>
              <w:lastRenderedPageBreak/>
              <w:t>G</w:t>
            </w:r>
            <w:r w:rsidR="007E63FB">
              <w:t>eometrics</w:t>
            </w:r>
          </w:p>
          <w:p w14:paraId="3DF4CBAA" w14:textId="7F3DB92C" w:rsidR="007E63FB" w:rsidRPr="00070033" w:rsidRDefault="00B54C26" w:rsidP="007E63FB">
            <w:pPr>
              <w:pStyle w:val="Heading2"/>
            </w:pPr>
            <w:r>
              <w:t>Primary tolerance (Clause </w:t>
            </w:r>
            <w:r w:rsidR="007E63FB" w:rsidRPr="007E63FB">
              <w:t>8.</w:t>
            </w:r>
            <w:r w:rsidR="00D02199">
              <w:t>7</w:t>
            </w:r>
            <w:r w:rsidR="007E63FB" w:rsidRPr="007E63FB">
              <w:t>.</w:t>
            </w:r>
            <w:r w:rsidR="000B3337">
              <w:t>5</w:t>
            </w:r>
            <w:r w:rsidR="007E63FB" w:rsidRPr="007E63FB">
              <w:t>.</w:t>
            </w:r>
            <w:r w:rsidR="00465737">
              <w:t>2</w:t>
            </w:r>
            <w:r w:rsidR="007E63FB" w:rsidRPr="007E63FB">
              <w:t>.1)</w:t>
            </w:r>
          </w:p>
        </w:tc>
      </w:tr>
      <w:tr w:rsidR="007E63FB" w14:paraId="4FE22124" w14:textId="77777777" w:rsidTr="007E6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F3719A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5A0E44" w14:textId="77777777" w:rsidR="007E63FB" w:rsidRDefault="007E63FB" w:rsidP="000A6909">
            <w:pPr>
              <w:pStyle w:val="BodyText"/>
            </w:pPr>
            <w:r w:rsidRPr="007E63FB">
              <w:t>The primary tolerance on a stabilised layer shall be as stated below.</w:t>
            </w:r>
          </w:p>
        </w:tc>
      </w:tr>
      <w:tr w:rsidR="0000011C" w14:paraId="5992FBB8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977" w:type="dxa"/>
            <w:gridSpan w:val="2"/>
            <w:vAlign w:val="top"/>
          </w:tcPr>
          <w:p w14:paraId="311E4522" w14:textId="237211F5" w:rsidR="0000011C" w:rsidRPr="00780C27" w:rsidRDefault="0000011C" w:rsidP="00780C27">
            <w:pPr>
              <w:pStyle w:val="TableHeading"/>
            </w:pPr>
            <w:r w:rsidRPr="00780C27">
              <w:t>Alternative A</w:t>
            </w:r>
          </w:p>
          <w:p w14:paraId="714F0822" w14:textId="73B99BD1" w:rsidR="0000011C" w:rsidRPr="00780C27" w:rsidRDefault="0000011C" w:rsidP="00780C27">
            <w:pPr>
              <w:pStyle w:val="TableHeading"/>
            </w:pPr>
            <w:r w:rsidRPr="00780C27">
              <w:t>(</w:t>
            </w:r>
            <w:r w:rsidR="00053FEC">
              <w:noBreakHyphen/>
            </w:r>
            <w:r w:rsidRPr="00780C27">
              <w:t>5</w:t>
            </w:r>
            <w:r w:rsidR="00053FEC">
              <w:t> </w:t>
            </w:r>
            <w:r w:rsidRPr="00780C27">
              <w:t>and</w:t>
            </w:r>
            <w:r w:rsidR="00053FEC">
              <w:t> </w:t>
            </w:r>
            <w:r w:rsidRPr="00780C27">
              <w:t>+10 mm)</w:t>
            </w:r>
          </w:p>
        </w:tc>
        <w:tc>
          <w:tcPr>
            <w:tcW w:w="2977" w:type="dxa"/>
            <w:vAlign w:val="top"/>
          </w:tcPr>
          <w:p w14:paraId="664C65FB" w14:textId="77777777" w:rsidR="0000011C" w:rsidRPr="00780C27" w:rsidRDefault="0000011C" w:rsidP="00780C27">
            <w:pPr>
              <w:pStyle w:val="TableHeading"/>
            </w:pPr>
            <w:r w:rsidRPr="00780C27">
              <w:t>Alternative B</w:t>
            </w:r>
          </w:p>
          <w:p w14:paraId="383906ED" w14:textId="51348AF5" w:rsidR="0000011C" w:rsidRPr="00780C27" w:rsidRDefault="0000011C" w:rsidP="00780C27">
            <w:pPr>
              <w:pStyle w:val="TableHeading"/>
            </w:pPr>
            <w:r w:rsidRPr="00780C27">
              <w:t>(</w:t>
            </w:r>
            <w:r w:rsidR="00053FEC">
              <w:noBreakHyphen/>
            </w:r>
            <w:r w:rsidRPr="00780C27">
              <w:t>5</w:t>
            </w:r>
            <w:r w:rsidR="00053FEC">
              <w:t> </w:t>
            </w:r>
            <w:r w:rsidRPr="00780C27">
              <w:t>and</w:t>
            </w:r>
            <w:r w:rsidR="00053FEC">
              <w:t> </w:t>
            </w:r>
            <w:r w:rsidRPr="00780C27">
              <w:t>+15 mm)</w:t>
            </w:r>
          </w:p>
        </w:tc>
        <w:tc>
          <w:tcPr>
            <w:tcW w:w="3106" w:type="dxa"/>
            <w:vAlign w:val="top"/>
          </w:tcPr>
          <w:p w14:paraId="7ECB8F15" w14:textId="63A30001" w:rsidR="0000011C" w:rsidRPr="00780C27" w:rsidRDefault="0000011C" w:rsidP="00780C27">
            <w:pPr>
              <w:pStyle w:val="TableHeading"/>
            </w:pPr>
            <w:r w:rsidRPr="00780C27">
              <w:t>Alternative C</w:t>
            </w:r>
          </w:p>
          <w:p w14:paraId="623D026D" w14:textId="2A13DF16" w:rsidR="0000011C" w:rsidRPr="00780C27" w:rsidRDefault="0000011C" w:rsidP="00780C27">
            <w:pPr>
              <w:pStyle w:val="TableHeading"/>
            </w:pPr>
            <w:r w:rsidRPr="00780C27">
              <w:t>(Thickness only)</w:t>
            </w:r>
          </w:p>
        </w:tc>
      </w:tr>
      <w:tr w:rsidR="0000011C" w14:paraId="37AA80C1" w14:textId="77777777" w:rsidTr="00780C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top"/>
          </w:tcPr>
          <w:p w14:paraId="76CF9FCD" w14:textId="77777777" w:rsidR="0000011C" w:rsidRDefault="0000011C" w:rsidP="00780C27">
            <w:pPr>
              <w:pStyle w:val="TableBodyText"/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top"/>
          </w:tcPr>
          <w:p w14:paraId="2877BC57" w14:textId="77777777" w:rsidR="0000011C" w:rsidRDefault="0000011C" w:rsidP="00780C27">
            <w:pPr>
              <w:pStyle w:val="TableBodyText"/>
            </w:pPr>
          </w:p>
        </w:tc>
        <w:tc>
          <w:tcPr>
            <w:tcW w:w="3106" w:type="dxa"/>
            <w:tcBorders>
              <w:bottom w:val="single" w:sz="4" w:space="0" w:color="auto"/>
            </w:tcBorders>
            <w:vAlign w:val="top"/>
          </w:tcPr>
          <w:p w14:paraId="1481190B" w14:textId="77777777" w:rsidR="0000011C" w:rsidRDefault="0000011C" w:rsidP="00780C27">
            <w:pPr>
              <w:pStyle w:val="TableBodyText"/>
            </w:pPr>
          </w:p>
        </w:tc>
      </w:tr>
      <w:tr w:rsidR="0009210B" w14:paraId="602B5206" w14:textId="77777777" w:rsidTr="00092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1C861DA0" w14:textId="5B3A5000" w:rsidR="0009210B" w:rsidRDefault="0009210B" w:rsidP="0017085D">
            <w:pPr>
              <w:pStyle w:val="TableNotes"/>
            </w:pPr>
            <w:r w:rsidRPr="0009210B">
              <w:t xml:space="preserve">If no </w:t>
            </w:r>
            <w:r w:rsidR="0017085D">
              <w:t xml:space="preserve">tolerance </w:t>
            </w:r>
            <w:r w:rsidRPr="0009210B">
              <w:t>is given, Alternative</w:t>
            </w:r>
            <w:r w:rsidR="00053FEC">
              <w:t> </w:t>
            </w:r>
            <w:r w:rsidRPr="0009210B">
              <w:t>B</w:t>
            </w:r>
            <w:r w:rsidR="00053FEC">
              <w:t> </w:t>
            </w:r>
            <w:r w:rsidRPr="0009210B">
              <w:t>(</w:t>
            </w:r>
            <w:r w:rsidR="00053FEC">
              <w:noBreakHyphen/>
            </w:r>
            <w:r w:rsidRPr="0009210B">
              <w:t>5</w:t>
            </w:r>
            <w:r w:rsidR="00053FEC">
              <w:t> </w:t>
            </w:r>
            <w:r w:rsidRPr="0009210B">
              <w:t>and</w:t>
            </w:r>
            <w:r w:rsidR="00053FEC">
              <w:t> </w:t>
            </w:r>
            <w:r w:rsidRPr="0009210B">
              <w:t>+15 mm) shall apply.</w:t>
            </w:r>
          </w:p>
        </w:tc>
      </w:tr>
    </w:tbl>
    <w:p w14:paraId="42988C33" w14:textId="77777777" w:rsidR="007E63FB" w:rsidRDefault="007E63FB" w:rsidP="007E63FB">
      <w:pPr>
        <w:pStyle w:val="TableNotes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7E63FB" w14:paraId="5FFADC45" w14:textId="77777777" w:rsidTr="000A6909">
        <w:tc>
          <w:tcPr>
            <w:tcW w:w="9060" w:type="dxa"/>
            <w:gridSpan w:val="6"/>
          </w:tcPr>
          <w:p w14:paraId="71475D70" w14:textId="3C4977EA" w:rsidR="007E63FB" w:rsidRPr="00A67E68" w:rsidRDefault="007E63FB" w:rsidP="007E63FB">
            <w:pPr>
              <w:pStyle w:val="Heading2"/>
            </w:pPr>
            <w:r w:rsidRPr="007E63FB">
              <w:t>Deviation f</w:t>
            </w:r>
            <w:r w:rsidR="00781EFF">
              <w:t>rom a straight</w:t>
            </w:r>
            <w:r w:rsidR="00B54C26">
              <w:t>edge</w:t>
            </w:r>
            <w:r w:rsidR="00053FEC">
              <w:t> </w:t>
            </w:r>
            <w:r w:rsidR="00523D19" w:rsidRPr="00523D19">
              <w:t>(Clause</w:t>
            </w:r>
            <w:r w:rsidR="00053FEC">
              <w:t> </w:t>
            </w:r>
            <w:r w:rsidR="00523D19" w:rsidRPr="00523D19">
              <w:t>8.</w:t>
            </w:r>
            <w:r w:rsidR="00D02199">
              <w:t>7</w:t>
            </w:r>
            <w:r w:rsidR="00523D19" w:rsidRPr="00523D19">
              <w:t>.</w:t>
            </w:r>
            <w:r w:rsidR="000B3337">
              <w:t>5</w:t>
            </w:r>
            <w:r w:rsidR="00523D19" w:rsidRPr="00523D19">
              <w:t>.</w:t>
            </w:r>
            <w:r w:rsidR="00465737">
              <w:t>5</w:t>
            </w:r>
            <w:r w:rsidR="00523D19" w:rsidRPr="00523D19">
              <w:t>.2)</w:t>
            </w:r>
          </w:p>
          <w:p w14:paraId="59D87484" w14:textId="33411CDC" w:rsidR="007E63FB" w:rsidRDefault="00B54C26" w:rsidP="00A54740">
            <w:pPr>
              <w:pStyle w:val="Heading3"/>
            </w:pPr>
            <w:r>
              <w:t>Application</w:t>
            </w:r>
            <w:r w:rsidR="001A191E">
              <w:t xml:space="preserve"> </w:t>
            </w:r>
          </w:p>
        </w:tc>
      </w:tr>
      <w:tr w:rsidR="007E63FB" w14:paraId="7B6AB0FC" w14:textId="77777777" w:rsidTr="00493F69">
        <w:tc>
          <w:tcPr>
            <w:tcW w:w="574" w:type="dxa"/>
          </w:tcPr>
          <w:p w14:paraId="35E1279F" w14:textId="77777777" w:rsidR="007E63FB" w:rsidRDefault="007E63FB" w:rsidP="000A6909">
            <w:pPr>
              <w:pStyle w:val="BodyText"/>
            </w:pPr>
          </w:p>
        </w:tc>
        <w:tc>
          <w:tcPr>
            <w:tcW w:w="4955" w:type="dxa"/>
          </w:tcPr>
          <w:p w14:paraId="19B9CF76" w14:textId="640E46CC" w:rsidR="007E63FB" w:rsidRDefault="00781EFF" w:rsidP="000A6909">
            <w:pPr>
              <w:pStyle w:val="BodyText"/>
            </w:pPr>
            <w:r>
              <w:t>Deviation from a straight</w:t>
            </w:r>
            <w:r w:rsidR="007E63FB" w:rsidRPr="007E63FB">
              <w:t>edge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58AD66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D920" w14:textId="77777777" w:rsidR="007E63FB" w:rsidRDefault="007E63FB" w:rsidP="000A690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968DDF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7769" w14:textId="77777777" w:rsidR="007E63FB" w:rsidRDefault="007E63FB" w:rsidP="000A6909">
            <w:pPr>
              <w:pStyle w:val="BodyText"/>
            </w:pPr>
          </w:p>
        </w:tc>
      </w:tr>
      <w:tr w:rsidR="0009210B" w14:paraId="523DC63C" w14:textId="77777777" w:rsidTr="00777DCE">
        <w:tc>
          <w:tcPr>
            <w:tcW w:w="9060" w:type="dxa"/>
            <w:gridSpan w:val="6"/>
          </w:tcPr>
          <w:p w14:paraId="54BC2E01" w14:textId="43A4386F" w:rsidR="0009210B" w:rsidRDefault="0009210B" w:rsidP="00032633">
            <w:pPr>
              <w:pStyle w:val="TableNotes"/>
              <w:ind w:left="604"/>
            </w:pPr>
            <w:r>
              <w:t xml:space="preserve">If no indication is given, </w:t>
            </w:r>
            <w:r w:rsidR="00781EFF">
              <w:t>deviation from straight</w:t>
            </w:r>
            <w:r>
              <w:t>edge shall apply.</w:t>
            </w:r>
          </w:p>
        </w:tc>
      </w:tr>
    </w:tbl>
    <w:p w14:paraId="4714BC71" w14:textId="77777777" w:rsidR="007E63FB" w:rsidRDefault="007E63FB" w:rsidP="0009210B">
      <w:pPr>
        <w:pStyle w:val="BodyText"/>
      </w:pPr>
    </w:p>
    <w:p w14:paraId="018E0F80" w14:textId="0365FD22" w:rsidR="007E63FB" w:rsidRPr="001A191E" w:rsidRDefault="00B54C26" w:rsidP="007E63FB">
      <w:pPr>
        <w:pStyle w:val="Heading3"/>
      </w:pPr>
      <w:r>
        <w:t xml:space="preserve">Deviation </w:t>
      </w:r>
      <w:r w:rsidRPr="001A191E">
        <w:t>limits</w:t>
      </w: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"/>
        <w:gridCol w:w="557"/>
        <w:gridCol w:w="2557"/>
        <w:gridCol w:w="3260"/>
        <w:gridCol w:w="2688"/>
      </w:tblGrid>
      <w:tr w:rsidR="007E63FB" w14:paraId="58BB40EB" w14:textId="77777777" w:rsidTr="007E63FB"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549D0" w14:textId="77777777" w:rsidR="007E63FB" w:rsidRDefault="007E63FB" w:rsidP="000A6909">
            <w:pPr>
              <w:pStyle w:val="BodyText"/>
            </w:pP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1D7FC2" w14:textId="76BB3DF4" w:rsidR="007E63FB" w:rsidRDefault="007E63FB" w:rsidP="000A6909">
            <w:pPr>
              <w:pStyle w:val="BodyText"/>
            </w:pPr>
            <w:r w:rsidRPr="007E63FB">
              <w:t>The ma</w:t>
            </w:r>
            <w:r w:rsidR="00781EFF">
              <w:t>ximum deviation from a straight</w:t>
            </w:r>
            <w:r w:rsidRPr="007E63FB">
              <w:t>edge on a layer shall be as stated below.</w:t>
            </w:r>
          </w:p>
        </w:tc>
      </w:tr>
      <w:tr w:rsidR="0009210B" w14:paraId="172CA04F" w14:textId="77777777" w:rsidTr="00780C27">
        <w:trPr>
          <w:gridBefore w:val="1"/>
          <w:wBefore w:w="10" w:type="dxa"/>
        </w:trPr>
        <w:tc>
          <w:tcPr>
            <w:tcW w:w="3114" w:type="dxa"/>
            <w:gridSpan w:val="2"/>
            <w:vAlign w:val="top"/>
          </w:tcPr>
          <w:p w14:paraId="68664E9A" w14:textId="2C950BCC" w:rsidR="0009210B" w:rsidRDefault="0017085D" w:rsidP="00780C27">
            <w:pPr>
              <w:pStyle w:val="TableHeading"/>
            </w:pPr>
            <w:r>
              <w:t>Alternative </w:t>
            </w:r>
            <w:r w:rsidR="005958BC">
              <w:t>D</w:t>
            </w:r>
          </w:p>
          <w:p w14:paraId="22B65290" w14:textId="071086E6" w:rsidR="0017085D" w:rsidRDefault="0000011C" w:rsidP="00780C27">
            <w:pPr>
              <w:pStyle w:val="TableHeading"/>
            </w:pPr>
            <w:r>
              <w:t>(5</w:t>
            </w:r>
            <w:r w:rsidR="0017085D">
              <w:t> mm)</w:t>
            </w:r>
          </w:p>
        </w:tc>
        <w:tc>
          <w:tcPr>
            <w:tcW w:w="3260" w:type="dxa"/>
            <w:vAlign w:val="top"/>
          </w:tcPr>
          <w:p w14:paraId="043463CD" w14:textId="274368E3" w:rsidR="0009210B" w:rsidRDefault="0017085D" w:rsidP="00780C27">
            <w:pPr>
              <w:pStyle w:val="TableHeading"/>
            </w:pPr>
            <w:r>
              <w:t>Alternative </w:t>
            </w:r>
            <w:r w:rsidR="005958BC">
              <w:t>E</w:t>
            </w:r>
          </w:p>
          <w:p w14:paraId="643DADF5" w14:textId="0A2BDE72" w:rsidR="0017085D" w:rsidRDefault="0017085D" w:rsidP="00780C27">
            <w:pPr>
              <w:pStyle w:val="TableHeading"/>
            </w:pPr>
            <w:r>
              <w:t>(</w:t>
            </w:r>
            <w:r w:rsidR="0000011C">
              <w:t>8</w:t>
            </w:r>
            <w:r>
              <w:t> mm)</w:t>
            </w:r>
          </w:p>
        </w:tc>
        <w:tc>
          <w:tcPr>
            <w:tcW w:w="2688" w:type="dxa"/>
            <w:vAlign w:val="top"/>
          </w:tcPr>
          <w:p w14:paraId="40B910FB" w14:textId="1DCDE6C6" w:rsidR="0017085D" w:rsidRDefault="0017085D" w:rsidP="00780C27">
            <w:pPr>
              <w:pStyle w:val="TableHeading"/>
            </w:pPr>
            <w:r>
              <w:t>A</w:t>
            </w:r>
            <w:r w:rsidR="005958BC">
              <w:t>lternative F</w:t>
            </w:r>
          </w:p>
          <w:p w14:paraId="478A13F6" w14:textId="46774770" w:rsidR="0017085D" w:rsidRDefault="0017085D" w:rsidP="00780C27">
            <w:pPr>
              <w:pStyle w:val="TableHeading"/>
            </w:pPr>
            <w:r>
              <w:t>(</w:t>
            </w:r>
            <w:r w:rsidR="005958BC">
              <w:t>1</w:t>
            </w:r>
            <w:r>
              <w:t>5 mm)</w:t>
            </w:r>
          </w:p>
        </w:tc>
      </w:tr>
      <w:tr w:rsidR="0009210B" w14:paraId="63AD8050" w14:textId="77777777" w:rsidTr="00780C27">
        <w:trPr>
          <w:gridBefore w:val="1"/>
          <w:wBefore w:w="10" w:type="dxa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top"/>
          </w:tcPr>
          <w:p w14:paraId="260EA54E" w14:textId="30CFCAFB" w:rsidR="0009210B" w:rsidRDefault="0009210B" w:rsidP="00780C27">
            <w:pPr>
              <w:pStyle w:val="TableBodyText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top"/>
          </w:tcPr>
          <w:p w14:paraId="2D64E131" w14:textId="77777777" w:rsidR="0009210B" w:rsidRDefault="0009210B" w:rsidP="00780C27">
            <w:pPr>
              <w:pStyle w:val="TableBodyText"/>
            </w:pPr>
          </w:p>
        </w:tc>
        <w:tc>
          <w:tcPr>
            <w:tcW w:w="2688" w:type="dxa"/>
            <w:tcBorders>
              <w:bottom w:val="single" w:sz="4" w:space="0" w:color="auto"/>
            </w:tcBorders>
            <w:vAlign w:val="top"/>
          </w:tcPr>
          <w:p w14:paraId="1AE87A6E" w14:textId="5C2C5FD2" w:rsidR="0009210B" w:rsidRDefault="0009210B" w:rsidP="00780C27">
            <w:pPr>
              <w:pStyle w:val="TableBodyText"/>
            </w:pPr>
          </w:p>
        </w:tc>
      </w:tr>
      <w:tr w:rsidR="0009210B" w14:paraId="697F1A6D" w14:textId="77777777" w:rsidTr="0009210B">
        <w:trPr>
          <w:gridBefore w:val="1"/>
          <w:wBefore w:w="10" w:type="dxa"/>
        </w:trPr>
        <w:tc>
          <w:tcPr>
            <w:tcW w:w="9062" w:type="dxa"/>
            <w:gridSpan w:val="4"/>
            <w:tcBorders>
              <w:left w:val="nil"/>
              <w:bottom w:val="nil"/>
              <w:right w:val="nil"/>
            </w:tcBorders>
          </w:tcPr>
          <w:p w14:paraId="75F595C2" w14:textId="7A2F1809" w:rsidR="0009210B" w:rsidRDefault="0009210B" w:rsidP="005958BC">
            <w:pPr>
              <w:pStyle w:val="TableNotes"/>
            </w:pPr>
            <w:r>
              <w:t>If no limit is given, Alternative</w:t>
            </w:r>
            <w:r w:rsidR="00053FEC">
              <w:t> </w:t>
            </w:r>
            <w:r w:rsidR="00BC20E4">
              <w:t>E</w:t>
            </w:r>
            <w:r w:rsidR="00053FEC">
              <w:t> </w:t>
            </w:r>
            <w:r w:rsidR="005958BC">
              <w:t>(</w:t>
            </w:r>
            <w:r w:rsidR="00BC20E4">
              <w:t>8</w:t>
            </w:r>
            <w:r>
              <w:t> mm) shall apply.</w:t>
            </w:r>
          </w:p>
        </w:tc>
      </w:tr>
    </w:tbl>
    <w:p w14:paraId="1220594D" w14:textId="77777777" w:rsidR="007E63FB" w:rsidRDefault="007E63FB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7E63FB" w14:paraId="13878FC0" w14:textId="77777777" w:rsidTr="000A6909">
        <w:tc>
          <w:tcPr>
            <w:tcW w:w="9060" w:type="dxa"/>
            <w:gridSpan w:val="6"/>
          </w:tcPr>
          <w:p w14:paraId="7E0EA973" w14:textId="43458C04" w:rsidR="007E63FB" w:rsidRDefault="00B54C26" w:rsidP="007E63FB">
            <w:pPr>
              <w:pStyle w:val="Heading2"/>
            </w:pPr>
            <w:r>
              <w:t>Crossfall</w:t>
            </w:r>
            <w:r w:rsidR="00053FEC">
              <w:t> </w:t>
            </w:r>
            <w:r>
              <w:t>(Clause </w:t>
            </w:r>
            <w:r w:rsidR="007E63FB" w:rsidRPr="007E63FB">
              <w:t>8.</w:t>
            </w:r>
            <w:r w:rsidR="00D02199">
              <w:t>7</w:t>
            </w:r>
            <w:r w:rsidR="007E63FB" w:rsidRPr="007E63FB">
              <w:t>.</w:t>
            </w:r>
            <w:r w:rsidR="000B3337">
              <w:t>5</w:t>
            </w:r>
            <w:r w:rsidR="007E63FB" w:rsidRPr="007E63FB">
              <w:t>.</w:t>
            </w:r>
            <w:r w:rsidR="00465737">
              <w:t>5</w:t>
            </w:r>
            <w:r w:rsidR="007E63FB" w:rsidRPr="007E63FB">
              <w:t>.3)</w:t>
            </w:r>
          </w:p>
        </w:tc>
      </w:tr>
      <w:tr w:rsidR="007E63FB" w14:paraId="0A3D3AD7" w14:textId="77777777" w:rsidTr="0009210B">
        <w:tc>
          <w:tcPr>
            <w:tcW w:w="574" w:type="dxa"/>
          </w:tcPr>
          <w:p w14:paraId="52A26CAD" w14:textId="77777777" w:rsidR="007E63FB" w:rsidRDefault="007E63FB" w:rsidP="000A6909">
            <w:pPr>
              <w:pStyle w:val="BodyText"/>
            </w:pPr>
          </w:p>
        </w:tc>
        <w:tc>
          <w:tcPr>
            <w:tcW w:w="4955" w:type="dxa"/>
          </w:tcPr>
          <w:p w14:paraId="3C2FFDF7" w14:textId="77777777" w:rsidR="007E63FB" w:rsidRDefault="007E63FB" w:rsidP="000A6909">
            <w:pPr>
              <w:pStyle w:val="BodyText"/>
            </w:pPr>
            <w:r w:rsidRPr="007E63FB">
              <w:t>A crossfall tolerance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2ED3C2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9F3" w14:textId="77777777" w:rsidR="007E63FB" w:rsidRDefault="007E63FB" w:rsidP="000A6909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7F0C44" w14:textId="77777777" w:rsidR="007E63FB" w:rsidRPr="00031DFC" w:rsidRDefault="007E63FB" w:rsidP="000A6909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024" w14:textId="77777777" w:rsidR="007E63FB" w:rsidRDefault="007E63FB" w:rsidP="000A6909">
            <w:pPr>
              <w:pStyle w:val="BodyText"/>
            </w:pPr>
          </w:p>
        </w:tc>
      </w:tr>
      <w:tr w:rsidR="0009210B" w14:paraId="1053A8C9" w14:textId="77777777" w:rsidTr="00331FEC">
        <w:tc>
          <w:tcPr>
            <w:tcW w:w="574" w:type="dxa"/>
          </w:tcPr>
          <w:p w14:paraId="036EDA77" w14:textId="77777777" w:rsidR="0009210B" w:rsidRDefault="0009210B" w:rsidP="000A6909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7B448FF5" w14:textId="6219517C" w:rsidR="0009210B" w:rsidRDefault="0009210B" w:rsidP="0009210B">
            <w:pPr>
              <w:pStyle w:val="TableNotes"/>
            </w:pPr>
            <w:r>
              <w:t>If no indication is given, crossfall tolerance shall apply.</w:t>
            </w:r>
          </w:p>
        </w:tc>
      </w:tr>
    </w:tbl>
    <w:p w14:paraId="6A0701B3" w14:textId="77777777" w:rsidR="007E63FB" w:rsidRDefault="007E63FB" w:rsidP="007E63F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4955"/>
        <w:gridCol w:w="992"/>
        <w:gridCol w:w="850"/>
        <w:gridCol w:w="851"/>
        <w:gridCol w:w="838"/>
      </w:tblGrid>
      <w:tr w:rsidR="005958BC" w14:paraId="38CAB46D" w14:textId="77777777" w:rsidTr="006624A0">
        <w:tc>
          <w:tcPr>
            <w:tcW w:w="9060" w:type="dxa"/>
            <w:gridSpan w:val="6"/>
          </w:tcPr>
          <w:p w14:paraId="072BDD05" w14:textId="7412911D" w:rsidR="005958BC" w:rsidRDefault="005958BC" w:rsidP="005958BC">
            <w:pPr>
              <w:pStyle w:val="Heading1"/>
            </w:pPr>
            <w:r>
              <w:t xml:space="preserve">Proof rolling </w:t>
            </w:r>
            <w:r w:rsidR="00671C9C">
              <w:t xml:space="preserve">of </w:t>
            </w:r>
            <w:r>
              <w:t>stabilised layers</w:t>
            </w:r>
            <w:r w:rsidR="00053FEC">
              <w:t> </w:t>
            </w:r>
            <w:r>
              <w:t>(Clause 9.8</w:t>
            </w:r>
            <w:r w:rsidRPr="007E63FB">
              <w:t>)</w:t>
            </w:r>
          </w:p>
        </w:tc>
      </w:tr>
      <w:tr w:rsidR="005958BC" w14:paraId="71BED7A1" w14:textId="77777777" w:rsidTr="006624A0">
        <w:tc>
          <w:tcPr>
            <w:tcW w:w="574" w:type="dxa"/>
          </w:tcPr>
          <w:p w14:paraId="5378887F" w14:textId="77777777" w:rsidR="005958BC" w:rsidRDefault="005958BC" w:rsidP="006624A0">
            <w:pPr>
              <w:pStyle w:val="BodyText"/>
            </w:pPr>
          </w:p>
        </w:tc>
        <w:tc>
          <w:tcPr>
            <w:tcW w:w="4955" w:type="dxa"/>
          </w:tcPr>
          <w:p w14:paraId="5219543D" w14:textId="28D8B0C5" w:rsidR="005958BC" w:rsidRDefault="005958BC" w:rsidP="005958BC">
            <w:pPr>
              <w:pStyle w:val="BodyText"/>
            </w:pPr>
            <w:r>
              <w:t>The proof rolling test shall apply.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C19BC7" w14:textId="77777777" w:rsidR="005958BC" w:rsidRPr="00031DFC" w:rsidRDefault="005958BC" w:rsidP="006624A0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Yes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DF30" w14:textId="77777777" w:rsidR="005958BC" w:rsidRDefault="005958BC" w:rsidP="006624A0">
            <w:pPr>
              <w:pStyle w:val="BodyText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5BE944" w14:textId="77777777" w:rsidR="005958BC" w:rsidRPr="00031DFC" w:rsidRDefault="005958BC" w:rsidP="006624A0">
            <w:pPr>
              <w:pStyle w:val="BodyText"/>
              <w:jc w:val="right"/>
              <w:rPr>
                <w:rStyle w:val="BodyTextbold"/>
              </w:rPr>
            </w:pPr>
            <w:r w:rsidRPr="00031DFC">
              <w:rPr>
                <w:rStyle w:val="BodyTextbold"/>
              </w:rPr>
              <w:t>No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8B5B" w14:textId="77777777" w:rsidR="005958BC" w:rsidRDefault="005958BC" w:rsidP="006624A0">
            <w:pPr>
              <w:pStyle w:val="BodyText"/>
            </w:pPr>
          </w:p>
        </w:tc>
      </w:tr>
      <w:tr w:rsidR="005958BC" w14:paraId="6E03F4B1" w14:textId="77777777" w:rsidTr="006624A0">
        <w:tc>
          <w:tcPr>
            <w:tcW w:w="574" w:type="dxa"/>
          </w:tcPr>
          <w:p w14:paraId="416336D2" w14:textId="77777777" w:rsidR="005958BC" w:rsidRDefault="005958BC" w:rsidP="006624A0">
            <w:pPr>
              <w:pStyle w:val="BodyText"/>
            </w:pPr>
          </w:p>
        </w:tc>
        <w:tc>
          <w:tcPr>
            <w:tcW w:w="8486" w:type="dxa"/>
            <w:gridSpan w:val="5"/>
          </w:tcPr>
          <w:p w14:paraId="163AEF88" w14:textId="2B313A0D" w:rsidR="005958BC" w:rsidRDefault="005958BC" w:rsidP="005958BC">
            <w:pPr>
              <w:pStyle w:val="TableNotes"/>
            </w:pPr>
            <w:r>
              <w:t>If no indication is given, the proof rolling test shall apply.</w:t>
            </w:r>
          </w:p>
        </w:tc>
      </w:tr>
    </w:tbl>
    <w:p w14:paraId="2DA0A6CD" w14:textId="77777777" w:rsidR="005958BC" w:rsidRDefault="005958BC" w:rsidP="007E63FB">
      <w:pPr>
        <w:pStyle w:val="BodyText"/>
      </w:pPr>
    </w:p>
    <w:p w14:paraId="39773A46" w14:textId="77777777" w:rsidR="0009210B" w:rsidRDefault="0009210B" w:rsidP="007E63FB">
      <w:pPr>
        <w:pStyle w:val="BodyText"/>
      </w:pPr>
    </w:p>
    <w:p w14:paraId="10788CBB" w14:textId="77777777" w:rsidR="007E63FB" w:rsidRDefault="007E63FB" w:rsidP="007E63FB">
      <w:pPr>
        <w:pStyle w:val="BodyText"/>
        <w:sectPr w:rsidR="007E63FB" w:rsidSect="00685517">
          <w:headerReference w:type="default" r:id="rId12"/>
          <w:footerReference w:type="default" r:id="rId13"/>
          <w:pgSz w:w="11906" w:h="16838" w:code="9"/>
          <w:pgMar w:top="1418" w:right="1418" w:bottom="1276" w:left="1418" w:header="454" w:footer="454" w:gutter="0"/>
          <w:cols w:space="708"/>
          <w:docGrid w:linePitch="360"/>
        </w:sectPr>
      </w:pPr>
    </w:p>
    <w:p w14:paraId="7BBB9B1A" w14:textId="37B0EE02" w:rsidR="007E63FB" w:rsidRPr="005B050C" w:rsidRDefault="00B54C26" w:rsidP="007E63FB">
      <w:pPr>
        <w:pStyle w:val="HeadingPartChapter"/>
        <w:rPr>
          <w:sz w:val="22"/>
        </w:rPr>
      </w:pPr>
      <w:r w:rsidRPr="005B050C">
        <w:rPr>
          <w:sz w:val="22"/>
        </w:rPr>
        <w:lastRenderedPageBreak/>
        <w:t>Part B</w:t>
      </w:r>
      <w:r w:rsidR="00053FEC">
        <w:rPr>
          <w:rFonts w:hint="eastAsia"/>
          <w:sz w:val="22"/>
        </w:rPr>
        <w:t> </w:t>
      </w:r>
      <w:r w:rsidRPr="005B050C">
        <w:rPr>
          <w:sz w:val="22"/>
        </w:rPr>
        <w:t>–</w:t>
      </w:r>
      <w:r w:rsidR="00053FEC">
        <w:rPr>
          <w:rFonts w:hint="eastAsia"/>
          <w:sz w:val="22"/>
        </w:rPr>
        <w:t> </w:t>
      </w:r>
      <w:r w:rsidRPr="005B050C">
        <w:rPr>
          <w:sz w:val="22"/>
        </w:rPr>
        <w:t>Part </w:t>
      </w:r>
      <w:r w:rsidR="007E63FB" w:rsidRPr="005B050C">
        <w:rPr>
          <w:sz w:val="22"/>
        </w:rPr>
        <w:t>B to be completed by the: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"/>
        <w:gridCol w:w="844"/>
        <w:gridCol w:w="2551"/>
        <w:gridCol w:w="851"/>
        <w:gridCol w:w="4240"/>
      </w:tblGrid>
      <w:tr w:rsidR="00633FD9" w14:paraId="0D81A9FB" w14:textId="77777777" w:rsidTr="000A6909">
        <w:tc>
          <w:tcPr>
            <w:tcW w:w="574" w:type="dxa"/>
            <w:tcBorders>
              <w:right w:val="single" w:sz="4" w:space="0" w:color="auto"/>
            </w:tcBorders>
          </w:tcPr>
          <w:p w14:paraId="673A24FC" w14:textId="77777777" w:rsidR="00633FD9" w:rsidRDefault="00633FD9" w:rsidP="000A6909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D128" w14:textId="77777777" w:rsidR="00633FD9" w:rsidRDefault="00633FD9" w:rsidP="000A6909">
            <w:pPr>
              <w:pStyle w:val="BodyText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9C9BDCD" w14:textId="77777777" w:rsidR="00633FD9" w:rsidRPr="001E28D4" w:rsidRDefault="00633FD9" w:rsidP="000A6909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Principal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C3F" w14:textId="77777777" w:rsidR="00633FD9" w:rsidRDefault="00633FD9" w:rsidP="000A6909">
            <w:pPr>
              <w:pStyle w:val="BodyText"/>
            </w:pPr>
          </w:p>
        </w:tc>
        <w:tc>
          <w:tcPr>
            <w:tcW w:w="4240" w:type="dxa"/>
            <w:tcBorders>
              <w:left w:val="single" w:sz="4" w:space="0" w:color="auto"/>
            </w:tcBorders>
          </w:tcPr>
          <w:p w14:paraId="6710E081" w14:textId="77777777" w:rsidR="00633FD9" w:rsidRPr="001E28D4" w:rsidRDefault="00633FD9" w:rsidP="000A6909">
            <w:pPr>
              <w:pStyle w:val="BodyText"/>
              <w:rPr>
                <w:rStyle w:val="BodyTextbold"/>
              </w:rPr>
            </w:pPr>
            <w:r w:rsidRPr="001E28D4">
              <w:rPr>
                <w:rStyle w:val="BodyTextbold"/>
              </w:rPr>
              <w:t>Designer under the Contract</w:t>
            </w:r>
          </w:p>
        </w:tc>
      </w:tr>
    </w:tbl>
    <w:p w14:paraId="4262B1FD" w14:textId="77777777" w:rsidR="007E63FB" w:rsidRDefault="007E63FB" w:rsidP="007E63FB">
      <w:pPr>
        <w:pStyle w:val="BodyText"/>
      </w:pPr>
    </w:p>
    <w:tbl>
      <w:tblPr>
        <w:tblStyle w:val="TableGrid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126"/>
        <w:gridCol w:w="1933"/>
        <w:gridCol w:w="1933"/>
        <w:gridCol w:w="1508"/>
        <w:gridCol w:w="426"/>
      </w:tblGrid>
      <w:tr w:rsidR="00633FD9" w14:paraId="100FAEED" w14:textId="77777777" w:rsidTr="0051723A">
        <w:tc>
          <w:tcPr>
            <w:tcW w:w="9486" w:type="dxa"/>
            <w:gridSpan w:val="6"/>
          </w:tcPr>
          <w:p w14:paraId="5F530C67" w14:textId="4D0BE569" w:rsidR="00633FD9" w:rsidRDefault="00B54C26" w:rsidP="00006990">
            <w:pPr>
              <w:pStyle w:val="Heading1"/>
              <w:keepNext w:val="0"/>
              <w:keepLines w:val="0"/>
            </w:pPr>
            <w:r>
              <w:t>Specific treatments</w:t>
            </w:r>
            <w:r w:rsidR="00053FEC">
              <w:t> </w:t>
            </w:r>
            <w:r>
              <w:t>(Clauses </w:t>
            </w:r>
            <w:r w:rsidR="00633FD9" w:rsidRPr="00633FD9">
              <w:t>6.</w:t>
            </w:r>
            <w:r w:rsidR="007E61DD">
              <w:t>3</w:t>
            </w:r>
            <w:r w:rsidR="00633FD9" w:rsidRPr="00633FD9">
              <w:t>,</w:t>
            </w:r>
            <w:r w:rsidR="00006990">
              <w:t xml:space="preserve"> 8.1,</w:t>
            </w:r>
            <w:r w:rsidR="00633FD9" w:rsidRPr="00633FD9">
              <w:t xml:space="preserve"> 8.4, 8.5.1, 8.5.2, 8.5.3, </w:t>
            </w:r>
            <w:r w:rsidR="007E61DD">
              <w:t>8.</w:t>
            </w:r>
            <w:r w:rsidR="00C300DB">
              <w:t>6</w:t>
            </w:r>
            <w:r w:rsidR="007E61DD">
              <w:t>.7</w:t>
            </w:r>
            <w:r w:rsidR="00A80D59">
              <w:t>.1</w:t>
            </w:r>
            <w:r w:rsidR="007E61DD">
              <w:t xml:space="preserve">, </w:t>
            </w:r>
            <w:r w:rsidR="00633FD9" w:rsidRPr="00633FD9">
              <w:t>8.</w:t>
            </w:r>
            <w:r w:rsidR="00C300DB">
              <w:t>7</w:t>
            </w:r>
            <w:r w:rsidR="00633FD9" w:rsidRPr="00633FD9">
              <w:t>.</w:t>
            </w:r>
            <w:r w:rsidR="000B3337">
              <w:t>2</w:t>
            </w:r>
            <w:r w:rsidR="00633FD9" w:rsidRPr="00633FD9">
              <w:t xml:space="preserve">.1, </w:t>
            </w:r>
            <w:r w:rsidR="00850994">
              <w:t xml:space="preserve">8.7.2.2, </w:t>
            </w:r>
            <w:r w:rsidR="00633FD9" w:rsidRPr="00633FD9">
              <w:t>8.</w:t>
            </w:r>
            <w:r w:rsidR="00C300DB">
              <w:t>7</w:t>
            </w:r>
            <w:r w:rsidR="00633FD9" w:rsidRPr="00633FD9">
              <w:t>.</w:t>
            </w:r>
            <w:r w:rsidR="000B3337">
              <w:t>5</w:t>
            </w:r>
            <w:r w:rsidR="00633FD9" w:rsidRPr="00633FD9">
              <w:t>.</w:t>
            </w:r>
            <w:r w:rsidR="00465737">
              <w:t>2</w:t>
            </w:r>
            <w:r w:rsidR="00633FD9" w:rsidRPr="00633FD9">
              <w:t>.1 and 8.</w:t>
            </w:r>
            <w:r w:rsidR="00C300DB">
              <w:t>7</w:t>
            </w:r>
            <w:r w:rsidR="00633FD9" w:rsidRPr="00633FD9">
              <w:t>.</w:t>
            </w:r>
            <w:r w:rsidR="000B3337">
              <w:t>5</w:t>
            </w:r>
            <w:r w:rsidR="00633FD9" w:rsidRPr="00633FD9">
              <w:t>.</w:t>
            </w:r>
            <w:r w:rsidR="00465737">
              <w:t>3</w:t>
            </w:r>
            <w:r w:rsidR="00633FD9" w:rsidRPr="00633FD9">
              <w:t>.1)</w:t>
            </w:r>
          </w:p>
        </w:tc>
      </w:tr>
      <w:tr w:rsidR="00633FD9" w14:paraId="5671700C" w14:textId="77777777" w:rsidTr="0051723A">
        <w:tc>
          <w:tcPr>
            <w:tcW w:w="560" w:type="dxa"/>
          </w:tcPr>
          <w:p w14:paraId="44B675F7" w14:textId="77777777" w:rsidR="00633FD9" w:rsidRDefault="00633FD9" w:rsidP="00006990">
            <w:pPr>
              <w:pStyle w:val="BodyText"/>
              <w:keepNext w:val="0"/>
              <w:keepLines w:val="0"/>
            </w:pPr>
          </w:p>
        </w:tc>
        <w:tc>
          <w:tcPr>
            <w:tcW w:w="8926" w:type="dxa"/>
            <w:gridSpan w:val="5"/>
          </w:tcPr>
          <w:p w14:paraId="26D86397" w14:textId="042F3377" w:rsidR="00633FD9" w:rsidRDefault="007E61DD" w:rsidP="0051723A">
            <w:pPr>
              <w:pStyle w:val="BodyText"/>
              <w:keepNext w:val="0"/>
              <w:keepLines w:val="0"/>
              <w:spacing w:after="240"/>
            </w:pPr>
            <w:r w:rsidRPr="007E61DD">
              <w:t>The specific tr</w:t>
            </w:r>
            <w:r w:rsidR="00B01B6E">
              <w:t>eatment(s) for work under this C</w:t>
            </w:r>
            <w:r w:rsidRPr="007E61DD">
              <w:t xml:space="preserve">ontract shall be as stated below. </w:t>
            </w:r>
            <w:r w:rsidR="00923072">
              <w:t>Refer to</w:t>
            </w:r>
            <w:r w:rsidRPr="007E61DD">
              <w:t xml:space="preserve"> Transport and Main Roads </w:t>
            </w:r>
            <w:r w:rsidR="0051723A">
              <w:t>Materials Testing Manual, Part 2</w:t>
            </w:r>
            <w:r w:rsidR="00053FEC">
              <w:t> </w:t>
            </w:r>
            <w:r w:rsidR="0051723A">
              <w:t>–</w:t>
            </w:r>
            <w:r w:rsidR="00053FEC">
              <w:t> </w:t>
            </w:r>
            <w:r w:rsidR="0051723A">
              <w:t xml:space="preserve">Application, </w:t>
            </w:r>
            <w:r w:rsidR="0051723A" w:rsidRPr="0051723A">
              <w:rPr>
                <w:i/>
              </w:rPr>
              <w:t>Section </w:t>
            </w:r>
            <w:r w:rsidR="00781EFF">
              <w:rPr>
                <w:i/>
              </w:rPr>
              <w:t>3</w:t>
            </w:r>
            <w:r w:rsidR="00053FEC">
              <w:rPr>
                <w:i/>
              </w:rPr>
              <w:t> </w:t>
            </w:r>
            <w:r w:rsidR="0051723A" w:rsidRPr="0051723A">
              <w:rPr>
                <w:i/>
              </w:rPr>
              <w:t>–</w:t>
            </w:r>
            <w:r w:rsidR="00053FEC">
              <w:rPr>
                <w:i/>
              </w:rPr>
              <w:t> </w:t>
            </w:r>
            <w:r w:rsidR="0051723A" w:rsidRPr="0051723A">
              <w:rPr>
                <w:i/>
              </w:rPr>
              <w:t>Testing of Materials for Insitu Cement or Cementitious Blend Stabilisation</w:t>
            </w:r>
            <w:r w:rsidR="00923072">
              <w:t xml:space="preserve"> for guidance on the mix design</w:t>
            </w:r>
            <w:r w:rsidRPr="007E61DD">
              <w:t>.</w:t>
            </w:r>
          </w:p>
        </w:tc>
      </w:tr>
      <w:tr w:rsidR="00BC13C9" w14:paraId="4941FC97" w14:textId="77777777" w:rsidTr="00B42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58E44E2E" w14:textId="77777777" w:rsidR="00BC13C9" w:rsidRPr="005E3BF1" w:rsidRDefault="00BC13C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>Reference location</w:t>
            </w:r>
          </w:p>
        </w:tc>
        <w:tc>
          <w:tcPr>
            <w:tcW w:w="5800" w:type="dxa"/>
            <w:gridSpan w:val="4"/>
          </w:tcPr>
          <w:p w14:paraId="1EFC1F1A" w14:textId="77777777" w:rsidR="00BC13C9" w:rsidRDefault="00BC13C9" w:rsidP="00006990">
            <w:pPr>
              <w:pStyle w:val="BodyText"/>
              <w:keepNext w:val="0"/>
              <w:keepLines w:val="0"/>
            </w:pPr>
          </w:p>
        </w:tc>
      </w:tr>
      <w:tr w:rsidR="00BC13C9" w14:paraId="47E78E3D" w14:textId="77777777" w:rsidTr="001908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03840606" w14:textId="2A48D188" w:rsidR="00BC13C9" w:rsidRPr="005E3BF1" w:rsidRDefault="00BC13C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 xml:space="preserve">Course </w:t>
            </w:r>
            <w:r w:rsidR="00022AE3">
              <w:t>layer</w:t>
            </w:r>
          </w:p>
        </w:tc>
        <w:tc>
          <w:tcPr>
            <w:tcW w:w="5800" w:type="dxa"/>
            <w:gridSpan w:val="4"/>
          </w:tcPr>
          <w:p w14:paraId="46E485A3" w14:textId="77777777" w:rsidR="00BC13C9" w:rsidRDefault="00BC13C9" w:rsidP="00006990">
            <w:pPr>
              <w:pStyle w:val="BodyText"/>
              <w:keepNext w:val="0"/>
              <w:keepLines w:val="0"/>
            </w:pPr>
          </w:p>
        </w:tc>
      </w:tr>
      <w:tr w:rsidR="00BC13C9" w14:paraId="13D95B80" w14:textId="77777777" w:rsidTr="003E4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194893B4" w14:textId="2AF1D244" w:rsidR="00BC13C9" w:rsidRPr="005E3BF1" w:rsidRDefault="00BC13C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>Design depth</w:t>
            </w:r>
            <w:r w:rsidR="00053FEC">
              <w:t> </w:t>
            </w:r>
            <w:r w:rsidRPr="005E3BF1">
              <w:t>(mm)</w:t>
            </w:r>
          </w:p>
        </w:tc>
        <w:tc>
          <w:tcPr>
            <w:tcW w:w="5800" w:type="dxa"/>
            <w:gridSpan w:val="4"/>
          </w:tcPr>
          <w:p w14:paraId="08A3ED75" w14:textId="77777777" w:rsidR="00BC13C9" w:rsidRDefault="00BC13C9" w:rsidP="00006990">
            <w:pPr>
              <w:pStyle w:val="BodyText"/>
              <w:keepNext w:val="0"/>
              <w:keepLines w:val="0"/>
            </w:pPr>
          </w:p>
        </w:tc>
      </w:tr>
      <w:tr w:rsidR="00BC13C9" w14:paraId="1B5E333D" w14:textId="77777777" w:rsidTr="00B20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vAlign w:val="top"/>
          </w:tcPr>
          <w:p w14:paraId="1498079B" w14:textId="77777777" w:rsidR="00BC13C9" w:rsidRDefault="00BC13C9" w:rsidP="00006990">
            <w:pPr>
              <w:pStyle w:val="TableHeading"/>
              <w:keepNext w:val="0"/>
              <w:keepLines w:val="0"/>
              <w:jc w:val="left"/>
            </w:pPr>
            <w:r w:rsidRPr="005E3BF1">
              <w:t>Type of stabilising agent</w:t>
            </w:r>
          </w:p>
        </w:tc>
        <w:tc>
          <w:tcPr>
            <w:tcW w:w="5800" w:type="dxa"/>
            <w:gridSpan w:val="4"/>
          </w:tcPr>
          <w:p w14:paraId="2F9251F0" w14:textId="256AB12C" w:rsidR="00BC13C9" w:rsidRDefault="00BC13C9" w:rsidP="00780C27">
            <w:pPr>
              <w:pStyle w:val="TableBodyText"/>
            </w:pPr>
            <w:r>
              <w:t>Triple Blend</w:t>
            </w:r>
          </w:p>
        </w:tc>
      </w:tr>
      <w:tr w:rsidR="00BC13C9" w14:paraId="090D8679" w14:textId="77777777" w:rsidTr="00F67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39F8477D" w14:textId="23DB3F5E" w:rsidR="00BC13C9" w:rsidRPr="00633FD9" w:rsidRDefault="00BC13C9" w:rsidP="00006990">
            <w:pPr>
              <w:pStyle w:val="TableHeading"/>
              <w:keepNext w:val="0"/>
              <w:keepLines w:val="0"/>
              <w:jc w:val="left"/>
            </w:pPr>
            <w:r>
              <w:t>Blend ratio</w:t>
            </w:r>
            <w:r w:rsidR="00053FEC">
              <w:t> </w:t>
            </w:r>
            <w:r>
              <w:t>(hydrated lime</w:t>
            </w:r>
            <w:r w:rsidR="00053FEC">
              <w:t> </w:t>
            </w:r>
            <w:r>
              <w:t>/</w:t>
            </w:r>
            <w:r w:rsidR="00053FEC">
              <w:t xml:space="preserve"> </w:t>
            </w:r>
            <w:r>
              <w:t>GP</w:t>
            </w:r>
            <w:r w:rsidR="00053FEC">
              <w:t> </w:t>
            </w:r>
            <w:r>
              <w:t>cement</w:t>
            </w:r>
            <w:r w:rsidR="00053FEC">
              <w:t> </w:t>
            </w:r>
            <w:r>
              <w:t>/</w:t>
            </w:r>
            <w:r w:rsidR="00053FEC">
              <w:t> </w:t>
            </w:r>
            <w:r>
              <w:t>fly ash)</w:t>
            </w:r>
          </w:p>
        </w:tc>
        <w:tc>
          <w:tcPr>
            <w:tcW w:w="5800" w:type="dxa"/>
            <w:gridSpan w:val="4"/>
          </w:tcPr>
          <w:p w14:paraId="47CFC6E1" w14:textId="77777777" w:rsidR="00BC13C9" w:rsidRDefault="00BC13C9" w:rsidP="00780C27">
            <w:pPr>
              <w:pStyle w:val="TableBodyText"/>
            </w:pPr>
          </w:p>
        </w:tc>
      </w:tr>
      <w:tr w:rsidR="00BC13C9" w14:paraId="177E280E" w14:textId="77777777" w:rsidTr="00BC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686" w:type="dxa"/>
            <w:gridSpan w:val="2"/>
            <w:vMerge w:val="restart"/>
          </w:tcPr>
          <w:p w14:paraId="07E076D7" w14:textId="3E8DF8CF" w:rsidR="00BC13C9" w:rsidRDefault="00BC13C9" w:rsidP="00006990">
            <w:pPr>
              <w:pStyle w:val="TableHeading"/>
              <w:keepNext w:val="0"/>
              <w:keepLines w:val="0"/>
              <w:jc w:val="left"/>
            </w:pPr>
            <w:r w:rsidRPr="00633FD9">
              <w:t>Estimated stabilising agent content (%</w:t>
            </w:r>
            <w:r>
              <w:t>,</w:t>
            </w:r>
            <w:r w:rsidR="00053FEC">
              <w:t> </w:t>
            </w:r>
            <w:r w:rsidRPr="00633FD9">
              <w:t>by mass)</w:t>
            </w:r>
            <w:r w:rsidR="00053FEC">
              <w:t> </w:t>
            </w:r>
            <w:r w:rsidRPr="00633FD9">
              <w:t>†</w:t>
            </w:r>
            <w:r w:rsidRPr="00671C9C">
              <w:rPr>
                <w:rFonts w:ascii="Arial Bold" w:hAnsi="Arial Bold"/>
                <w:vertAlign w:val="superscript"/>
              </w:rPr>
              <w:t>1</w:t>
            </w:r>
          </w:p>
        </w:tc>
        <w:tc>
          <w:tcPr>
            <w:tcW w:w="5800" w:type="dxa"/>
            <w:gridSpan w:val="4"/>
          </w:tcPr>
          <w:p w14:paraId="7C63B0AF" w14:textId="6BA7D847" w:rsidR="00BC13C9" w:rsidRDefault="00BC13C9" w:rsidP="00780C27">
            <w:pPr>
              <w:pStyle w:val="TableBodyText"/>
            </w:pPr>
            <w:r>
              <w:t>Total:</w:t>
            </w:r>
          </w:p>
        </w:tc>
      </w:tr>
      <w:tr w:rsidR="00BC13C9" w14:paraId="1EE4F0BE" w14:textId="77777777" w:rsidTr="006B15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3686" w:type="dxa"/>
            <w:gridSpan w:val="2"/>
            <w:vMerge/>
          </w:tcPr>
          <w:p w14:paraId="094EB0F9" w14:textId="77777777" w:rsidR="00BC13C9" w:rsidRPr="00633FD9" w:rsidRDefault="00BC13C9" w:rsidP="00006990">
            <w:pPr>
              <w:pStyle w:val="TableHeading"/>
              <w:jc w:val="left"/>
            </w:pPr>
          </w:p>
        </w:tc>
        <w:tc>
          <w:tcPr>
            <w:tcW w:w="1933" w:type="dxa"/>
          </w:tcPr>
          <w:p w14:paraId="1EB4213C" w14:textId="66D68540" w:rsidR="00BC13C9" w:rsidRDefault="00BC13C9" w:rsidP="00780C27">
            <w:pPr>
              <w:pStyle w:val="TableBodyText"/>
            </w:pPr>
            <w:r>
              <w:t>Hydrated Lime:</w:t>
            </w:r>
          </w:p>
        </w:tc>
        <w:tc>
          <w:tcPr>
            <w:tcW w:w="1933" w:type="dxa"/>
          </w:tcPr>
          <w:p w14:paraId="7F6BB098" w14:textId="73F85D2C" w:rsidR="00BC13C9" w:rsidRDefault="00BC13C9" w:rsidP="00780C27">
            <w:pPr>
              <w:pStyle w:val="TableBodyText"/>
            </w:pPr>
            <w:r>
              <w:t>GP</w:t>
            </w:r>
            <w:r w:rsidR="00053FEC">
              <w:t> </w:t>
            </w:r>
            <w:r>
              <w:t>Cement:</w:t>
            </w:r>
          </w:p>
        </w:tc>
        <w:tc>
          <w:tcPr>
            <w:tcW w:w="1934" w:type="dxa"/>
            <w:gridSpan w:val="2"/>
          </w:tcPr>
          <w:p w14:paraId="2AE7EFBD" w14:textId="62B3D996" w:rsidR="00BC13C9" w:rsidRDefault="00BC13C9" w:rsidP="00780C27">
            <w:pPr>
              <w:pStyle w:val="TableBodyText"/>
            </w:pPr>
            <w:r>
              <w:t>Fly Ash:</w:t>
            </w:r>
          </w:p>
        </w:tc>
      </w:tr>
      <w:tr w:rsidR="00BC13C9" w14:paraId="3A457A80" w14:textId="77777777" w:rsidTr="00BC13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3686" w:type="dxa"/>
            <w:gridSpan w:val="2"/>
            <w:vMerge w:val="restart"/>
          </w:tcPr>
          <w:p w14:paraId="5DD36BF0" w14:textId="77E3CC69" w:rsidR="00BC13C9" w:rsidRDefault="00BC13C9" w:rsidP="00BC13C9">
            <w:pPr>
              <w:pStyle w:val="TableHeading"/>
              <w:keepNext w:val="0"/>
              <w:keepLines w:val="0"/>
              <w:jc w:val="left"/>
            </w:pPr>
            <w:r w:rsidRPr="00633FD9">
              <w:t>Specified spread rate (kg/m</w:t>
            </w:r>
            <w:r>
              <w:t>²)</w:t>
            </w:r>
          </w:p>
        </w:tc>
        <w:tc>
          <w:tcPr>
            <w:tcW w:w="5800" w:type="dxa"/>
            <w:gridSpan w:val="4"/>
          </w:tcPr>
          <w:p w14:paraId="329C8921" w14:textId="1DB34BE7" w:rsidR="00BC13C9" w:rsidRDefault="00BC13C9" w:rsidP="00780C27">
            <w:pPr>
              <w:pStyle w:val="TableBodyText"/>
            </w:pPr>
            <w:r>
              <w:t>Total:</w:t>
            </w:r>
          </w:p>
        </w:tc>
      </w:tr>
      <w:tr w:rsidR="00BC13C9" w14:paraId="700045C4" w14:textId="77777777" w:rsidTr="00EF4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3686" w:type="dxa"/>
            <w:gridSpan w:val="2"/>
            <w:vMerge/>
          </w:tcPr>
          <w:p w14:paraId="0A89D682" w14:textId="77777777" w:rsidR="00BC13C9" w:rsidRPr="00633FD9" w:rsidRDefault="00BC13C9" w:rsidP="00BC13C9">
            <w:pPr>
              <w:pStyle w:val="TableHeading"/>
              <w:jc w:val="left"/>
            </w:pPr>
          </w:p>
        </w:tc>
        <w:tc>
          <w:tcPr>
            <w:tcW w:w="1933" w:type="dxa"/>
          </w:tcPr>
          <w:p w14:paraId="38CA6522" w14:textId="02738D07" w:rsidR="00BC13C9" w:rsidRDefault="00BC13C9" w:rsidP="00780C27">
            <w:pPr>
              <w:pStyle w:val="TableBodyText"/>
            </w:pPr>
            <w:r>
              <w:t>Hydrated Lime:</w:t>
            </w:r>
          </w:p>
        </w:tc>
        <w:tc>
          <w:tcPr>
            <w:tcW w:w="1933" w:type="dxa"/>
          </w:tcPr>
          <w:p w14:paraId="4796AE0E" w14:textId="241686AC" w:rsidR="00BC13C9" w:rsidRDefault="00BC13C9" w:rsidP="00780C27">
            <w:pPr>
              <w:pStyle w:val="TableBodyText"/>
            </w:pPr>
            <w:r>
              <w:t>GP</w:t>
            </w:r>
            <w:r w:rsidR="00053FEC">
              <w:t> </w:t>
            </w:r>
            <w:r>
              <w:t>Cement:</w:t>
            </w:r>
          </w:p>
        </w:tc>
        <w:tc>
          <w:tcPr>
            <w:tcW w:w="1934" w:type="dxa"/>
            <w:gridSpan w:val="2"/>
          </w:tcPr>
          <w:p w14:paraId="64F6ED73" w14:textId="6625E018" w:rsidR="00BC13C9" w:rsidRDefault="00BC13C9" w:rsidP="00780C27">
            <w:pPr>
              <w:pStyle w:val="TableBodyText"/>
            </w:pPr>
            <w:r>
              <w:t>Fly Ash:</w:t>
            </w:r>
          </w:p>
        </w:tc>
      </w:tr>
      <w:tr w:rsidR="00F9684A" w14:paraId="7833DBAE" w14:textId="77777777" w:rsidTr="007F2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5C7FA5E5" w14:textId="1A26D8A5" w:rsidR="00F9684A" w:rsidRPr="00633FD9" w:rsidRDefault="00F9684A" w:rsidP="00BC13C9">
            <w:pPr>
              <w:pStyle w:val="TableHeading"/>
              <w:jc w:val="left"/>
            </w:pPr>
            <w:r w:rsidRPr="00F9684A">
              <w:t>Available lime index for hydrated lime used in laboratory mix design testing</w:t>
            </w:r>
            <w:r w:rsidR="00053FEC">
              <w:t> </w:t>
            </w:r>
            <w:r w:rsidRPr="00F9684A">
              <w:t>AL</w:t>
            </w:r>
            <w:r w:rsidRPr="009565E1">
              <w:rPr>
                <w:vertAlign w:val="subscript"/>
              </w:rPr>
              <w:t>X</w:t>
            </w:r>
            <w:r w:rsidR="00053FEC">
              <w:rPr>
                <w:vertAlign w:val="subscript"/>
              </w:rPr>
              <w:t> </w:t>
            </w:r>
            <w:r w:rsidRPr="00F9684A">
              <w:t>(%)</w:t>
            </w:r>
            <w:r w:rsidR="00053FEC">
              <w:t> </w:t>
            </w:r>
            <w:r w:rsidRPr="00F9684A">
              <w:t>†</w:t>
            </w:r>
            <w:r w:rsidRPr="00F9684A">
              <w:rPr>
                <w:vertAlign w:val="superscript"/>
              </w:rPr>
              <w:t>2</w:t>
            </w:r>
          </w:p>
        </w:tc>
        <w:tc>
          <w:tcPr>
            <w:tcW w:w="5800" w:type="dxa"/>
            <w:gridSpan w:val="4"/>
          </w:tcPr>
          <w:p w14:paraId="280C3AAE" w14:textId="77777777" w:rsidR="00F9684A" w:rsidRDefault="00F9684A" w:rsidP="00780C27">
            <w:pPr>
              <w:pStyle w:val="TableBodyText"/>
            </w:pPr>
          </w:p>
        </w:tc>
      </w:tr>
      <w:tr w:rsidR="00BC13C9" w14:paraId="0104A0B2" w14:textId="77777777" w:rsidTr="007F20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6F8E39FF" w14:textId="638A8F2A" w:rsidR="00BC13C9" w:rsidRDefault="00BC13C9" w:rsidP="00BC13C9">
            <w:pPr>
              <w:pStyle w:val="TableHeading"/>
              <w:keepNext w:val="0"/>
              <w:keepLines w:val="0"/>
              <w:jc w:val="left"/>
            </w:pPr>
            <w:r w:rsidRPr="00633FD9">
              <w:t>Construction process</w:t>
            </w:r>
            <w:r w:rsidR="00053FEC">
              <w:t> </w:t>
            </w:r>
            <w:r w:rsidRPr="00633FD9">
              <w:t>†</w:t>
            </w:r>
            <w:r w:rsidR="00F9684A">
              <w:rPr>
                <w:rFonts w:ascii="Arial Bold" w:hAnsi="Arial Bold"/>
                <w:vertAlign w:val="superscript"/>
              </w:rPr>
              <w:t>3</w:t>
            </w:r>
          </w:p>
        </w:tc>
        <w:tc>
          <w:tcPr>
            <w:tcW w:w="5800" w:type="dxa"/>
            <w:gridSpan w:val="4"/>
          </w:tcPr>
          <w:p w14:paraId="7E7F9F06" w14:textId="77777777" w:rsidR="00BC13C9" w:rsidRDefault="00BC13C9" w:rsidP="00BC13C9">
            <w:pPr>
              <w:pStyle w:val="BodyText"/>
              <w:keepNext w:val="0"/>
              <w:keepLines w:val="0"/>
            </w:pPr>
          </w:p>
        </w:tc>
      </w:tr>
      <w:tr w:rsidR="00BC13C9" w14:paraId="75A900C2" w14:textId="77777777" w:rsidTr="009D1E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</w:tcPr>
          <w:p w14:paraId="2995755A" w14:textId="4C6251A5" w:rsidR="00BC13C9" w:rsidRDefault="00BC13C9" w:rsidP="00BC13C9">
            <w:pPr>
              <w:pStyle w:val="TableHeading"/>
              <w:keepNext w:val="0"/>
              <w:keepLines w:val="0"/>
              <w:jc w:val="left"/>
            </w:pPr>
            <w:r w:rsidRPr="00545286">
              <w:t xml:space="preserve">Maximum time between spreading of the </w:t>
            </w:r>
            <w:r w:rsidR="00210E17">
              <w:t xml:space="preserve">hydrated lime, GP cement and fly ash </w:t>
            </w:r>
            <w:r w:rsidRPr="00545286">
              <w:t>stabilising agent</w:t>
            </w:r>
            <w:r w:rsidR="00210E17">
              <w:t>,</w:t>
            </w:r>
            <w:r w:rsidRPr="00545286">
              <w:t xml:space="preserve"> and mixing of </w:t>
            </w:r>
            <w:r w:rsidR="00210E17">
              <w:t xml:space="preserve">the </w:t>
            </w:r>
            <w:r w:rsidRPr="00545286">
              <w:t>stabilising agent into insitu material</w:t>
            </w:r>
            <w:r w:rsidR="00053FEC">
              <w:t> </w:t>
            </w:r>
            <w:r w:rsidRPr="00545286">
              <w:t>(minutes)</w:t>
            </w:r>
            <w:r w:rsidR="00053FEC">
              <w:t> </w:t>
            </w:r>
            <w:r w:rsidRPr="00545286">
              <w:t>†</w:t>
            </w:r>
            <w:r w:rsidR="00F9684A">
              <w:rPr>
                <w:rFonts w:ascii="Arial Bold" w:hAnsi="Arial Bold"/>
                <w:vertAlign w:val="superscript"/>
              </w:rPr>
              <w:t>4</w:t>
            </w:r>
          </w:p>
        </w:tc>
        <w:tc>
          <w:tcPr>
            <w:tcW w:w="5800" w:type="dxa"/>
            <w:gridSpan w:val="4"/>
          </w:tcPr>
          <w:p w14:paraId="1B35AFE1" w14:textId="77777777" w:rsidR="00BC13C9" w:rsidRDefault="00BC13C9" w:rsidP="00BC13C9">
            <w:pPr>
              <w:pStyle w:val="BodyText"/>
              <w:keepNext w:val="0"/>
              <w:keepLines w:val="0"/>
            </w:pPr>
          </w:p>
        </w:tc>
      </w:tr>
      <w:tr w:rsidR="00BC13C9" w14:paraId="1075CFAD" w14:textId="77777777" w:rsidTr="002E4A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14:paraId="6F8F1141" w14:textId="02838462" w:rsidR="00BC13C9" w:rsidRDefault="00BC13C9" w:rsidP="00BC13C9">
            <w:pPr>
              <w:pStyle w:val="TableHeading"/>
              <w:keepNext w:val="0"/>
              <w:keepLines w:val="0"/>
              <w:jc w:val="left"/>
            </w:pPr>
            <w:r>
              <w:t>Maximum a</w:t>
            </w:r>
            <w:r w:rsidRPr="00633FD9">
              <w:t>llowable working time</w:t>
            </w:r>
            <w:r w:rsidR="00053FEC">
              <w:t> </w:t>
            </w:r>
            <w:r>
              <w:t>†</w:t>
            </w:r>
            <w:r w:rsidR="00F9684A">
              <w:rPr>
                <w:rFonts w:ascii="Arial Bold" w:hAnsi="Arial Bold"/>
                <w:vertAlign w:val="superscript"/>
              </w:rPr>
              <w:t>5</w:t>
            </w:r>
          </w:p>
        </w:tc>
        <w:tc>
          <w:tcPr>
            <w:tcW w:w="5800" w:type="dxa"/>
            <w:gridSpan w:val="4"/>
            <w:tcBorders>
              <w:bottom w:val="single" w:sz="4" w:space="0" w:color="auto"/>
            </w:tcBorders>
          </w:tcPr>
          <w:p w14:paraId="3A816112" w14:textId="77777777" w:rsidR="00BC13C9" w:rsidRDefault="00BC13C9" w:rsidP="00BC13C9">
            <w:pPr>
              <w:pStyle w:val="BodyText"/>
              <w:keepNext w:val="0"/>
              <w:keepLines w:val="0"/>
            </w:pPr>
          </w:p>
        </w:tc>
      </w:tr>
      <w:tr w:rsidR="00BC13C9" w14:paraId="621EEE87" w14:textId="77777777" w:rsidTr="00517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86" w:type="dxa"/>
            <w:gridSpan w:val="6"/>
            <w:tcBorders>
              <w:left w:val="nil"/>
              <w:bottom w:val="nil"/>
              <w:right w:val="nil"/>
            </w:tcBorders>
          </w:tcPr>
          <w:p w14:paraId="5FEC86E0" w14:textId="56442DDD" w:rsidR="00BC13C9" w:rsidRDefault="00BC13C9" w:rsidP="00BC13C9">
            <w:pPr>
              <w:pStyle w:val="TableNotes"/>
              <w:keepNext w:val="0"/>
              <w:keepLines w:val="0"/>
              <w:ind w:left="227" w:hanging="227"/>
            </w:pPr>
            <w:r>
              <w:t>†</w:t>
            </w:r>
            <w:r w:rsidRPr="00671C9C">
              <w:rPr>
                <w:vertAlign w:val="superscript"/>
              </w:rPr>
              <w:t>1</w:t>
            </w:r>
            <w:r w:rsidR="00053FEC">
              <w:t> </w:t>
            </w:r>
            <w:r>
              <w:t>Estimated stabilising agent content shall be based on hydrated lime</w:t>
            </w:r>
            <w:r w:rsidR="009D3496">
              <w:t> </w:t>
            </w:r>
            <w:r>
              <w:t>(where lime is nominated in the cementitious blend).</w:t>
            </w:r>
          </w:p>
          <w:p w14:paraId="1386F0A7" w14:textId="59DDE617" w:rsidR="00F9684A" w:rsidRDefault="00F9684A" w:rsidP="00F9684A">
            <w:pPr>
              <w:pStyle w:val="TableNotes"/>
              <w:keepNext w:val="0"/>
              <w:keepLines w:val="0"/>
              <w:widowControl w:val="0"/>
              <w:spacing w:beforeLines="60" w:before="144" w:afterLines="60" w:after="144" w:line="240" w:lineRule="auto"/>
              <w:ind w:left="227" w:hanging="227"/>
            </w:pPr>
            <w:r>
              <w:t>†</w:t>
            </w:r>
            <w:r>
              <w:rPr>
                <w:vertAlign w:val="superscript"/>
              </w:rPr>
              <w:t>2</w:t>
            </w:r>
            <w:r w:rsidR="00053FEC">
              <w:t> </w:t>
            </w:r>
            <w:r>
              <w:t>If no value is given, AL</w:t>
            </w:r>
            <w:r>
              <w:rPr>
                <w:vertAlign w:val="subscript"/>
              </w:rPr>
              <w:t>x</w:t>
            </w:r>
            <w:r w:rsidR="009D3496">
              <w:t> </w:t>
            </w:r>
            <w:r>
              <w:t>shall be</w:t>
            </w:r>
            <w:r w:rsidR="009D3496">
              <w:t> </w:t>
            </w:r>
            <w:r>
              <w:t>90%.</w:t>
            </w:r>
          </w:p>
          <w:p w14:paraId="0FFF1FF6" w14:textId="01428372" w:rsidR="00BC13C9" w:rsidRDefault="00BC13C9" w:rsidP="00BC13C9">
            <w:pPr>
              <w:pStyle w:val="TableNotes"/>
              <w:keepNext w:val="0"/>
              <w:keepLines w:val="0"/>
            </w:pPr>
            <w:r>
              <w:t>†</w:t>
            </w:r>
            <w:r w:rsidR="00F9684A">
              <w:rPr>
                <w:vertAlign w:val="superscript"/>
              </w:rPr>
              <w:t>3</w:t>
            </w:r>
            <w:r w:rsidR="00053FEC">
              <w:t> </w:t>
            </w:r>
            <w:r>
              <w:t>Product standard</w:t>
            </w:r>
            <w:r w:rsidR="009D3496">
              <w:t> </w:t>
            </w:r>
            <w:r w:rsidR="009F14DA">
              <w:t>(Clause</w:t>
            </w:r>
            <w:r w:rsidR="009D3496">
              <w:t> </w:t>
            </w:r>
            <w:r w:rsidR="009F14DA">
              <w:t xml:space="preserve">8.5.3) </w:t>
            </w:r>
            <w:r>
              <w:t>or process requirement</w:t>
            </w:r>
            <w:r w:rsidR="009D3496">
              <w:t> </w:t>
            </w:r>
            <w:r>
              <w:t>(Clause 8.5.2). If no indication is given, product standard shall</w:t>
            </w:r>
            <w:r w:rsidR="00053FEC">
              <w:t xml:space="preserve"> </w:t>
            </w:r>
            <w:r>
              <w:t>apply.</w:t>
            </w:r>
          </w:p>
          <w:p w14:paraId="4979D903" w14:textId="33B4F59E" w:rsidR="00BC13C9" w:rsidRDefault="00BC13C9" w:rsidP="00BC13C9">
            <w:pPr>
              <w:pStyle w:val="TableNotes"/>
              <w:keepNext w:val="0"/>
              <w:keepLines w:val="0"/>
            </w:pPr>
            <w:r>
              <w:t>†</w:t>
            </w:r>
            <w:r w:rsidR="00F9684A">
              <w:rPr>
                <w:vertAlign w:val="superscript"/>
              </w:rPr>
              <w:t>4</w:t>
            </w:r>
            <w:r w:rsidR="009D3496">
              <w:t> </w:t>
            </w:r>
            <w:r>
              <w:t>If no time is given, it shall be 60 minutes.</w:t>
            </w:r>
          </w:p>
          <w:p w14:paraId="7EF041F2" w14:textId="5E663455" w:rsidR="00BC13C9" w:rsidRDefault="00BC13C9" w:rsidP="00BC13C9">
            <w:pPr>
              <w:pStyle w:val="TableNotes"/>
              <w:keepNext w:val="0"/>
              <w:keepLines w:val="0"/>
            </w:pPr>
            <w:r>
              <w:t>†</w:t>
            </w:r>
            <w:r w:rsidR="00F9684A">
              <w:rPr>
                <w:vertAlign w:val="superscript"/>
              </w:rPr>
              <w:t>5</w:t>
            </w:r>
            <w:r w:rsidR="009D3496">
              <w:t> </w:t>
            </w:r>
            <w:r>
              <w:t>If no time is given, it shall be 3</w:t>
            </w:r>
            <w:r w:rsidR="009153E2">
              <w:t>.5</w:t>
            </w:r>
            <w:r>
              <w:t> hours.</w:t>
            </w:r>
          </w:p>
        </w:tc>
      </w:tr>
      <w:tr w:rsidR="00BC13C9" w14:paraId="67635EE7" w14:textId="77777777" w:rsidTr="0051723A">
        <w:trPr>
          <w:gridAfter w:val="1"/>
          <w:wAfter w:w="426" w:type="dxa"/>
        </w:trPr>
        <w:tc>
          <w:tcPr>
            <w:tcW w:w="9060" w:type="dxa"/>
            <w:gridSpan w:val="5"/>
          </w:tcPr>
          <w:p w14:paraId="49268FB1" w14:textId="22430983" w:rsidR="00BC13C9" w:rsidRDefault="00BC13C9" w:rsidP="00BC13C9">
            <w:pPr>
              <w:pStyle w:val="Heading1"/>
            </w:pPr>
            <w:r>
              <w:lastRenderedPageBreak/>
              <w:tab/>
              <w:t>Datum</w:t>
            </w:r>
            <w:r w:rsidR="009D3496">
              <w:t> </w:t>
            </w:r>
            <w:r>
              <w:t>(Clause </w:t>
            </w:r>
            <w:r w:rsidRPr="00633FD9">
              <w:t>8.1)</w:t>
            </w:r>
          </w:p>
        </w:tc>
      </w:tr>
      <w:tr w:rsidR="00BC13C9" w14:paraId="308B2B24" w14:textId="77777777" w:rsidTr="0051723A">
        <w:trPr>
          <w:gridAfter w:val="1"/>
          <w:wAfter w:w="426" w:type="dxa"/>
        </w:trPr>
        <w:tc>
          <w:tcPr>
            <w:tcW w:w="560" w:type="dxa"/>
          </w:tcPr>
          <w:p w14:paraId="6A3CA972" w14:textId="77777777" w:rsidR="00BC13C9" w:rsidRDefault="00BC13C9" w:rsidP="00BC13C9">
            <w:pPr>
              <w:pStyle w:val="BodyText"/>
            </w:pPr>
          </w:p>
        </w:tc>
        <w:tc>
          <w:tcPr>
            <w:tcW w:w="8500" w:type="dxa"/>
            <w:gridSpan w:val="4"/>
            <w:tcBorders>
              <w:bottom w:val="single" w:sz="4" w:space="0" w:color="auto"/>
            </w:tcBorders>
          </w:tcPr>
          <w:p w14:paraId="343D58FA" w14:textId="2BB09A20" w:rsidR="00BC13C9" w:rsidRDefault="00BC13C9" w:rsidP="00BC13C9">
            <w:pPr>
              <w:pStyle w:val="BodyText"/>
            </w:pPr>
            <w:r w:rsidRPr="00633FD9">
              <w:t xml:space="preserve">The datum for the </w:t>
            </w:r>
            <w:r>
              <w:t>measurement of the design</w:t>
            </w:r>
            <w:r w:rsidRPr="00633FD9">
              <w:t xml:space="preserve"> depth is given below.</w:t>
            </w:r>
          </w:p>
        </w:tc>
      </w:tr>
      <w:tr w:rsidR="00BC13C9" w14:paraId="55813F03" w14:textId="77777777" w:rsidTr="00345FA2">
        <w:trPr>
          <w:gridAfter w:val="1"/>
          <w:wAfter w:w="426" w:type="dxa"/>
          <w:trHeight w:val="3556"/>
        </w:trPr>
        <w:tc>
          <w:tcPr>
            <w:tcW w:w="560" w:type="dxa"/>
            <w:tcBorders>
              <w:right w:val="single" w:sz="4" w:space="0" w:color="auto"/>
            </w:tcBorders>
          </w:tcPr>
          <w:p w14:paraId="6602C005" w14:textId="77777777" w:rsidR="00BC13C9" w:rsidRDefault="00BC13C9" w:rsidP="00BC13C9">
            <w:pPr>
              <w:pStyle w:val="BodyText"/>
            </w:pPr>
          </w:p>
        </w:tc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28D65A6" w14:textId="612E67C1" w:rsidR="00BC13C9" w:rsidRPr="00421E37" w:rsidRDefault="00BC13C9" w:rsidP="00BC13C9">
            <w:pPr>
              <w:pStyle w:val="BodyText"/>
            </w:pPr>
            <w:r w:rsidRPr="00421E37">
              <w:t xml:space="preserve">Refer to </w:t>
            </w:r>
            <w:r>
              <w:t>MRTS</w:t>
            </w:r>
            <w:r w:rsidR="00376127">
              <w:t>115</w:t>
            </w:r>
            <w:r w:rsidR="009D3496">
              <w:t> </w:t>
            </w:r>
            <w:r w:rsidRPr="00421E37">
              <w:t>Figure 8.</w:t>
            </w:r>
            <w:r w:rsidR="00C300DB">
              <w:t>6</w:t>
            </w:r>
            <w:r w:rsidRPr="00421E37">
              <w:t>.</w:t>
            </w:r>
            <w:r>
              <w:t>10</w:t>
            </w:r>
          </w:p>
        </w:tc>
      </w:tr>
    </w:tbl>
    <w:p w14:paraId="5A5B2849" w14:textId="77777777" w:rsidR="00633FD9" w:rsidRDefault="00633FD9" w:rsidP="00633FD9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633FD9" w14:paraId="2255538D" w14:textId="77777777" w:rsidTr="000A6909">
        <w:tc>
          <w:tcPr>
            <w:tcW w:w="9060" w:type="dxa"/>
            <w:gridSpan w:val="2"/>
          </w:tcPr>
          <w:p w14:paraId="40F56CA2" w14:textId="1909B042" w:rsidR="00633FD9" w:rsidRDefault="00633FD9" w:rsidP="00633FD9">
            <w:pPr>
              <w:pStyle w:val="Heading1"/>
            </w:pPr>
            <w:r w:rsidRPr="00633FD9">
              <w:tab/>
              <w:t>Sup</w:t>
            </w:r>
            <w:r w:rsidR="00B54C26">
              <w:t>plementary requirements</w:t>
            </w:r>
            <w:r w:rsidR="009D3496">
              <w:t> </w:t>
            </w:r>
            <w:r w:rsidR="00B54C26">
              <w:t>(Clause </w:t>
            </w:r>
            <w:r w:rsidRPr="00633FD9">
              <w:t>10)</w:t>
            </w:r>
          </w:p>
        </w:tc>
      </w:tr>
      <w:tr w:rsidR="00633FD9" w14:paraId="51C71A52" w14:textId="77777777" w:rsidTr="000A6909">
        <w:tc>
          <w:tcPr>
            <w:tcW w:w="560" w:type="dxa"/>
          </w:tcPr>
          <w:p w14:paraId="3E7313C0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14:paraId="5FC98A2F" w14:textId="77777777" w:rsidR="00633FD9" w:rsidRDefault="00633FD9" w:rsidP="000A6909">
            <w:pPr>
              <w:pStyle w:val="BodyText"/>
            </w:pPr>
            <w:r w:rsidRPr="00633FD9">
              <w:t>The following supplementary requirements shall apply.</w:t>
            </w:r>
          </w:p>
        </w:tc>
      </w:tr>
      <w:tr w:rsidR="00633FD9" w14:paraId="6D8A52AF" w14:textId="77777777" w:rsidTr="00345FA2">
        <w:trPr>
          <w:trHeight w:val="3569"/>
        </w:trPr>
        <w:tc>
          <w:tcPr>
            <w:tcW w:w="560" w:type="dxa"/>
            <w:tcBorders>
              <w:right w:val="single" w:sz="4" w:space="0" w:color="auto"/>
            </w:tcBorders>
          </w:tcPr>
          <w:p w14:paraId="5E498F2F" w14:textId="77777777" w:rsidR="00633FD9" w:rsidRDefault="00633FD9" w:rsidP="000A6909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706DE48" w14:textId="77777777" w:rsidR="00633FD9" w:rsidRDefault="00633FD9" w:rsidP="000A6909">
            <w:pPr>
              <w:pStyle w:val="BodyText"/>
            </w:pPr>
          </w:p>
        </w:tc>
      </w:tr>
    </w:tbl>
    <w:p w14:paraId="6E92FE4E" w14:textId="77777777" w:rsidR="00633FD9" w:rsidRPr="007E63FB" w:rsidRDefault="00633FD9" w:rsidP="00633FD9">
      <w:pPr>
        <w:pStyle w:val="TableNotes"/>
      </w:pPr>
    </w:p>
    <w:sectPr w:rsidR="00633FD9" w:rsidRPr="007E63FB" w:rsidSect="00685517"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60E9" w14:textId="77777777" w:rsidR="00EF2FDD" w:rsidRDefault="00EF2FDD">
      <w:r>
        <w:separator/>
      </w:r>
    </w:p>
    <w:p w14:paraId="5D6A9AAB" w14:textId="77777777" w:rsidR="00EF2FDD" w:rsidRDefault="00EF2FDD"/>
  </w:endnote>
  <w:endnote w:type="continuationSeparator" w:id="0">
    <w:p w14:paraId="22344ABF" w14:textId="77777777" w:rsidR="00EF2FDD" w:rsidRDefault="00EF2FDD">
      <w:r>
        <w:continuationSeparator/>
      </w:r>
    </w:p>
    <w:p w14:paraId="4B24359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CBD1" w14:textId="38395157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13C9">
          <w:t>July</w:t>
        </w:r>
        <w:r w:rsidR="00053FEC">
          <w:t> </w:t>
        </w:r>
        <w:r w:rsidR="00BC13C9">
          <w:t>202</w:t>
        </w:r>
        <w:r w:rsidR="00004B7C">
          <w:t>4</w:t>
        </w:r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AA6747">
          <w:rPr>
            <w:noProof/>
          </w:rPr>
          <w:t>7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62CC" w14:textId="77777777" w:rsidR="00EF2FDD" w:rsidRDefault="00EF2FDD">
      <w:r>
        <w:separator/>
      </w:r>
    </w:p>
    <w:p w14:paraId="4D452BA3" w14:textId="77777777" w:rsidR="00EF2FDD" w:rsidRDefault="00EF2FDD"/>
  </w:footnote>
  <w:footnote w:type="continuationSeparator" w:id="0">
    <w:p w14:paraId="5211AEAB" w14:textId="77777777" w:rsidR="00EF2FDD" w:rsidRDefault="00EF2FDD">
      <w:r>
        <w:continuationSeparator/>
      </w:r>
    </w:p>
    <w:p w14:paraId="0B66C757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5A4D" w14:textId="619481EB" w:rsidR="00CE3694" w:rsidRPr="00125B5A" w:rsidRDefault="00CE3694" w:rsidP="00CE3694">
    <w:pPr>
      <w:pStyle w:val="HeaderChapterpart"/>
    </w:pPr>
    <w:r>
      <w:t xml:space="preserve">Technical Specification Annexure, </w:t>
    </w:r>
    <w:r w:rsidR="00BC13C9">
      <w:t>MRTS</w:t>
    </w:r>
    <w:r w:rsidR="00376127">
      <w:t>115</w:t>
    </w:r>
    <w:r w:rsidR="00765092">
      <w:t>.1 </w:t>
    </w:r>
    <w:r w:rsidR="00765092" w:rsidRPr="00765092">
      <w:t xml:space="preserve">Insitu Stabilised </w:t>
    </w:r>
    <w:r w:rsidR="000364E9">
      <w:t>Subbases</w:t>
    </w:r>
    <w:r w:rsidR="0000011C">
      <w:t xml:space="preserve"> using </w:t>
    </w:r>
    <w:r w:rsidR="00BC13C9">
      <w:t>Triple Blend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6B4554"/>
    <w:multiLevelType w:val="multilevel"/>
    <w:tmpl w:val="168C5AE8"/>
    <w:name w:val="Bullet List 3222222222222222222"/>
    <w:numStyleLink w:val="ListAllLetter3Level"/>
  </w:abstractNum>
  <w:abstractNum w:abstractNumId="6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38B0774F"/>
    <w:multiLevelType w:val="multilevel"/>
    <w:tmpl w:val="620CC31C"/>
    <w:numStyleLink w:val="ListAllBullets3Level"/>
  </w:abstractNum>
  <w:abstractNum w:abstractNumId="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5E006CF3"/>
    <w:multiLevelType w:val="hybridMultilevel"/>
    <w:tmpl w:val="5852BF8A"/>
    <w:lvl w:ilvl="0" w:tplc="0EA2DB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1089481">
    <w:abstractNumId w:val="4"/>
  </w:num>
  <w:num w:numId="2" w16cid:durableId="1855916784">
    <w:abstractNumId w:val="9"/>
  </w:num>
  <w:num w:numId="3" w16cid:durableId="2027248945">
    <w:abstractNumId w:val="12"/>
  </w:num>
  <w:num w:numId="4" w16cid:durableId="800155125">
    <w:abstractNumId w:val="0"/>
  </w:num>
  <w:num w:numId="5" w16cid:durableId="1446849671">
    <w:abstractNumId w:val="7"/>
  </w:num>
  <w:num w:numId="6" w16cid:durableId="2025743521">
    <w:abstractNumId w:val="6"/>
  </w:num>
  <w:num w:numId="7" w16cid:durableId="140656384">
    <w:abstractNumId w:val="2"/>
  </w:num>
  <w:num w:numId="8" w16cid:durableId="1952740529">
    <w:abstractNumId w:val="8"/>
  </w:num>
  <w:num w:numId="9" w16cid:durableId="4557622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3215612">
    <w:abstractNumId w:val="1"/>
  </w:num>
  <w:num w:numId="11" w16cid:durableId="1769155307">
    <w:abstractNumId w:val="3"/>
  </w:num>
  <w:num w:numId="12" w16cid:durableId="524439520">
    <w:abstractNumId w:val="10"/>
  </w:num>
  <w:num w:numId="13" w16cid:durableId="1174146832">
    <w:abstractNumId w:val="5"/>
  </w:num>
  <w:num w:numId="14" w16cid:durableId="287051810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11C"/>
    <w:rsid w:val="00004B7C"/>
    <w:rsid w:val="00006990"/>
    <w:rsid w:val="000157C6"/>
    <w:rsid w:val="000157CD"/>
    <w:rsid w:val="00017E9F"/>
    <w:rsid w:val="00022028"/>
    <w:rsid w:val="00022AE3"/>
    <w:rsid w:val="00022FEC"/>
    <w:rsid w:val="000313CD"/>
    <w:rsid w:val="00031DFC"/>
    <w:rsid w:val="00032633"/>
    <w:rsid w:val="0003466A"/>
    <w:rsid w:val="000364E9"/>
    <w:rsid w:val="00040A06"/>
    <w:rsid w:val="00042CEB"/>
    <w:rsid w:val="000457F1"/>
    <w:rsid w:val="00053FEC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210B"/>
    <w:rsid w:val="00096FC7"/>
    <w:rsid w:val="000B047B"/>
    <w:rsid w:val="000B3337"/>
    <w:rsid w:val="000B71E8"/>
    <w:rsid w:val="000D233B"/>
    <w:rsid w:val="000E1CE3"/>
    <w:rsid w:val="0010528D"/>
    <w:rsid w:val="00115E98"/>
    <w:rsid w:val="00117AA8"/>
    <w:rsid w:val="00125B5A"/>
    <w:rsid w:val="001276D9"/>
    <w:rsid w:val="0017085D"/>
    <w:rsid w:val="00172FEB"/>
    <w:rsid w:val="00176CC5"/>
    <w:rsid w:val="001810DF"/>
    <w:rsid w:val="001844CA"/>
    <w:rsid w:val="001A191E"/>
    <w:rsid w:val="001A4752"/>
    <w:rsid w:val="001A697D"/>
    <w:rsid w:val="001A7C0A"/>
    <w:rsid w:val="001B1393"/>
    <w:rsid w:val="001C6957"/>
    <w:rsid w:val="001C6D5F"/>
    <w:rsid w:val="001E28D4"/>
    <w:rsid w:val="001E3C39"/>
    <w:rsid w:val="001E3E78"/>
    <w:rsid w:val="001F2035"/>
    <w:rsid w:val="002043C8"/>
    <w:rsid w:val="00210E17"/>
    <w:rsid w:val="00216756"/>
    <w:rsid w:val="00216F79"/>
    <w:rsid w:val="00217457"/>
    <w:rsid w:val="0022490D"/>
    <w:rsid w:val="00224C99"/>
    <w:rsid w:val="00231903"/>
    <w:rsid w:val="00232573"/>
    <w:rsid w:val="00234B98"/>
    <w:rsid w:val="00236C2C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448F"/>
    <w:rsid w:val="00345FA2"/>
    <w:rsid w:val="00350E10"/>
    <w:rsid w:val="00361264"/>
    <w:rsid w:val="00363C04"/>
    <w:rsid w:val="003717FA"/>
    <w:rsid w:val="00376127"/>
    <w:rsid w:val="00376A0A"/>
    <w:rsid w:val="00383A3B"/>
    <w:rsid w:val="003861E9"/>
    <w:rsid w:val="00391457"/>
    <w:rsid w:val="003960ED"/>
    <w:rsid w:val="003A5033"/>
    <w:rsid w:val="003C28B3"/>
    <w:rsid w:val="003C340E"/>
    <w:rsid w:val="003D1729"/>
    <w:rsid w:val="003E0E9D"/>
    <w:rsid w:val="003E3C82"/>
    <w:rsid w:val="003F0922"/>
    <w:rsid w:val="00400CF8"/>
    <w:rsid w:val="004030EB"/>
    <w:rsid w:val="00403422"/>
    <w:rsid w:val="00421E37"/>
    <w:rsid w:val="00450176"/>
    <w:rsid w:val="004525EA"/>
    <w:rsid w:val="00453989"/>
    <w:rsid w:val="00456933"/>
    <w:rsid w:val="00456A07"/>
    <w:rsid w:val="00465737"/>
    <w:rsid w:val="00477792"/>
    <w:rsid w:val="00477962"/>
    <w:rsid w:val="00485DDC"/>
    <w:rsid w:val="00487E71"/>
    <w:rsid w:val="00490E3C"/>
    <w:rsid w:val="00493A4A"/>
    <w:rsid w:val="00493F69"/>
    <w:rsid w:val="004D2E76"/>
    <w:rsid w:val="004D5E0B"/>
    <w:rsid w:val="004D7403"/>
    <w:rsid w:val="004E3F40"/>
    <w:rsid w:val="004E49B7"/>
    <w:rsid w:val="004F3BF1"/>
    <w:rsid w:val="004F4085"/>
    <w:rsid w:val="00501027"/>
    <w:rsid w:val="0050197E"/>
    <w:rsid w:val="0051286A"/>
    <w:rsid w:val="0051723A"/>
    <w:rsid w:val="00521D18"/>
    <w:rsid w:val="005233EF"/>
    <w:rsid w:val="00523D19"/>
    <w:rsid w:val="00526282"/>
    <w:rsid w:val="00527404"/>
    <w:rsid w:val="00530265"/>
    <w:rsid w:val="00531F22"/>
    <w:rsid w:val="005424A4"/>
    <w:rsid w:val="00545286"/>
    <w:rsid w:val="00553DC9"/>
    <w:rsid w:val="00555B77"/>
    <w:rsid w:val="00556E72"/>
    <w:rsid w:val="00562435"/>
    <w:rsid w:val="005748A5"/>
    <w:rsid w:val="00575CE8"/>
    <w:rsid w:val="005815CB"/>
    <w:rsid w:val="00582599"/>
    <w:rsid w:val="005826B9"/>
    <w:rsid w:val="00582E91"/>
    <w:rsid w:val="00592D85"/>
    <w:rsid w:val="0059511F"/>
    <w:rsid w:val="005958BC"/>
    <w:rsid w:val="005B050C"/>
    <w:rsid w:val="005C1DF1"/>
    <w:rsid w:val="005C3D22"/>
    <w:rsid w:val="005D3973"/>
    <w:rsid w:val="005D59C0"/>
    <w:rsid w:val="005E002D"/>
    <w:rsid w:val="005F5331"/>
    <w:rsid w:val="0060080E"/>
    <w:rsid w:val="00610489"/>
    <w:rsid w:val="0061185E"/>
    <w:rsid w:val="00614210"/>
    <w:rsid w:val="00622BC5"/>
    <w:rsid w:val="00627EC8"/>
    <w:rsid w:val="00633FD9"/>
    <w:rsid w:val="00635475"/>
    <w:rsid w:val="00641639"/>
    <w:rsid w:val="00645A39"/>
    <w:rsid w:val="0064699C"/>
    <w:rsid w:val="00650F4E"/>
    <w:rsid w:val="00666E20"/>
    <w:rsid w:val="00671C9C"/>
    <w:rsid w:val="0067621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6E1266"/>
    <w:rsid w:val="00720C44"/>
    <w:rsid w:val="00723F1A"/>
    <w:rsid w:val="00727F7A"/>
    <w:rsid w:val="00730C95"/>
    <w:rsid w:val="007462A6"/>
    <w:rsid w:val="007539B4"/>
    <w:rsid w:val="00765092"/>
    <w:rsid w:val="007672DC"/>
    <w:rsid w:val="0077261D"/>
    <w:rsid w:val="00780C27"/>
    <w:rsid w:val="00781EFF"/>
    <w:rsid w:val="00785550"/>
    <w:rsid w:val="00793FA9"/>
    <w:rsid w:val="00796D7D"/>
    <w:rsid w:val="007A3242"/>
    <w:rsid w:val="007B0524"/>
    <w:rsid w:val="007B5C85"/>
    <w:rsid w:val="007C16A5"/>
    <w:rsid w:val="007C4319"/>
    <w:rsid w:val="007D0963"/>
    <w:rsid w:val="007D76AC"/>
    <w:rsid w:val="007E4675"/>
    <w:rsid w:val="007E61DD"/>
    <w:rsid w:val="007E63FB"/>
    <w:rsid w:val="00802B56"/>
    <w:rsid w:val="00811807"/>
    <w:rsid w:val="00836DC0"/>
    <w:rsid w:val="00850994"/>
    <w:rsid w:val="00851818"/>
    <w:rsid w:val="00874C6F"/>
    <w:rsid w:val="008807C8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153E2"/>
    <w:rsid w:val="00915D81"/>
    <w:rsid w:val="00923072"/>
    <w:rsid w:val="00926AFF"/>
    <w:rsid w:val="00937DB8"/>
    <w:rsid w:val="00940C46"/>
    <w:rsid w:val="00944A3A"/>
    <w:rsid w:val="00945942"/>
    <w:rsid w:val="009565E1"/>
    <w:rsid w:val="00963788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D0AC7"/>
    <w:rsid w:val="009D3496"/>
    <w:rsid w:val="009D74A9"/>
    <w:rsid w:val="009E22DF"/>
    <w:rsid w:val="009E5C89"/>
    <w:rsid w:val="009F14DA"/>
    <w:rsid w:val="00A00F46"/>
    <w:rsid w:val="00A03E5E"/>
    <w:rsid w:val="00A121EB"/>
    <w:rsid w:val="00A12D4E"/>
    <w:rsid w:val="00A20B17"/>
    <w:rsid w:val="00A27877"/>
    <w:rsid w:val="00A52AB4"/>
    <w:rsid w:val="00A54740"/>
    <w:rsid w:val="00A64A05"/>
    <w:rsid w:val="00A67E68"/>
    <w:rsid w:val="00A80D59"/>
    <w:rsid w:val="00A832D7"/>
    <w:rsid w:val="00A87F08"/>
    <w:rsid w:val="00A9555C"/>
    <w:rsid w:val="00A97046"/>
    <w:rsid w:val="00AA18F5"/>
    <w:rsid w:val="00AA6747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01B6E"/>
    <w:rsid w:val="00B20A75"/>
    <w:rsid w:val="00B249E6"/>
    <w:rsid w:val="00B4064C"/>
    <w:rsid w:val="00B41AC0"/>
    <w:rsid w:val="00B54C26"/>
    <w:rsid w:val="00B66DFE"/>
    <w:rsid w:val="00B705E6"/>
    <w:rsid w:val="00B712C5"/>
    <w:rsid w:val="00B8333F"/>
    <w:rsid w:val="00B8519F"/>
    <w:rsid w:val="00BB09C2"/>
    <w:rsid w:val="00BB0D1D"/>
    <w:rsid w:val="00BB468F"/>
    <w:rsid w:val="00BC13C9"/>
    <w:rsid w:val="00BC17C8"/>
    <w:rsid w:val="00BC20E4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3D1B"/>
    <w:rsid w:val="00BF7B37"/>
    <w:rsid w:val="00C061EC"/>
    <w:rsid w:val="00C300DB"/>
    <w:rsid w:val="00C3039A"/>
    <w:rsid w:val="00C33EEE"/>
    <w:rsid w:val="00C34106"/>
    <w:rsid w:val="00C352F9"/>
    <w:rsid w:val="00C37C4F"/>
    <w:rsid w:val="00C443CE"/>
    <w:rsid w:val="00C456DF"/>
    <w:rsid w:val="00C50278"/>
    <w:rsid w:val="00C54CC2"/>
    <w:rsid w:val="00C62500"/>
    <w:rsid w:val="00C7396F"/>
    <w:rsid w:val="00C76378"/>
    <w:rsid w:val="00C81006"/>
    <w:rsid w:val="00C965C0"/>
    <w:rsid w:val="00CA107F"/>
    <w:rsid w:val="00CA3157"/>
    <w:rsid w:val="00CA4B9D"/>
    <w:rsid w:val="00CB07D7"/>
    <w:rsid w:val="00CD30F9"/>
    <w:rsid w:val="00CD563C"/>
    <w:rsid w:val="00CE3694"/>
    <w:rsid w:val="00CE6618"/>
    <w:rsid w:val="00D00ECB"/>
    <w:rsid w:val="00D01D6F"/>
    <w:rsid w:val="00D02199"/>
    <w:rsid w:val="00D11612"/>
    <w:rsid w:val="00D12160"/>
    <w:rsid w:val="00D124FD"/>
    <w:rsid w:val="00D137DA"/>
    <w:rsid w:val="00D15248"/>
    <w:rsid w:val="00D32902"/>
    <w:rsid w:val="00D435F2"/>
    <w:rsid w:val="00D56593"/>
    <w:rsid w:val="00D67F00"/>
    <w:rsid w:val="00D76862"/>
    <w:rsid w:val="00D80F06"/>
    <w:rsid w:val="00D8447C"/>
    <w:rsid w:val="00D86598"/>
    <w:rsid w:val="00DA20DD"/>
    <w:rsid w:val="00DB4FCC"/>
    <w:rsid w:val="00DC076F"/>
    <w:rsid w:val="00DC376C"/>
    <w:rsid w:val="00DE56ED"/>
    <w:rsid w:val="00DF1C54"/>
    <w:rsid w:val="00DF27E0"/>
    <w:rsid w:val="00DF40B1"/>
    <w:rsid w:val="00E57C45"/>
    <w:rsid w:val="00E70EA9"/>
    <w:rsid w:val="00E8162F"/>
    <w:rsid w:val="00E82BDD"/>
    <w:rsid w:val="00E84619"/>
    <w:rsid w:val="00E96F32"/>
    <w:rsid w:val="00EA319A"/>
    <w:rsid w:val="00EC0517"/>
    <w:rsid w:val="00ED06E5"/>
    <w:rsid w:val="00ED4A4A"/>
    <w:rsid w:val="00ED5C9C"/>
    <w:rsid w:val="00ED66C6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3204"/>
    <w:rsid w:val="00F64B7F"/>
    <w:rsid w:val="00F70E96"/>
    <w:rsid w:val="00F7653E"/>
    <w:rsid w:val="00F87D4E"/>
    <w:rsid w:val="00F903CD"/>
    <w:rsid w:val="00F9684A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4B33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5"/>
    <o:shapelayout v:ext="edit">
      <o:idmap v:ext="edit" data="1"/>
    </o:shapelayout>
  </w:shapeDefaults>
  <w:decimalSymbol w:val="."/>
  <w:listSeparator w:val=","/>
  <w14:docId w14:val="21ADE2BF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5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181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04B7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c972935-d489-4a83-af2a-c34816ed283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43</TotalTime>
  <Pages>6</Pages>
  <Words>722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MRTS115.1 - Annexure</vt:lpstr>
    </vt:vector>
  </TitlesOfParts>
  <Company>Department of Transport and Main Roads</Company>
  <LinksUpToDate>false</LinksUpToDate>
  <CharactersWithSpaces>4887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MRTS115.1 - Annexure</dc:title>
  <dc:subject>Insitu Stabilised subbases using Triple Blend</dc:subject>
  <dc:creator>Department of Transport and Main Roads</dc:creator>
  <cp:keywords>Specification; Technical; Standard; Contract; Tender; Construction; Design;</cp:keywords>
  <dc:description/>
  <cp:lastModifiedBy>Lucas F Tong</cp:lastModifiedBy>
  <cp:revision>34</cp:revision>
  <cp:lastPrinted>2018-09-26T01:02:00Z</cp:lastPrinted>
  <dcterms:created xsi:type="dcterms:W3CDTF">2021-10-22T01:55:00Z</dcterms:created>
  <dcterms:modified xsi:type="dcterms:W3CDTF">2024-07-29T04:24:00Z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