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75779" w14:textId="21DF0C58" w:rsidR="008113E9" w:rsidRPr="008113E9" w:rsidRDefault="00A20260" w:rsidP="008113E9">
      <w:pPr>
        <w:pStyle w:val="Title"/>
      </w:pPr>
      <w:bookmarkStart w:id="0" w:name="_Toc207978340"/>
      <w:r>
        <w:t xml:space="preserve">Waste 2 Resource – annual status </w:t>
      </w:r>
      <w:permStart w:id="2091145671" w:edGrp="everyone"/>
      <w:permEnd w:id="2091145671"/>
      <w:r>
        <w:t>report</w:t>
      </w:r>
      <w:bookmarkEnd w:id="0"/>
    </w:p>
    <w:p w14:paraId="16137262" w14:textId="142ABDD3" w:rsidR="008113E9" w:rsidRDefault="00EA0BFE" w:rsidP="008113E9">
      <w:pPr>
        <w:pStyle w:val="Subtitle"/>
        <w:sectPr w:rsidR="008113E9" w:rsidSect="008113E9">
          <w:headerReference w:type="default" r:id="rId8"/>
          <w:footerReference w:type="default" r:id="rId9"/>
          <w:headerReference w:type="first" r:id="rId10"/>
          <w:footerReference w:type="first" r:id="rId11"/>
          <w:pgSz w:w="11906" w:h="16838" w:code="9"/>
          <w:pgMar w:top="12049" w:right="1418" w:bottom="1843" w:left="1418" w:header="567" w:footer="567" w:gutter="0"/>
          <w:pgNumType w:start="0"/>
          <w:cols w:space="708"/>
          <w:titlePg/>
          <w:docGrid w:linePitch="360"/>
        </w:sectPr>
      </w:pPr>
      <w:r>
        <w:t>Septem</w:t>
      </w:r>
      <w:r w:rsidR="00A303E0">
        <w:t>ber</w:t>
      </w:r>
      <w:r w:rsidR="00A20260">
        <w:t xml:space="preserve"> 2025</w:t>
      </w:r>
    </w:p>
    <w:p w14:paraId="0317E0A3" w14:textId="77777777" w:rsidR="008113E9" w:rsidRPr="00092BB5" w:rsidRDefault="008113E9" w:rsidP="008113E9">
      <w:pPr>
        <w:rPr>
          <w:b/>
          <w:bCs/>
        </w:rPr>
      </w:pPr>
      <w:r w:rsidRPr="00092BB5">
        <w:rPr>
          <w:b/>
          <w:bCs/>
        </w:rPr>
        <w:lastRenderedPageBreak/>
        <w:t>Translating and interpreting assistance</w:t>
      </w:r>
    </w:p>
    <w:p w14:paraId="4611882F" w14:textId="77777777" w:rsidR="008113E9" w:rsidRDefault="008113E9" w:rsidP="008113E9">
      <w: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Government (Department of Transport and Main Roads) on 13 74 68.</w:t>
      </w:r>
    </w:p>
    <w:p w14:paraId="29A24B0B" w14:textId="77777777" w:rsidR="008113E9" w:rsidRPr="00092BB5" w:rsidRDefault="008113E9" w:rsidP="008113E9">
      <w:pPr>
        <w:rPr>
          <w:b/>
          <w:bCs/>
        </w:rPr>
      </w:pPr>
      <w:r w:rsidRPr="00092BB5">
        <w:rPr>
          <w:b/>
          <w:bCs/>
        </w:rPr>
        <w:t xml:space="preserve">Copyright </w:t>
      </w:r>
    </w:p>
    <w:p w14:paraId="5225B8EA" w14:textId="77777777" w:rsidR="008113E9" w:rsidRDefault="008113E9" w:rsidP="008113E9">
      <w:r>
        <w:t>This publication is protected by the Copyright Act 1968. © The State of Queensland, 2025.</w:t>
      </w:r>
    </w:p>
    <w:p w14:paraId="0C33D3A2" w14:textId="77777777" w:rsidR="008113E9" w:rsidRPr="00092BB5" w:rsidRDefault="008113E9" w:rsidP="008113E9">
      <w:pPr>
        <w:rPr>
          <w:b/>
          <w:bCs/>
        </w:rPr>
      </w:pPr>
      <w:r w:rsidRPr="00092BB5">
        <w:rPr>
          <w:b/>
          <w:bCs/>
        </w:rPr>
        <w:t>Disclaimer</w:t>
      </w:r>
    </w:p>
    <w:p w14:paraId="3B4AB389" w14:textId="77777777" w:rsidR="008113E9" w:rsidRDefault="008113E9" w:rsidP="008113E9">
      <w:pPr>
        <w:sectPr w:rsidR="008113E9" w:rsidSect="008113E9">
          <w:headerReference w:type="default" r:id="rId12"/>
          <w:headerReference w:type="first" r:id="rId13"/>
          <w:footerReference w:type="first" r:id="rId14"/>
          <w:pgSz w:w="11906" w:h="16838" w:code="9"/>
          <w:pgMar w:top="1135" w:right="1418" w:bottom="1843" w:left="1418" w:header="567" w:footer="567" w:gutter="0"/>
          <w:cols w:space="708"/>
          <w:titlePg/>
          <w:docGrid w:linePitch="360"/>
        </w:sectPr>
      </w:pPr>
      <w:r>
        <w:t>While every care has been taken in preparing this publication, to the extent permitted by law, the State of Queensland accepts no responsibility and disclaims all liability (including without limitation, liability in negligence) for all expenses, losses (including direct and indirect loss), damages and costs incurred as a result of decisions or actions taken as a result of any data, information, statement or advice, expressed or implied, contained within. To the best of our knowledge, the content was correct at the time of publishing.</w:t>
      </w:r>
    </w:p>
    <w:sdt>
      <w:sdtPr>
        <w:rPr>
          <w:rFonts w:eastAsiaTheme="minorEastAsia" w:cstheme="minorBidi"/>
          <w:color w:val="2F2F2F" w:themeColor="text1" w:themeTint="E6"/>
          <w:sz w:val="24"/>
          <w:szCs w:val="24"/>
        </w:rPr>
        <w:id w:val="-2102864559"/>
        <w:docPartObj>
          <w:docPartGallery w:val="Table of Contents"/>
          <w:docPartUnique/>
        </w:docPartObj>
      </w:sdtPr>
      <w:sdtEndPr>
        <w:rPr>
          <w:b/>
          <w:bCs/>
          <w:noProof/>
        </w:rPr>
      </w:sdtEndPr>
      <w:sdtContent>
        <w:p w14:paraId="3BD665C3" w14:textId="77777777" w:rsidR="008113E9" w:rsidRDefault="008113E9">
          <w:pPr>
            <w:pStyle w:val="TOCHeading"/>
          </w:pPr>
          <w:r>
            <w:t>Contents</w:t>
          </w:r>
        </w:p>
        <w:p w14:paraId="4098BC8C" w14:textId="2B674F6A" w:rsidR="00E773B5" w:rsidRDefault="008113E9">
          <w:pPr>
            <w:pStyle w:val="TOC1"/>
            <w:rPr>
              <w:rFonts w:asciiTheme="minorHAnsi" w:eastAsiaTheme="minorEastAsia" w:hAnsiTheme="minorHAnsi"/>
              <w:b w:val="0"/>
              <w:noProof/>
              <w:color w:val="auto"/>
              <w:kern w:val="2"/>
              <w:szCs w:val="24"/>
              <w:lang w:eastAsia="en-AU"/>
              <w14:ligatures w14:val="standardContextual"/>
            </w:rPr>
          </w:pPr>
          <w:r>
            <w:fldChar w:fldCharType="begin"/>
          </w:r>
          <w:r>
            <w:instrText xml:space="preserve"> TOC \o "1-3" \h \z \u </w:instrText>
          </w:r>
          <w:r>
            <w:fldChar w:fldCharType="separate"/>
          </w:r>
          <w:hyperlink w:anchor="_Toc207978340" w:history="1">
            <w:r w:rsidR="00E773B5" w:rsidRPr="00836641">
              <w:rPr>
                <w:rStyle w:val="Hyperlink"/>
                <w:noProof/>
              </w:rPr>
              <w:t>Waste 2 Resource – annual status report</w:t>
            </w:r>
            <w:r w:rsidR="00E773B5">
              <w:rPr>
                <w:noProof/>
                <w:webHidden/>
              </w:rPr>
              <w:tab/>
            </w:r>
            <w:r w:rsidR="00E773B5">
              <w:rPr>
                <w:noProof/>
                <w:webHidden/>
              </w:rPr>
              <w:fldChar w:fldCharType="begin"/>
            </w:r>
            <w:r w:rsidR="00E773B5">
              <w:rPr>
                <w:noProof/>
                <w:webHidden/>
              </w:rPr>
              <w:instrText xml:space="preserve"> PAGEREF _Toc207978340 \h </w:instrText>
            </w:r>
            <w:r w:rsidR="00E773B5">
              <w:rPr>
                <w:noProof/>
                <w:webHidden/>
              </w:rPr>
            </w:r>
            <w:r w:rsidR="00E773B5">
              <w:rPr>
                <w:noProof/>
                <w:webHidden/>
              </w:rPr>
              <w:fldChar w:fldCharType="separate"/>
            </w:r>
            <w:r w:rsidR="00E773B5">
              <w:rPr>
                <w:noProof/>
                <w:webHidden/>
              </w:rPr>
              <w:t>0</w:t>
            </w:r>
            <w:r w:rsidR="00E773B5">
              <w:rPr>
                <w:noProof/>
                <w:webHidden/>
              </w:rPr>
              <w:fldChar w:fldCharType="end"/>
            </w:r>
          </w:hyperlink>
        </w:p>
        <w:p w14:paraId="3E861216" w14:textId="38648F6A" w:rsidR="00E773B5" w:rsidRDefault="00E773B5">
          <w:pPr>
            <w:pStyle w:val="TOC1"/>
            <w:rPr>
              <w:rFonts w:asciiTheme="minorHAnsi" w:eastAsiaTheme="minorEastAsia" w:hAnsiTheme="minorHAnsi"/>
              <w:b w:val="0"/>
              <w:noProof/>
              <w:color w:val="auto"/>
              <w:kern w:val="2"/>
              <w:szCs w:val="24"/>
              <w:lang w:eastAsia="en-AU"/>
              <w14:ligatures w14:val="standardContextual"/>
            </w:rPr>
          </w:pPr>
          <w:hyperlink w:anchor="_Toc207978341" w:history="1">
            <w:r w:rsidRPr="00836641">
              <w:rPr>
                <w:rStyle w:val="Hyperlink"/>
                <w:noProof/>
              </w:rPr>
              <w:t>Executive summary</w:t>
            </w:r>
            <w:r>
              <w:rPr>
                <w:noProof/>
                <w:webHidden/>
              </w:rPr>
              <w:tab/>
            </w:r>
            <w:r>
              <w:rPr>
                <w:noProof/>
                <w:webHidden/>
              </w:rPr>
              <w:fldChar w:fldCharType="begin"/>
            </w:r>
            <w:r>
              <w:rPr>
                <w:noProof/>
                <w:webHidden/>
              </w:rPr>
              <w:instrText xml:space="preserve"> PAGEREF _Toc207978341 \h </w:instrText>
            </w:r>
            <w:r>
              <w:rPr>
                <w:noProof/>
                <w:webHidden/>
              </w:rPr>
            </w:r>
            <w:r>
              <w:rPr>
                <w:noProof/>
                <w:webHidden/>
              </w:rPr>
              <w:fldChar w:fldCharType="separate"/>
            </w:r>
            <w:r>
              <w:rPr>
                <w:noProof/>
                <w:webHidden/>
              </w:rPr>
              <w:t>3</w:t>
            </w:r>
            <w:r>
              <w:rPr>
                <w:noProof/>
                <w:webHidden/>
              </w:rPr>
              <w:fldChar w:fldCharType="end"/>
            </w:r>
          </w:hyperlink>
        </w:p>
        <w:p w14:paraId="3870BDEB" w14:textId="406B8D0F" w:rsidR="00E773B5" w:rsidRDefault="00E773B5">
          <w:pPr>
            <w:pStyle w:val="TOC1"/>
            <w:rPr>
              <w:rFonts w:asciiTheme="minorHAnsi" w:eastAsiaTheme="minorEastAsia" w:hAnsiTheme="minorHAnsi"/>
              <w:b w:val="0"/>
              <w:noProof/>
              <w:color w:val="auto"/>
              <w:kern w:val="2"/>
              <w:szCs w:val="24"/>
              <w:lang w:eastAsia="en-AU"/>
              <w14:ligatures w14:val="standardContextual"/>
            </w:rPr>
          </w:pPr>
          <w:hyperlink w:anchor="_Toc207978342" w:history="1">
            <w:r w:rsidRPr="00836641">
              <w:rPr>
                <w:rStyle w:val="Hyperlink"/>
                <w:noProof/>
              </w:rPr>
              <w:t>Introduction</w:t>
            </w:r>
            <w:r>
              <w:rPr>
                <w:noProof/>
                <w:webHidden/>
              </w:rPr>
              <w:tab/>
            </w:r>
            <w:r>
              <w:rPr>
                <w:noProof/>
                <w:webHidden/>
              </w:rPr>
              <w:fldChar w:fldCharType="begin"/>
            </w:r>
            <w:r>
              <w:rPr>
                <w:noProof/>
                <w:webHidden/>
              </w:rPr>
              <w:instrText xml:space="preserve"> PAGEREF _Toc207978342 \h </w:instrText>
            </w:r>
            <w:r>
              <w:rPr>
                <w:noProof/>
                <w:webHidden/>
              </w:rPr>
            </w:r>
            <w:r>
              <w:rPr>
                <w:noProof/>
                <w:webHidden/>
              </w:rPr>
              <w:fldChar w:fldCharType="separate"/>
            </w:r>
            <w:r>
              <w:rPr>
                <w:noProof/>
                <w:webHidden/>
              </w:rPr>
              <w:t>5</w:t>
            </w:r>
            <w:r>
              <w:rPr>
                <w:noProof/>
                <w:webHidden/>
              </w:rPr>
              <w:fldChar w:fldCharType="end"/>
            </w:r>
          </w:hyperlink>
        </w:p>
        <w:p w14:paraId="5832B7BD" w14:textId="6C90BF60" w:rsidR="00E773B5" w:rsidRDefault="00E773B5">
          <w:pPr>
            <w:pStyle w:val="TOC2"/>
            <w:tabs>
              <w:tab w:val="right" w:leader="dot" w:pos="9060"/>
            </w:tabs>
            <w:rPr>
              <w:rFonts w:asciiTheme="minorHAnsi" w:eastAsiaTheme="minorEastAsia" w:hAnsiTheme="minorHAnsi"/>
              <w:noProof/>
              <w:color w:val="auto"/>
              <w:kern w:val="2"/>
              <w:szCs w:val="24"/>
              <w:lang w:eastAsia="en-AU"/>
              <w14:ligatures w14:val="standardContextual"/>
            </w:rPr>
          </w:pPr>
          <w:hyperlink w:anchor="_Toc207978343" w:history="1">
            <w:r w:rsidRPr="00836641">
              <w:rPr>
                <w:rStyle w:val="Hyperlink"/>
                <w:noProof/>
              </w:rPr>
              <w:t>Targets</w:t>
            </w:r>
            <w:r>
              <w:rPr>
                <w:noProof/>
                <w:webHidden/>
              </w:rPr>
              <w:tab/>
            </w:r>
            <w:r>
              <w:rPr>
                <w:noProof/>
                <w:webHidden/>
              </w:rPr>
              <w:fldChar w:fldCharType="begin"/>
            </w:r>
            <w:r>
              <w:rPr>
                <w:noProof/>
                <w:webHidden/>
              </w:rPr>
              <w:instrText xml:space="preserve"> PAGEREF _Toc207978343 \h </w:instrText>
            </w:r>
            <w:r>
              <w:rPr>
                <w:noProof/>
                <w:webHidden/>
              </w:rPr>
            </w:r>
            <w:r>
              <w:rPr>
                <w:noProof/>
                <w:webHidden/>
              </w:rPr>
              <w:fldChar w:fldCharType="separate"/>
            </w:r>
            <w:r>
              <w:rPr>
                <w:noProof/>
                <w:webHidden/>
              </w:rPr>
              <w:t>5</w:t>
            </w:r>
            <w:r>
              <w:rPr>
                <w:noProof/>
                <w:webHidden/>
              </w:rPr>
              <w:fldChar w:fldCharType="end"/>
            </w:r>
          </w:hyperlink>
        </w:p>
        <w:p w14:paraId="2CBF9F8F" w14:textId="7D600749" w:rsidR="00E773B5" w:rsidRDefault="00E773B5">
          <w:pPr>
            <w:pStyle w:val="TOC1"/>
            <w:rPr>
              <w:rFonts w:asciiTheme="minorHAnsi" w:eastAsiaTheme="minorEastAsia" w:hAnsiTheme="minorHAnsi"/>
              <w:b w:val="0"/>
              <w:noProof/>
              <w:color w:val="auto"/>
              <w:kern w:val="2"/>
              <w:szCs w:val="24"/>
              <w:lang w:eastAsia="en-AU"/>
              <w14:ligatures w14:val="standardContextual"/>
            </w:rPr>
          </w:pPr>
          <w:hyperlink w:anchor="_Toc207978344" w:history="1">
            <w:r w:rsidRPr="00836641">
              <w:rPr>
                <w:rStyle w:val="Hyperlink"/>
                <w:noProof/>
              </w:rPr>
              <w:t>Waste reporting</w:t>
            </w:r>
            <w:r>
              <w:rPr>
                <w:noProof/>
                <w:webHidden/>
              </w:rPr>
              <w:tab/>
            </w:r>
            <w:r>
              <w:rPr>
                <w:noProof/>
                <w:webHidden/>
              </w:rPr>
              <w:fldChar w:fldCharType="begin"/>
            </w:r>
            <w:r>
              <w:rPr>
                <w:noProof/>
                <w:webHidden/>
              </w:rPr>
              <w:instrText xml:space="preserve"> PAGEREF _Toc207978344 \h </w:instrText>
            </w:r>
            <w:r>
              <w:rPr>
                <w:noProof/>
                <w:webHidden/>
              </w:rPr>
            </w:r>
            <w:r>
              <w:rPr>
                <w:noProof/>
                <w:webHidden/>
              </w:rPr>
              <w:fldChar w:fldCharType="separate"/>
            </w:r>
            <w:r>
              <w:rPr>
                <w:noProof/>
                <w:webHidden/>
              </w:rPr>
              <w:t>7</w:t>
            </w:r>
            <w:r>
              <w:rPr>
                <w:noProof/>
                <w:webHidden/>
              </w:rPr>
              <w:fldChar w:fldCharType="end"/>
            </w:r>
          </w:hyperlink>
        </w:p>
        <w:p w14:paraId="4E58F8E1" w14:textId="56ABDDE6" w:rsidR="00E773B5" w:rsidRDefault="00E773B5">
          <w:pPr>
            <w:pStyle w:val="TOC1"/>
            <w:rPr>
              <w:rFonts w:asciiTheme="minorHAnsi" w:eastAsiaTheme="minorEastAsia" w:hAnsiTheme="minorHAnsi"/>
              <w:b w:val="0"/>
              <w:noProof/>
              <w:color w:val="auto"/>
              <w:kern w:val="2"/>
              <w:szCs w:val="24"/>
              <w:lang w:eastAsia="en-AU"/>
              <w14:ligatures w14:val="standardContextual"/>
            </w:rPr>
          </w:pPr>
          <w:hyperlink w:anchor="_Toc207978345" w:history="1">
            <w:r w:rsidRPr="00836641">
              <w:rPr>
                <w:rStyle w:val="Hyperlink"/>
                <w:noProof/>
              </w:rPr>
              <w:t>Waste reuse and recycling</w:t>
            </w:r>
            <w:r>
              <w:rPr>
                <w:noProof/>
                <w:webHidden/>
              </w:rPr>
              <w:tab/>
            </w:r>
            <w:r>
              <w:rPr>
                <w:noProof/>
                <w:webHidden/>
              </w:rPr>
              <w:fldChar w:fldCharType="begin"/>
            </w:r>
            <w:r>
              <w:rPr>
                <w:noProof/>
                <w:webHidden/>
              </w:rPr>
              <w:instrText xml:space="preserve"> PAGEREF _Toc207978345 \h </w:instrText>
            </w:r>
            <w:r>
              <w:rPr>
                <w:noProof/>
                <w:webHidden/>
              </w:rPr>
            </w:r>
            <w:r>
              <w:rPr>
                <w:noProof/>
                <w:webHidden/>
              </w:rPr>
              <w:fldChar w:fldCharType="separate"/>
            </w:r>
            <w:r>
              <w:rPr>
                <w:noProof/>
                <w:webHidden/>
              </w:rPr>
              <w:t>12</w:t>
            </w:r>
            <w:r>
              <w:rPr>
                <w:noProof/>
                <w:webHidden/>
              </w:rPr>
              <w:fldChar w:fldCharType="end"/>
            </w:r>
          </w:hyperlink>
        </w:p>
        <w:p w14:paraId="4650B7F7" w14:textId="1309A1AD" w:rsidR="00E773B5" w:rsidRDefault="00E773B5">
          <w:pPr>
            <w:pStyle w:val="TOC1"/>
            <w:rPr>
              <w:rFonts w:asciiTheme="minorHAnsi" w:eastAsiaTheme="minorEastAsia" w:hAnsiTheme="minorHAnsi"/>
              <w:b w:val="0"/>
              <w:noProof/>
              <w:color w:val="auto"/>
              <w:kern w:val="2"/>
              <w:szCs w:val="24"/>
              <w:lang w:eastAsia="en-AU"/>
              <w14:ligatures w14:val="standardContextual"/>
            </w:rPr>
          </w:pPr>
          <w:hyperlink w:anchor="_Toc207978346" w:history="1">
            <w:r w:rsidRPr="00836641">
              <w:rPr>
                <w:rStyle w:val="Hyperlink"/>
                <w:noProof/>
              </w:rPr>
              <w:t>Using recycled materials</w:t>
            </w:r>
            <w:r>
              <w:rPr>
                <w:noProof/>
                <w:webHidden/>
              </w:rPr>
              <w:tab/>
            </w:r>
            <w:r>
              <w:rPr>
                <w:noProof/>
                <w:webHidden/>
              </w:rPr>
              <w:fldChar w:fldCharType="begin"/>
            </w:r>
            <w:r>
              <w:rPr>
                <w:noProof/>
                <w:webHidden/>
              </w:rPr>
              <w:instrText xml:space="preserve"> PAGEREF _Toc207978346 \h </w:instrText>
            </w:r>
            <w:r>
              <w:rPr>
                <w:noProof/>
                <w:webHidden/>
              </w:rPr>
            </w:r>
            <w:r>
              <w:rPr>
                <w:noProof/>
                <w:webHidden/>
              </w:rPr>
              <w:fldChar w:fldCharType="separate"/>
            </w:r>
            <w:r>
              <w:rPr>
                <w:noProof/>
                <w:webHidden/>
              </w:rPr>
              <w:t>15</w:t>
            </w:r>
            <w:r>
              <w:rPr>
                <w:noProof/>
                <w:webHidden/>
              </w:rPr>
              <w:fldChar w:fldCharType="end"/>
            </w:r>
          </w:hyperlink>
        </w:p>
        <w:p w14:paraId="21AE4B9C" w14:textId="0495F992" w:rsidR="00E773B5" w:rsidRDefault="00E773B5">
          <w:pPr>
            <w:pStyle w:val="TOC1"/>
            <w:rPr>
              <w:rFonts w:asciiTheme="minorHAnsi" w:eastAsiaTheme="minorEastAsia" w:hAnsiTheme="minorHAnsi"/>
              <w:b w:val="0"/>
              <w:noProof/>
              <w:color w:val="auto"/>
              <w:kern w:val="2"/>
              <w:szCs w:val="24"/>
              <w:lang w:eastAsia="en-AU"/>
              <w14:ligatures w14:val="standardContextual"/>
            </w:rPr>
          </w:pPr>
          <w:hyperlink w:anchor="_Toc207978347" w:history="1">
            <w:r w:rsidRPr="00836641">
              <w:rPr>
                <w:rStyle w:val="Hyperlink"/>
                <w:noProof/>
              </w:rPr>
              <w:t>W2R Strategy implementation</w:t>
            </w:r>
            <w:r>
              <w:rPr>
                <w:noProof/>
                <w:webHidden/>
              </w:rPr>
              <w:tab/>
            </w:r>
            <w:r>
              <w:rPr>
                <w:noProof/>
                <w:webHidden/>
              </w:rPr>
              <w:fldChar w:fldCharType="begin"/>
            </w:r>
            <w:r>
              <w:rPr>
                <w:noProof/>
                <w:webHidden/>
              </w:rPr>
              <w:instrText xml:space="preserve"> PAGEREF _Toc207978347 \h </w:instrText>
            </w:r>
            <w:r>
              <w:rPr>
                <w:noProof/>
                <w:webHidden/>
              </w:rPr>
            </w:r>
            <w:r>
              <w:rPr>
                <w:noProof/>
                <w:webHidden/>
              </w:rPr>
              <w:fldChar w:fldCharType="separate"/>
            </w:r>
            <w:r>
              <w:rPr>
                <w:noProof/>
                <w:webHidden/>
              </w:rPr>
              <w:t>18</w:t>
            </w:r>
            <w:r>
              <w:rPr>
                <w:noProof/>
                <w:webHidden/>
              </w:rPr>
              <w:fldChar w:fldCharType="end"/>
            </w:r>
          </w:hyperlink>
        </w:p>
        <w:p w14:paraId="36976116" w14:textId="7730398D" w:rsidR="00E773B5" w:rsidRDefault="00E773B5">
          <w:pPr>
            <w:pStyle w:val="TOC1"/>
            <w:rPr>
              <w:rFonts w:asciiTheme="minorHAnsi" w:eastAsiaTheme="minorEastAsia" w:hAnsiTheme="minorHAnsi"/>
              <w:b w:val="0"/>
              <w:noProof/>
              <w:color w:val="auto"/>
              <w:kern w:val="2"/>
              <w:szCs w:val="24"/>
              <w:lang w:eastAsia="en-AU"/>
              <w14:ligatures w14:val="standardContextual"/>
            </w:rPr>
          </w:pPr>
          <w:hyperlink w:anchor="_Toc207978348" w:history="1">
            <w:r w:rsidRPr="00836641">
              <w:rPr>
                <w:rStyle w:val="Hyperlink"/>
                <w:noProof/>
              </w:rPr>
              <w:t>Appendix A: Department of Environment and Science State Entity Reporting Template</w:t>
            </w:r>
            <w:r>
              <w:rPr>
                <w:noProof/>
                <w:webHidden/>
              </w:rPr>
              <w:tab/>
            </w:r>
            <w:r>
              <w:rPr>
                <w:noProof/>
                <w:webHidden/>
              </w:rPr>
              <w:fldChar w:fldCharType="begin"/>
            </w:r>
            <w:r>
              <w:rPr>
                <w:noProof/>
                <w:webHidden/>
              </w:rPr>
              <w:instrText xml:space="preserve"> PAGEREF _Toc207978348 \h </w:instrText>
            </w:r>
            <w:r>
              <w:rPr>
                <w:noProof/>
                <w:webHidden/>
              </w:rPr>
            </w:r>
            <w:r>
              <w:rPr>
                <w:noProof/>
                <w:webHidden/>
              </w:rPr>
              <w:fldChar w:fldCharType="separate"/>
            </w:r>
            <w:r>
              <w:rPr>
                <w:noProof/>
                <w:webHidden/>
              </w:rPr>
              <w:t>19</w:t>
            </w:r>
            <w:r>
              <w:rPr>
                <w:noProof/>
                <w:webHidden/>
              </w:rPr>
              <w:fldChar w:fldCharType="end"/>
            </w:r>
          </w:hyperlink>
        </w:p>
        <w:p w14:paraId="2E876EFC" w14:textId="6874526B" w:rsidR="008113E9" w:rsidRDefault="008113E9">
          <w:r>
            <w:rPr>
              <w:b/>
              <w:bCs/>
              <w:noProof/>
            </w:rPr>
            <w:fldChar w:fldCharType="end"/>
          </w:r>
        </w:p>
      </w:sdtContent>
    </w:sdt>
    <w:p w14:paraId="1CB9799D" w14:textId="77777777" w:rsidR="008113E9" w:rsidRDefault="008113E9" w:rsidP="008113E9">
      <w:pPr>
        <w:pStyle w:val="Heading1"/>
        <w:sectPr w:rsidR="008113E9" w:rsidSect="008113E9">
          <w:headerReference w:type="default" r:id="rId15"/>
          <w:headerReference w:type="first" r:id="rId16"/>
          <w:pgSz w:w="11906" w:h="16838" w:code="9"/>
          <w:pgMar w:top="1135" w:right="1418" w:bottom="1843" w:left="1418" w:header="567" w:footer="567" w:gutter="0"/>
          <w:cols w:space="708"/>
          <w:titlePg/>
          <w:docGrid w:linePitch="360"/>
        </w:sectPr>
      </w:pPr>
    </w:p>
    <w:p w14:paraId="127B3B21" w14:textId="06EA26BB" w:rsidR="008113E9" w:rsidRPr="008113E9" w:rsidRDefault="00582EBC" w:rsidP="008113E9">
      <w:pPr>
        <w:pStyle w:val="Heading1"/>
      </w:pPr>
      <w:bookmarkStart w:id="1" w:name="_Toc207978341"/>
      <w:r>
        <w:lastRenderedPageBreak/>
        <w:t>Executive summary</w:t>
      </w:r>
      <w:bookmarkEnd w:id="1"/>
      <w:r w:rsidR="008113E9">
        <w:t xml:space="preserve"> </w:t>
      </w:r>
    </w:p>
    <w:p w14:paraId="3376B7E8" w14:textId="3DD95FA8" w:rsidR="00582EBC" w:rsidRPr="00973ED8" w:rsidRDefault="00582EBC" w:rsidP="00582EBC">
      <w:pPr>
        <w:rPr>
          <w:szCs w:val="24"/>
        </w:rPr>
      </w:pPr>
      <w:r w:rsidRPr="00973ED8">
        <w:rPr>
          <w:szCs w:val="24"/>
        </w:rPr>
        <w:t xml:space="preserve">The Department of Transport and Main Roads’ (TMR) current </w:t>
      </w:r>
      <w:r w:rsidRPr="00973ED8">
        <w:rPr>
          <w:i/>
          <w:iCs/>
          <w:szCs w:val="24"/>
        </w:rPr>
        <w:t>Waste Reduction and Recycling Plan</w:t>
      </w:r>
      <w:r w:rsidRPr="00973ED8">
        <w:rPr>
          <w:szCs w:val="24"/>
        </w:rPr>
        <w:t>, the</w:t>
      </w:r>
      <w:r w:rsidRPr="00973ED8">
        <w:rPr>
          <w:i/>
          <w:iCs/>
          <w:szCs w:val="24"/>
        </w:rPr>
        <w:t xml:space="preserve"> </w:t>
      </w:r>
      <w:hyperlink r:id="rId17" w:history="1">
        <w:r w:rsidRPr="00432259">
          <w:rPr>
            <w:rStyle w:val="Hyperlink"/>
            <w:i/>
            <w:iCs/>
            <w:szCs w:val="24"/>
          </w:rPr>
          <w:t>Waste 2 Resource Strategy</w:t>
        </w:r>
      </w:hyperlink>
      <w:r w:rsidRPr="00973ED8">
        <w:rPr>
          <w:szCs w:val="24"/>
        </w:rPr>
        <w:t>, was published in 2022. It sets out the strategy for TMR to reduce waste and to monitor waste generation and diversion from landfill.</w:t>
      </w:r>
    </w:p>
    <w:p w14:paraId="6C7A10E0" w14:textId="30276552" w:rsidR="00582EBC" w:rsidRPr="00973ED8" w:rsidRDefault="00582EBC" w:rsidP="20735924">
      <w:r>
        <w:t>Figure 1 and Table 1 below provides a summary of the waste data for the 2024–2025 reporting year and the following report outlines how these outcomes were achieved.</w:t>
      </w:r>
      <w:r w:rsidR="12A6E9C6">
        <w:t xml:space="preserve"> The downward trend in the diversion rate in recent years is linked to the diversion rate of </w:t>
      </w:r>
      <w:r w:rsidR="7BC2D77C">
        <w:t xml:space="preserve">excess earthworks, including embankment and fill. </w:t>
      </w:r>
      <w:r w:rsidR="0CAFE08D">
        <w:t>Further investigation is necessary to understand this trend.</w:t>
      </w:r>
    </w:p>
    <w:p w14:paraId="21E65A29" w14:textId="3D94C5D4" w:rsidR="00582EBC" w:rsidRDefault="00582EBC" w:rsidP="00582EBC">
      <w:pPr>
        <w:pStyle w:val="NoSpacing"/>
        <w:jc w:val="center"/>
      </w:pPr>
    </w:p>
    <w:p w14:paraId="6F63D773" w14:textId="03FAE4EF" w:rsidR="004C4CB3" w:rsidRDefault="004C4CB3" w:rsidP="00582EBC">
      <w:pPr>
        <w:pStyle w:val="NoSpacing"/>
        <w:jc w:val="center"/>
      </w:pPr>
      <w:r>
        <w:rPr>
          <w:noProof/>
        </w:rPr>
        <w:drawing>
          <wp:inline distT="0" distB="0" distL="0" distR="0" wp14:anchorId="4B2D60EB" wp14:editId="29187AF5">
            <wp:extent cx="5486400" cy="3200400"/>
            <wp:effectExtent l="0" t="0" r="0" b="0"/>
            <wp:docPr id="1157808971" name="Chart 8" descr="Overall the mass of waste generated for the last three reporting periods has been between 1.4 and 1.6 million tonnes. The diversion rate has also remained between 80% t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D1DA93E" w14:textId="77777777" w:rsidR="00582EBC" w:rsidRDefault="00582EBC" w:rsidP="00582EBC">
      <w:pPr>
        <w:pStyle w:val="NoSpacing"/>
        <w:jc w:val="center"/>
      </w:pPr>
    </w:p>
    <w:p w14:paraId="15F27AE7" w14:textId="46714C94" w:rsidR="00582EBC" w:rsidRPr="00A653A9" w:rsidRDefault="00582EBC" w:rsidP="00582EBC">
      <w:pPr>
        <w:pStyle w:val="Caption"/>
      </w:pPr>
      <w:r>
        <w:t xml:space="preserve">Figure </w:t>
      </w:r>
      <w:r>
        <w:fldChar w:fldCharType="begin"/>
      </w:r>
      <w:r>
        <w:instrText xml:space="preserve"> SEQ Figure \* ARABIC </w:instrText>
      </w:r>
      <w:r>
        <w:fldChar w:fldCharType="separate"/>
      </w:r>
      <w:r w:rsidR="00E773B5">
        <w:rPr>
          <w:noProof/>
        </w:rPr>
        <w:t>1</w:t>
      </w:r>
      <w:r>
        <w:rPr>
          <w:noProof/>
        </w:rPr>
        <w:fldChar w:fldCharType="end"/>
      </w:r>
      <w:r>
        <w:t>:</w:t>
      </w:r>
      <w:r w:rsidRPr="00A653A9">
        <w:t xml:space="preserve"> Annual trends.</w:t>
      </w:r>
    </w:p>
    <w:tbl>
      <w:tblPr>
        <w:tblStyle w:val="NavyTable"/>
        <w:tblW w:w="9752" w:type="dxa"/>
        <w:tblInd w:w="0" w:type="dxa"/>
        <w:tblLayout w:type="fixed"/>
        <w:tblLook w:val="06A0" w:firstRow="1" w:lastRow="0" w:firstColumn="1" w:lastColumn="0" w:noHBand="1" w:noVBand="1"/>
      </w:tblPr>
      <w:tblGrid>
        <w:gridCol w:w="3741"/>
        <w:gridCol w:w="1502"/>
        <w:gridCol w:w="1503"/>
        <w:gridCol w:w="1503"/>
        <w:gridCol w:w="1503"/>
      </w:tblGrid>
      <w:tr w:rsidR="00582EBC" w:rsidRPr="00582EBC" w14:paraId="0024777C" w14:textId="77777777" w:rsidTr="00231CE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1261BF6C" w14:textId="77777777" w:rsidR="00582EBC" w:rsidRPr="00582EBC" w:rsidRDefault="00582EBC">
            <w:pPr>
              <w:spacing w:before="60" w:after="60"/>
              <w:rPr>
                <w:rFonts w:asciiTheme="minorHAnsi" w:eastAsia="Times New Roman" w:hAnsiTheme="minorHAnsi" w:cstheme="minorHAnsi"/>
                <w:color w:val="auto"/>
                <w:szCs w:val="24"/>
                <w:lang w:eastAsia="en-AU"/>
              </w:rPr>
            </w:pPr>
            <w:r w:rsidRPr="00582EBC">
              <w:rPr>
                <w:rFonts w:asciiTheme="minorHAnsi" w:eastAsia="Times New Roman" w:hAnsiTheme="minorHAnsi" w:cstheme="minorHAnsi"/>
                <w:color w:val="auto"/>
                <w:szCs w:val="24"/>
                <w:lang w:eastAsia="en-AU"/>
              </w:rPr>
              <w:t>Waste stream</w:t>
            </w:r>
          </w:p>
        </w:tc>
        <w:tc>
          <w:tcPr>
            <w:tcW w:w="1502" w:type="dxa"/>
            <w:noWrap/>
            <w:hideMark/>
          </w:tcPr>
          <w:p w14:paraId="4AF93AFF" w14:textId="77777777" w:rsidR="00582EBC" w:rsidRPr="00582EBC" w:rsidRDefault="00582EBC">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582EBC">
              <w:rPr>
                <w:rFonts w:asciiTheme="minorHAnsi" w:eastAsia="Times New Roman" w:hAnsiTheme="minorHAnsi" w:cstheme="minorHAnsi"/>
                <w:color w:val="auto"/>
                <w:szCs w:val="24"/>
                <w:lang w:eastAsia="en-AU"/>
              </w:rPr>
              <w:t>Generated</w:t>
            </w:r>
          </w:p>
          <w:p w14:paraId="56591B48" w14:textId="77777777" w:rsidR="00582EBC" w:rsidRPr="00582EBC" w:rsidRDefault="00582EBC">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582EBC">
              <w:rPr>
                <w:rFonts w:asciiTheme="minorHAnsi" w:eastAsia="Times New Roman" w:hAnsiTheme="minorHAnsi" w:cstheme="minorHAnsi"/>
                <w:color w:val="auto"/>
                <w:szCs w:val="24"/>
                <w:lang w:eastAsia="en-AU"/>
              </w:rPr>
              <w:t>(t)</w:t>
            </w:r>
          </w:p>
        </w:tc>
        <w:tc>
          <w:tcPr>
            <w:tcW w:w="1503" w:type="dxa"/>
            <w:noWrap/>
            <w:hideMark/>
          </w:tcPr>
          <w:p w14:paraId="33788069" w14:textId="77777777" w:rsidR="00582EBC" w:rsidRPr="00582EBC" w:rsidRDefault="00582EBC">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582EBC">
              <w:rPr>
                <w:rFonts w:asciiTheme="minorHAnsi" w:eastAsia="Times New Roman" w:hAnsiTheme="minorHAnsi" w:cstheme="minorHAnsi"/>
                <w:color w:val="auto"/>
                <w:szCs w:val="24"/>
                <w:lang w:eastAsia="en-AU"/>
              </w:rPr>
              <w:t>Diverted</w:t>
            </w:r>
          </w:p>
          <w:p w14:paraId="30E2FB29" w14:textId="77777777" w:rsidR="00582EBC" w:rsidRPr="00582EBC" w:rsidRDefault="00582EBC">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582EBC">
              <w:rPr>
                <w:rFonts w:asciiTheme="minorHAnsi" w:eastAsia="Times New Roman" w:hAnsiTheme="minorHAnsi" w:cstheme="minorHAnsi"/>
                <w:color w:val="auto"/>
                <w:szCs w:val="24"/>
                <w:lang w:eastAsia="en-AU"/>
              </w:rPr>
              <w:t>(t)</w:t>
            </w:r>
          </w:p>
        </w:tc>
        <w:tc>
          <w:tcPr>
            <w:tcW w:w="1503" w:type="dxa"/>
            <w:noWrap/>
            <w:hideMark/>
          </w:tcPr>
          <w:p w14:paraId="0ECA2485" w14:textId="77777777" w:rsidR="00582EBC" w:rsidRPr="00582EBC" w:rsidRDefault="00582EBC">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582EBC">
              <w:rPr>
                <w:rFonts w:asciiTheme="minorHAnsi" w:eastAsia="Times New Roman" w:hAnsiTheme="minorHAnsi" w:cstheme="minorHAnsi"/>
                <w:color w:val="auto"/>
                <w:szCs w:val="24"/>
                <w:lang w:eastAsia="en-AU"/>
              </w:rPr>
              <w:t>Landfilled</w:t>
            </w:r>
          </w:p>
          <w:p w14:paraId="7BE7C6DF" w14:textId="77777777" w:rsidR="00582EBC" w:rsidRPr="00582EBC" w:rsidRDefault="00582EBC">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582EBC">
              <w:rPr>
                <w:rFonts w:asciiTheme="minorHAnsi" w:eastAsia="Times New Roman" w:hAnsiTheme="minorHAnsi" w:cstheme="minorHAnsi"/>
                <w:color w:val="auto"/>
                <w:szCs w:val="24"/>
                <w:lang w:eastAsia="en-AU"/>
              </w:rPr>
              <w:t>(t)</w:t>
            </w:r>
          </w:p>
        </w:tc>
        <w:tc>
          <w:tcPr>
            <w:tcW w:w="1503" w:type="dxa"/>
            <w:noWrap/>
            <w:hideMark/>
          </w:tcPr>
          <w:p w14:paraId="05C560EF" w14:textId="77777777" w:rsidR="00582EBC" w:rsidRPr="00582EBC" w:rsidRDefault="00582EBC">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582EBC">
              <w:rPr>
                <w:rFonts w:asciiTheme="minorHAnsi" w:eastAsia="Times New Roman" w:hAnsiTheme="minorHAnsi" w:cstheme="minorHAnsi"/>
                <w:color w:val="auto"/>
                <w:szCs w:val="24"/>
                <w:lang w:eastAsia="en-AU"/>
              </w:rPr>
              <w:t>Diversion rate</w:t>
            </w:r>
          </w:p>
        </w:tc>
      </w:tr>
      <w:tr w:rsidR="00231CE2" w:rsidRPr="00582EBC" w14:paraId="2FE1A28D" w14:textId="77777777" w:rsidTr="00231CE2">
        <w:trPr>
          <w:trHeight w:val="300"/>
        </w:trPr>
        <w:tc>
          <w:tcPr>
            <w:cnfStyle w:val="001000000000" w:firstRow="0" w:lastRow="0" w:firstColumn="1" w:lastColumn="0" w:oddVBand="0" w:evenVBand="0" w:oddHBand="0" w:evenHBand="0" w:firstRowFirstColumn="0" w:firstRowLastColumn="0" w:lastRowFirstColumn="0" w:lastRowLastColumn="0"/>
            <w:tcW w:w="3741" w:type="dxa"/>
            <w:noWrap/>
            <w:vAlign w:val="bottom"/>
            <w:hideMark/>
          </w:tcPr>
          <w:p w14:paraId="12088E8A" w14:textId="461676D1" w:rsidR="00231CE2" w:rsidRPr="00231CE2" w:rsidRDefault="00231CE2" w:rsidP="00231CE2">
            <w:pPr>
              <w:rPr>
                <w:rFonts w:asciiTheme="minorHAnsi" w:eastAsia="Times New Roman" w:hAnsiTheme="minorHAnsi" w:cstheme="minorHAnsi"/>
                <w:color w:val="auto"/>
                <w:szCs w:val="24"/>
                <w:lang w:eastAsia="en-AU"/>
              </w:rPr>
            </w:pPr>
            <w:r w:rsidRPr="00231CE2">
              <w:rPr>
                <w:color w:val="auto"/>
              </w:rPr>
              <w:t>Excess earthworks / embankment / fill</w:t>
            </w:r>
          </w:p>
        </w:tc>
        <w:tc>
          <w:tcPr>
            <w:tcW w:w="1502" w:type="dxa"/>
            <w:noWrap/>
            <w:vAlign w:val="bottom"/>
          </w:tcPr>
          <w:p w14:paraId="6D510A57" w14:textId="66D90E42"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956761</w:t>
            </w:r>
          </w:p>
        </w:tc>
        <w:tc>
          <w:tcPr>
            <w:tcW w:w="1503" w:type="dxa"/>
            <w:noWrap/>
            <w:vAlign w:val="bottom"/>
          </w:tcPr>
          <w:p w14:paraId="59069B61" w14:textId="3004EE1E"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742972</w:t>
            </w:r>
          </w:p>
        </w:tc>
        <w:tc>
          <w:tcPr>
            <w:tcW w:w="1503" w:type="dxa"/>
            <w:noWrap/>
            <w:vAlign w:val="bottom"/>
          </w:tcPr>
          <w:p w14:paraId="6D83BA51" w14:textId="482FBD34"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213789</w:t>
            </w:r>
          </w:p>
        </w:tc>
        <w:tc>
          <w:tcPr>
            <w:tcW w:w="1503" w:type="dxa"/>
            <w:noWrap/>
            <w:vAlign w:val="bottom"/>
          </w:tcPr>
          <w:p w14:paraId="718FACB5" w14:textId="6A7A5898"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78%</w:t>
            </w:r>
          </w:p>
        </w:tc>
      </w:tr>
      <w:tr w:rsidR="00231CE2" w:rsidRPr="00582EBC" w14:paraId="07FC4414" w14:textId="77777777" w:rsidTr="00231CE2">
        <w:trPr>
          <w:trHeight w:val="300"/>
        </w:trPr>
        <w:tc>
          <w:tcPr>
            <w:cnfStyle w:val="001000000000" w:firstRow="0" w:lastRow="0" w:firstColumn="1" w:lastColumn="0" w:oddVBand="0" w:evenVBand="0" w:oddHBand="0" w:evenHBand="0" w:firstRowFirstColumn="0" w:firstRowLastColumn="0" w:lastRowFirstColumn="0" w:lastRowLastColumn="0"/>
            <w:tcW w:w="3741" w:type="dxa"/>
            <w:noWrap/>
            <w:vAlign w:val="bottom"/>
            <w:hideMark/>
          </w:tcPr>
          <w:p w14:paraId="7E25CC5E" w14:textId="56A59DD8" w:rsidR="00231CE2" w:rsidRPr="00231CE2" w:rsidRDefault="00231CE2" w:rsidP="00231CE2">
            <w:pPr>
              <w:rPr>
                <w:rFonts w:asciiTheme="minorHAnsi" w:eastAsia="Times New Roman" w:hAnsiTheme="minorHAnsi" w:cstheme="minorHAnsi"/>
                <w:color w:val="auto"/>
                <w:szCs w:val="24"/>
                <w:lang w:eastAsia="en-AU"/>
              </w:rPr>
            </w:pPr>
            <w:r w:rsidRPr="00231CE2">
              <w:rPr>
                <w:color w:val="auto"/>
              </w:rPr>
              <w:t>Asphalt and profiles (RAP)</w:t>
            </w:r>
          </w:p>
        </w:tc>
        <w:tc>
          <w:tcPr>
            <w:tcW w:w="1502" w:type="dxa"/>
            <w:noWrap/>
            <w:vAlign w:val="bottom"/>
          </w:tcPr>
          <w:p w14:paraId="0B1E277D" w14:textId="2AA545CE"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159057</w:t>
            </w:r>
          </w:p>
        </w:tc>
        <w:tc>
          <w:tcPr>
            <w:tcW w:w="1503" w:type="dxa"/>
            <w:noWrap/>
            <w:vAlign w:val="bottom"/>
          </w:tcPr>
          <w:p w14:paraId="1EDDAB46" w14:textId="2173BD9D"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127207</w:t>
            </w:r>
          </w:p>
        </w:tc>
        <w:tc>
          <w:tcPr>
            <w:tcW w:w="1503" w:type="dxa"/>
            <w:noWrap/>
            <w:vAlign w:val="bottom"/>
          </w:tcPr>
          <w:p w14:paraId="39004D22" w14:textId="703DF857"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31851</w:t>
            </w:r>
          </w:p>
        </w:tc>
        <w:tc>
          <w:tcPr>
            <w:tcW w:w="1503" w:type="dxa"/>
            <w:noWrap/>
            <w:vAlign w:val="bottom"/>
          </w:tcPr>
          <w:p w14:paraId="5B9BEDBD" w14:textId="146D0650"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80%</w:t>
            </w:r>
          </w:p>
        </w:tc>
      </w:tr>
      <w:tr w:rsidR="00231CE2" w:rsidRPr="00582EBC" w14:paraId="6B7C2F37" w14:textId="77777777" w:rsidTr="00231CE2">
        <w:trPr>
          <w:trHeight w:val="300"/>
        </w:trPr>
        <w:tc>
          <w:tcPr>
            <w:cnfStyle w:val="001000000000" w:firstRow="0" w:lastRow="0" w:firstColumn="1" w:lastColumn="0" w:oddVBand="0" w:evenVBand="0" w:oddHBand="0" w:evenHBand="0" w:firstRowFirstColumn="0" w:firstRowLastColumn="0" w:lastRowFirstColumn="0" w:lastRowLastColumn="0"/>
            <w:tcW w:w="3741" w:type="dxa"/>
            <w:noWrap/>
            <w:vAlign w:val="bottom"/>
            <w:hideMark/>
          </w:tcPr>
          <w:p w14:paraId="73CC73A0" w14:textId="1EF91D88" w:rsidR="00231CE2" w:rsidRPr="00231CE2" w:rsidRDefault="00231CE2" w:rsidP="00231CE2">
            <w:pPr>
              <w:rPr>
                <w:rFonts w:asciiTheme="minorHAnsi" w:eastAsia="Times New Roman" w:hAnsiTheme="minorHAnsi" w:cstheme="minorHAnsi"/>
                <w:color w:val="auto"/>
                <w:szCs w:val="24"/>
                <w:lang w:eastAsia="en-AU"/>
              </w:rPr>
            </w:pPr>
            <w:r w:rsidRPr="00231CE2">
              <w:rPr>
                <w:color w:val="auto"/>
              </w:rPr>
              <w:lastRenderedPageBreak/>
              <w:t>Regulated waste cat 2</w:t>
            </w:r>
          </w:p>
        </w:tc>
        <w:tc>
          <w:tcPr>
            <w:tcW w:w="1502" w:type="dxa"/>
            <w:noWrap/>
            <w:vAlign w:val="bottom"/>
          </w:tcPr>
          <w:p w14:paraId="057CC275" w14:textId="55EEA23A"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137737</w:t>
            </w:r>
          </w:p>
        </w:tc>
        <w:tc>
          <w:tcPr>
            <w:tcW w:w="1503" w:type="dxa"/>
            <w:noWrap/>
            <w:vAlign w:val="bottom"/>
          </w:tcPr>
          <w:p w14:paraId="1E3CA366" w14:textId="3ED27146"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119473</w:t>
            </w:r>
          </w:p>
        </w:tc>
        <w:tc>
          <w:tcPr>
            <w:tcW w:w="1503" w:type="dxa"/>
            <w:noWrap/>
            <w:vAlign w:val="bottom"/>
          </w:tcPr>
          <w:p w14:paraId="17554FEE" w14:textId="2A505AFB"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18263</w:t>
            </w:r>
          </w:p>
        </w:tc>
        <w:tc>
          <w:tcPr>
            <w:tcW w:w="1503" w:type="dxa"/>
            <w:noWrap/>
            <w:vAlign w:val="bottom"/>
          </w:tcPr>
          <w:p w14:paraId="3EE82910" w14:textId="67BF0CC6"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87%</w:t>
            </w:r>
          </w:p>
        </w:tc>
      </w:tr>
      <w:tr w:rsidR="00231CE2" w:rsidRPr="00582EBC" w14:paraId="788BF9B3" w14:textId="77777777" w:rsidTr="00231CE2">
        <w:trPr>
          <w:trHeight w:val="300"/>
        </w:trPr>
        <w:tc>
          <w:tcPr>
            <w:cnfStyle w:val="001000000000" w:firstRow="0" w:lastRow="0" w:firstColumn="1" w:lastColumn="0" w:oddVBand="0" w:evenVBand="0" w:oddHBand="0" w:evenHBand="0" w:firstRowFirstColumn="0" w:firstRowLastColumn="0" w:lastRowFirstColumn="0" w:lastRowLastColumn="0"/>
            <w:tcW w:w="3741" w:type="dxa"/>
            <w:noWrap/>
            <w:vAlign w:val="bottom"/>
            <w:hideMark/>
          </w:tcPr>
          <w:p w14:paraId="162C3A1C" w14:textId="3FFD3FCE" w:rsidR="00231CE2" w:rsidRPr="00231CE2" w:rsidRDefault="00231CE2" w:rsidP="00231CE2">
            <w:pPr>
              <w:rPr>
                <w:rFonts w:asciiTheme="minorHAnsi" w:eastAsia="Times New Roman" w:hAnsiTheme="minorHAnsi" w:cstheme="minorHAnsi"/>
                <w:color w:val="auto"/>
                <w:szCs w:val="24"/>
                <w:lang w:eastAsia="en-AU"/>
              </w:rPr>
            </w:pPr>
            <w:r w:rsidRPr="00231CE2">
              <w:rPr>
                <w:color w:val="auto"/>
              </w:rPr>
              <w:t>Other recovered pavement materials</w:t>
            </w:r>
          </w:p>
        </w:tc>
        <w:tc>
          <w:tcPr>
            <w:tcW w:w="1502" w:type="dxa"/>
            <w:noWrap/>
            <w:vAlign w:val="bottom"/>
          </w:tcPr>
          <w:p w14:paraId="39BDF1A7" w14:textId="71859C46"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98632</w:t>
            </w:r>
          </w:p>
        </w:tc>
        <w:tc>
          <w:tcPr>
            <w:tcW w:w="1503" w:type="dxa"/>
            <w:noWrap/>
            <w:vAlign w:val="bottom"/>
          </w:tcPr>
          <w:p w14:paraId="46EC7753" w14:textId="2DC90C7D"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95561</w:t>
            </w:r>
          </w:p>
        </w:tc>
        <w:tc>
          <w:tcPr>
            <w:tcW w:w="1503" w:type="dxa"/>
            <w:noWrap/>
            <w:vAlign w:val="bottom"/>
          </w:tcPr>
          <w:p w14:paraId="78AA74F4" w14:textId="14F0CFFC"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3071</w:t>
            </w:r>
          </w:p>
        </w:tc>
        <w:tc>
          <w:tcPr>
            <w:tcW w:w="1503" w:type="dxa"/>
            <w:noWrap/>
            <w:vAlign w:val="bottom"/>
          </w:tcPr>
          <w:p w14:paraId="3E55B19F" w14:textId="7567AF57"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97%</w:t>
            </w:r>
          </w:p>
        </w:tc>
      </w:tr>
      <w:tr w:rsidR="00231CE2" w:rsidRPr="00582EBC" w14:paraId="5F664E2B" w14:textId="77777777" w:rsidTr="00231CE2">
        <w:trPr>
          <w:trHeight w:val="300"/>
        </w:trPr>
        <w:tc>
          <w:tcPr>
            <w:cnfStyle w:val="001000000000" w:firstRow="0" w:lastRow="0" w:firstColumn="1" w:lastColumn="0" w:oddVBand="0" w:evenVBand="0" w:oddHBand="0" w:evenHBand="0" w:firstRowFirstColumn="0" w:firstRowLastColumn="0" w:lastRowFirstColumn="0" w:lastRowLastColumn="0"/>
            <w:tcW w:w="3741" w:type="dxa"/>
            <w:noWrap/>
            <w:vAlign w:val="bottom"/>
            <w:hideMark/>
          </w:tcPr>
          <w:p w14:paraId="2CF7392C" w14:textId="1AC0D7E6" w:rsidR="00231CE2" w:rsidRPr="00231CE2" w:rsidRDefault="00231CE2" w:rsidP="00231CE2">
            <w:pPr>
              <w:rPr>
                <w:rFonts w:asciiTheme="minorHAnsi" w:eastAsia="Times New Roman" w:hAnsiTheme="minorHAnsi" w:cstheme="minorHAnsi"/>
                <w:color w:val="auto"/>
                <w:szCs w:val="24"/>
                <w:lang w:eastAsia="en-AU"/>
              </w:rPr>
            </w:pPr>
            <w:r w:rsidRPr="00231CE2">
              <w:rPr>
                <w:color w:val="auto"/>
              </w:rPr>
              <w:t>Concrete</w:t>
            </w:r>
          </w:p>
        </w:tc>
        <w:tc>
          <w:tcPr>
            <w:tcW w:w="1502" w:type="dxa"/>
            <w:noWrap/>
            <w:vAlign w:val="bottom"/>
          </w:tcPr>
          <w:p w14:paraId="23590B40" w14:textId="73275BFB"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82977</w:t>
            </w:r>
          </w:p>
        </w:tc>
        <w:tc>
          <w:tcPr>
            <w:tcW w:w="1503" w:type="dxa"/>
            <w:noWrap/>
            <w:vAlign w:val="bottom"/>
          </w:tcPr>
          <w:p w14:paraId="2A116DEB" w14:textId="4800ACAF"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71156</w:t>
            </w:r>
          </w:p>
        </w:tc>
        <w:tc>
          <w:tcPr>
            <w:tcW w:w="1503" w:type="dxa"/>
            <w:noWrap/>
            <w:vAlign w:val="bottom"/>
          </w:tcPr>
          <w:p w14:paraId="79B297C6" w14:textId="5CEDA331"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11821</w:t>
            </w:r>
          </w:p>
        </w:tc>
        <w:tc>
          <w:tcPr>
            <w:tcW w:w="1503" w:type="dxa"/>
            <w:noWrap/>
            <w:vAlign w:val="bottom"/>
          </w:tcPr>
          <w:p w14:paraId="53758B1A" w14:textId="239A850A"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86%</w:t>
            </w:r>
          </w:p>
        </w:tc>
      </w:tr>
      <w:tr w:rsidR="00231CE2" w:rsidRPr="00582EBC" w14:paraId="76194836" w14:textId="77777777" w:rsidTr="00231CE2">
        <w:trPr>
          <w:trHeight w:val="300"/>
        </w:trPr>
        <w:tc>
          <w:tcPr>
            <w:cnfStyle w:val="001000000000" w:firstRow="0" w:lastRow="0" w:firstColumn="1" w:lastColumn="0" w:oddVBand="0" w:evenVBand="0" w:oddHBand="0" w:evenHBand="0" w:firstRowFirstColumn="0" w:firstRowLastColumn="0" w:lastRowFirstColumn="0" w:lastRowLastColumn="0"/>
            <w:tcW w:w="3741" w:type="dxa"/>
            <w:noWrap/>
            <w:vAlign w:val="bottom"/>
            <w:hideMark/>
          </w:tcPr>
          <w:p w14:paraId="72D1ACC6" w14:textId="51EC8E33" w:rsidR="00231CE2" w:rsidRPr="00231CE2" w:rsidRDefault="00231CE2" w:rsidP="00231CE2">
            <w:pPr>
              <w:rPr>
                <w:rFonts w:asciiTheme="minorHAnsi" w:eastAsia="Times New Roman" w:hAnsiTheme="minorHAnsi" w:cstheme="minorHAnsi"/>
                <w:color w:val="auto"/>
                <w:szCs w:val="24"/>
                <w:lang w:eastAsia="en-AU"/>
              </w:rPr>
            </w:pPr>
            <w:r w:rsidRPr="00231CE2">
              <w:rPr>
                <w:color w:val="auto"/>
              </w:rPr>
              <w:t>Acid sulphate soil</w:t>
            </w:r>
          </w:p>
        </w:tc>
        <w:tc>
          <w:tcPr>
            <w:tcW w:w="1502" w:type="dxa"/>
            <w:noWrap/>
            <w:vAlign w:val="bottom"/>
          </w:tcPr>
          <w:p w14:paraId="70DE0A02" w14:textId="7B1823A6"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39231</w:t>
            </w:r>
          </w:p>
        </w:tc>
        <w:tc>
          <w:tcPr>
            <w:tcW w:w="1503" w:type="dxa"/>
            <w:noWrap/>
            <w:vAlign w:val="bottom"/>
          </w:tcPr>
          <w:p w14:paraId="1132E617" w14:textId="681C9170"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39231</w:t>
            </w:r>
          </w:p>
        </w:tc>
        <w:tc>
          <w:tcPr>
            <w:tcW w:w="1503" w:type="dxa"/>
            <w:noWrap/>
            <w:vAlign w:val="bottom"/>
          </w:tcPr>
          <w:p w14:paraId="68B1C177" w14:textId="2B045286"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0</w:t>
            </w:r>
          </w:p>
        </w:tc>
        <w:tc>
          <w:tcPr>
            <w:tcW w:w="1503" w:type="dxa"/>
            <w:noWrap/>
            <w:vAlign w:val="bottom"/>
          </w:tcPr>
          <w:p w14:paraId="0657EC84" w14:textId="5FDEBA8A"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100%</w:t>
            </w:r>
          </w:p>
        </w:tc>
      </w:tr>
      <w:tr w:rsidR="00231CE2" w:rsidRPr="00582EBC" w14:paraId="64E2A352" w14:textId="77777777" w:rsidTr="00231CE2">
        <w:trPr>
          <w:trHeight w:val="300"/>
        </w:trPr>
        <w:tc>
          <w:tcPr>
            <w:cnfStyle w:val="001000000000" w:firstRow="0" w:lastRow="0" w:firstColumn="1" w:lastColumn="0" w:oddVBand="0" w:evenVBand="0" w:oddHBand="0" w:evenHBand="0" w:firstRowFirstColumn="0" w:firstRowLastColumn="0" w:lastRowFirstColumn="0" w:lastRowLastColumn="0"/>
            <w:tcW w:w="3741" w:type="dxa"/>
            <w:noWrap/>
            <w:vAlign w:val="bottom"/>
            <w:hideMark/>
          </w:tcPr>
          <w:p w14:paraId="42F42BAA" w14:textId="6F95C958" w:rsidR="00231CE2" w:rsidRPr="00231CE2" w:rsidRDefault="00231CE2" w:rsidP="00231CE2">
            <w:pPr>
              <w:rPr>
                <w:rFonts w:asciiTheme="minorHAnsi" w:eastAsia="Times New Roman" w:hAnsiTheme="minorHAnsi" w:cstheme="minorHAnsi"/>
                <w:color w:val="auto"/>
                <w:szCs w:val="24"/>
                <w:lang w:eastAsia="en-AU"/>
              </w:rPr>
            </w:pPr>
            <w:r w:rsidRPr="00231CE2">
              <w:rPr>
                <w:color w:val="auto"/>
              </w:rPr>
              <w:t>Vegetation</w:t>
            </w:r>
          </w:p>
        </w:tc>
        <w:tc>
          <w:tcPr>
            <w:tcW w:w="1502" w:type="dxa"/>
            <w:noWrap/>
            <w:vAlign w:val="bottom"/>
          </w:tcPr>
          <w:p w14:paraId="2C3BEFE7" w14:textId="605A33AC"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23007</w:t>
            </w:r>
          </w:p>
        </w:tc>
        <w:tc>
          <w:tcPr>
            <w:tcW w:w="1503" w:type="dxa"/>
            <w:noWrap/>
            <w:vAlign w:val="bottom"/>
          </w:tcPr>
          <w:p w14:paraId="126F2DEA" w14:textId="7F7D2D50"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17414</w:t>
            </w:r>
          </w:p>
        </w:tc>
        <w:tc>
          <w:tcPr>
            <w:tcW w:w="1503" w:type="dxa"/>
            <w:noWrap/>
            <w:vAlign w:val="bottom"/>
          </w:tcPr>
          <w:p w14:paraId="4E4117F0" w14:textId="0040627B"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5594</w:t>
            </w:r>
          </w:p>
        </w:tc>
        <w:tc>
          <w:tcPr>
            <w:tcW w:w="1503" w:type="dxa"/>
            <w:noWrap/>
            <w:vAlign w:val="bottom"/>
          </w:tcPr>
          <w:p w14:paraId="3240394A" w14:textId="410ECB72"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76%</w:t>
            </w:r>
          </w:p>
        </w:tc>
      </w:tr>
      <w:tr w:rsidR="00231CE2" w:rsidRPr="00582EBC" w14:paraId="4F20825E" w14:textId="77777777" w:rsidTr="00231CE2">
        <w:trPr>
          <w:trHeight w:val="300"/>
        </w:trPr>
        <w:tc>
          <w:tcPr>
            <w:cnfStyle w:val="001000000000" w:firstRow="0" w:lastRow="0" w:firstColumn="1" w:lastColumn="0" w:oddVBand="0" w:evenVBand="0" w:oddHBand="0" w:evenHBand="0" w:firstRowFirstColumn="0" w:firstRowLastColumn="0" w:lastRowFirstColumn="0" w:lastRowLastColumn="0"/>
            <w:tcW w:w="3741" w:type="dxa"/>
            <w:noWrap/>
            <w:vAlign w:val="bottom"/>
            <w:hideMark/>
          </w:tcPr>
          <w:p w14:paraId="65A08004" w14:textId="5B03FE25" w:rsidR="00231CE2" w:rsidRPr="00231CE2" w:rsidRDefault="00231CE2" w:rsidP="00231CE2">
            <w:pPr>
              <w:rPr>
                <w:rFonts w:asciiTheme="minorHAnsi" w:eastAsia="Times New Roman" w:hAnsiTheme="minorHAnsi" w:cstheme="minorHAnsi"/>
                <w:color w:val="auto"/>
                <w:szCs w:val="24"/>
                <w:lang w:eastAsia="en-AU"/>
              </w:rPr>
            </w:pPr>
            <w:r w:rsidRPr="00231CE2">
              <w:rPr>
                <w:color w:val="auto"/>
              </w:rPr>
              <w:t>Other construction waste (timber, glass, plastic, bricks)</w:t>
            </w:r>
          </w:p>
        </w:tc>
        <w:tc>
          <w:tcPr>
            <w:tcW w:w="1502" w:type="dxa"/>
            <w:noWrap/>
            <w:vAlign w:val="bottom"/>
          </w:tcPr>
          <w:p w14:paraId="595C03A0" w14:textId="4339C102"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12220</w:t>
            </w:r>
          </w:p>
        </w:tc>
        <w:tc>
          <w:tcPr>
            <w:tcW w:w="1503" w:type="dxa"/>
            <w:noWrap/>
            <w:vAlign w:val="bottom"/>
          </w:tcPr>
          <w:p w14:paraId="3A03F9BA" w14:textId="19AE5554"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6532</w:t>
            </w:r>
          </w:p>
        </w:tc>
        <w:tc>
          <w:tcPr>
            <w:tcW w:w="1503" w:type="dxa"/>
            <w:noWrap/>
            <w:vAlign w:val="bottom"/>
          </w:tcPr>
          <w:p w14:paraId="45901DED" w14:textId="500C24B2"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5687</w:t>
            </w:r>
          </w:p>
        </w:tc>
        <w:tc>
          <w:tcPr>
            <w:tcW w:w="1503" w:type="dxa"/>
            <w:noWrap/>
            <w:vAlign w:val="bottom"/>
          </w:tcPr>
          <w:p w14:paraId="44D8E045" w14:textId="7CE8AECE"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53%</w:t>
            </w:r>
          </w:p>
        </w:tc>
      </w:tr>
      <w:tr w:rsidR="00231CE2" w:rsidRPr="00582EBC" w14:paraId="3E8C10F0" w14:textId="77777777" w:rsidTr="00231CE2">
        <w:trPr>
          <w:trHeight w:val="300"/>
        </w:trPr>
        <w:tc>
          <w:tcPr>
            <w:cnfStyle w:val="001000000000" w:firstRow="0" w:lastRow="0" w:firstColumn="1" w:lastColumn="0" w:oddVBand="0" w:evenVBand="0" w:oddHBand="0" w:evenHBand="0" w:firstRowFirstColumn="0" w:firstRowLastColumn="0" w:lastRowFirstColumn="0" w:lastRowLastColumn="0"/>
            <w:tcW w:w="3741" w:type="dxa"/>
            <w:noWrap/>
            <w:vAlign w:val="bottom"/>
            <w:hideMark/>
          </w:tcPr>
          <w:p w14:paraId="2D363F0B" w14:textId="2A50319B" w:rsidR="00231CE2" w:rsidRPr="00231CE2" w:rsidRDefault="00231CE2" w:rsidP="00231CE2">
            <w:pPr>
              <w:rPr>
                <w:rFonts w:asciiTheme="minorHAnsi" w:eastAsia="Times New Roman" w:hAnsiTheme="minorHAnsi" w:cstheme="minorHAnsi"/>
                <w:color w:val="auto"/>
                <w:szCs w:val="24"/>
                <w:lang w:eastAsia="en-AU"/>
              </w:rPr>
            </w:pPr>
            <w:r w:rsidRPr="00231CE2">
              <w:rPr>
                <w:color w:val="auto"/>
              </w:rPr>
              <w:t>Other contaminated earthworks</w:t>
            </w:r>
          </w:p>
        </w:tc>
        <w:tc>
          <w:tcPr>
            <w:tcW w:w="1502" w:type="dxa"/>
            <w:noWrap/>
            <w:vAlign w:val="bottom"/>
          </w:tcPr>
          <w:p w14:paraId="151D5C3F" w14:textId="618BCEF0"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8671</w:t>
            </w:r>
          </w:p>
        </w:tc>
        <w:tc>
          <w:tcPr>
            <w:tcW w:w="1503" w:type="dxa"/>
            <w:noWrap/>
            <w:vAlign w:val="bottom"/>
          </w:tcPr>
          <w:p w14:paraId="226888CC" w14:textId="4B8EBFE7"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3000</w:t>
            </w:r>
          </w:p>
        </w:tc>
        <w:tc>
          <w:tcPr>
            <w:tcW w:w="1503" w:type="dxa"/>
            <w:noWrap/>
            <w:vAlign w:val="bottom"/>
          </w:tcPr>
          <w:p w14:paraId="1F54BE85" w14:textId="3E64DE47"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5671</w:t>
            </w:r>
          </w:p>
        </w:tc>
        <w:tc>
          <w:tcPr>
            <w:tcW w:w="1503" w:type="dxa"/>
            <w:noWrap/>
            <w:vAlign w:val="bottom"/>
          </w:tcPr>
          <w:p w14:paraId="111DC7F1" w14:textId="3EB03012"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35%</w:t>
            </w:r>
          </w:p>
        </w:tc>
      </w:tr>
      <w:tr w:rsidR="00231CE2" w:rsidRPr="00582EBC" w14:paraId="19EB5E12" w14:textId="77777777" w:rsidTr="00231CE2">
        <w:trPr>
          <w:trHeight w:val="300"/>
        </w:trPr>
        <w:tc>
          <w:tcPr>
            <w:cnfStyle w:val="001000000000" w:firstRow="0" w:lastRow="0" w:firstColumn="1" w:lastColumn="0" w:oddVBand="0" w:evenVBand="0" w:oddHBand="0" w:evenHBand="0" w:firstRowFirstColumn="0" w:firstRowLastColumn="0" w:lastRowFirstColumn="0" w:lastRowLastColumn="0"/>
            <w:tcW w:w="3741" w:type="dxa"/>
            <w:noWrap/>
            <w:vAlign w:val="bottom"/>
            <w:hideMark/>
          </w:tcPr>
          <w:p w14:paraId="1E729D5B" w14:textId="59F5CAEB" w:rsidR="00231CE2" w:rsidRPr="00231CE2" w:rsidRDefault="00231CE2" w:rsidP="00231CE2">
            <w:pPr>
              <w:rPr>
                <w:rFonts w:asciiTheme="minorHAnsi" w:eastAsia="Times New Roman" w:hAnsiTheme="minorHAnsi" w:cstheme="minorHAnsi"/>
                <w:color w:val="auto"/>
                <w:szCs w:val="24"/>
                <w:lang w:eastAsia="en-AU"/>
              </w:rPr>
            </w:pPr>
            <w:r w:rsidRPr="00231CE2">
              <w:rPr>
                <w:color w:val="auto"/>
              </w:rPr>
              <w:t>Metal</w:t>
            </w:r>
          </w:p>
        </w:tc>
        <w:tc>
          <w:tcPr>
            <w:tcW w:w="1502" w:type="dxa"/>
            <w:noWrap/>
            <w:vAlign w:val="bottom"/>
          </w:tcPr>
          <w:p w14:paraId="2E0B818E" w14:textId="45767F6C"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4675</w:t>
            </w:r>
          </w:p>
        </w:tc>
        <w:tc>
          <w:tcPr>
            <w:tcW w:w="1503" w:type="dxa"/>
            <w:noWrap/>
            <w:vAlign w:val="bottom"/>
          </w:tcPr>
          <w:p w14:paraId="0A75E1BB" w14:textId="6E033B35"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2968</w:t>
            </w:r>
          </w:p>
        </w:tc>
        <w:tc>
          <w:tcPr>
            <w:tcW w:w="1503" w:type="dxa"/>
            <w:noWrap/>
            <w:vAlign w:val="bottom"/>
          </w:tcPr>
          <w:p w14:paraId="67617ECD" w14:textId="0D034C74"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1706</w:t>
            </w:r>
          </w:p>
        </w:tc>
        <w:tc>
          <w:tcPr>
            <w:tcW w:w="1503" w:type="dxa"/>
            <w:noWrap/>
            <w:vAlign w:val="bottom"/>
          </w:tcPr>
          <w:p w14:paraId="224A5D56" w14:textId="5298BCB4"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63%</w:t>
            </w:r>
          </w:p>
        </w:tc>
      </w:tr>
      <w:tr w:rsidR="00231CE2" w:rsidRPr="00582EBC" w14:paraId="29F9F7DB" w14:textId="77777777" w:rsidTr="00231CE2">
        <w:trPr>
          <w:trHeight w:val="300"/>
        </w:trPr>
        <w:tc>
          <w:tcPr>
            <w:cnfStyle w:val="001000000000" w:firstRow="0" w:lastRow="0" w:firstColumn="1" w:lastColumn="0" w:oddVBand="0" w:evenVBand="0" w:oddHBand="0" w:evenHBand="0" w:firstRowFirstColumn="0" w:firstRowLastColumn="0" w:lastRowFirstColumn="0" w:lastRowLastColumn="0"/>
            <w:tcW w:w="3741" w:type="dxa"/>
            <w:noWrap/>
            <w:vAlign w:val="bottom"/>
            <w:hideMark/>
          </w:tcPr>
          <w:p w14:paraId="7584AA5C" w14:textId="4670DFBF" w:rsidR="00231CE2" w:rsidRPr="00231CE2" w:rsidRDefault="00231CE2" w:rsidP="00231CE2">
            <w:pPr>
              <w:rPr>
                <w:rFonts w:asciiTheme="minorHAnsi" w:eastAsia="Times New Roman" w:hAnsiTheme="minorHAnsi" w:cstheme="minorHAnsi"/>
                <w:color w:val="auto"/>
                <w:szCs w:val="24"/>
                <w:lang w:eastAsia="en-AU"/>
              </w:rPr>
            </w:pPr>
            <w:r w:rsidRPr="00231CE2">
              <w:rPr>
                <w:color w:val="auto"/>
              </w:rPr>
              <w:t>Office - recyclables</w:t>
            </w:r>
          </w:p>
        </w:tc>
        <w:tc>
          <w:tcPr>
            <w:tcW w:w="1502" w:type="dxa"/>
            <w:noWrap/>
            <w:vAlign w:val="bottom"/>
          </w:tcPr>
          <w:p w14:paraId="7D8872BF" w14:textId="734481B1"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354</w:t>
            </w:r>
          </w:p>
        </w:tc>
        <w:tc>
          <w:tcPr>
            <w:tcW w:w="1503" w:type="dxa"/>
            <w:noWrap/>
            <w:vAlign w:val="bottom"/>
          </w:tcPr>
          <w:p w14:paraId="76A6F5CE" w14:textId="2630654E"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277</w:t>
            </w:r>
          </w:p>
        </w:tc>
        <w:tc>
          <w:tcPr>
            <w:tcW w:w="1503" w:type="dxa"/>
            <w:noWrap/>
            <w:vAlign w:val="bottom"/>
          </w:tcPr>
          <w:p w14:paraId="7E30D9BE" w14:textId="29AB1A82"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76</w:t>
            </w:r>
          </w:p>
        </w:tc>
        <w:tc>
          <w:tcPr>
            <w:tcW w:w="1503" w:type="dxa"/>
            <w:noWrap/>
            <w:vAlign w:val="bottom"/>
          </w:tcPr>
          <w:p w14:paraId="331E3C3E" w14:textId="2424B768"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78%</w:t>
            </w:r>
          </w:p>
        </w:tc>
      </w:tr>
      <w:tr w:rsidR="00231CE2" w:rsidRPr="00582EBC" w14:paraId="6C3F710C" w14:textId="77777777" w:rsidTr="00231CE2">
        <w:trPr>
          <w:trHeight w:val="300"/>
        </w:trPr>
        <w:tc>
          <w:tcPr>
            <w:cnfStyle w:val="001000000000" w:firstRow="0" w:lastRow="0" w:firstColumn="1" w:lastColumn="0" w:oddVBand="0" w:evenVBand="0" w:oddHBand="0" w:evenHBand="0" w:firstRowFirstColumn="0" w:firstRowLastColumn="0" w:lastRowFirstColumn="0" w:lastRowLastColumn="0"/>
            <w:tcW w:w="3741" w:type="dxa"/>
            <w:noWrap/>
            <w:vAlign w:val="bottom"/>
            <w:hideMark/>
          </w:tcPr>
          <w:p w14:paraId="75A66485" w14:textId="30DEF313" w:rsidR="00231CE2" w:rsidRPr="00231CE2" w:rsidRDefault="00231CE2" w:rsidP="00231CE2">
            <w:pPr>
              <w:rPr>
                <w:rFonts w:asciiTheme="minorHAnsi" w:eastAsia="Times New Roman" w:hAnsiTheme="minorHAnsi" w:cstheme="minorHAnsi"/>
                <w:color w:val="auto"/>
                <w:szCs w:val="24"/>
                <w:lang w:eastAsia="en-AU"/>
              </w:rPr>
            </w:pPr>
            <w:r w:rsidRPr="00231CE2">
              <w:rPr>
                <w:color w:val="auto"/>
              </w:rPr>
              <w:t>Office - paper</w:t>
            </w:r>
          </w:p>
        </w:tc>
        <w:tc>
          <w:tcPr>
            <w:tcW w:w="1502" w:type="dxa"/>
            <w:noWrap/>
            <w:vAlign w:val="bottom"/>
          </w:tcPr>
          <w:p w14:paraId="0B6B4BF7" w14:textId="741FEC8D"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190</w:t>
            </w:r>
          </w:p>
        </w:tc>
        <w:tc>
          <w:tcPr>
            <w:tcW w:w="1503" w:type="dxa"/>
            <w:noWrap/>
            <w:vAlign w:val="bottom"/>
          </w:tcPr>
          <w:p w14:paraId="2E4DE9C5" w14:textId="07C2D676"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186</w:t>
            </w:r>
          </w:p>
        </w:tc>
        <w:tc>
          <w:tcPr>
            <w:tcW w:w="1503" w:type="dxa"/>
            <w:noWrap/>
            <w:vAlign w:val="bottom"/>
          </w:tcPr>
          <w:p w14:paraId="7E0DF664" w14:textId="58AA1C72"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4</w:t>
            </w:r>
          </w:p>
        </w:tc>
        <w:tc>
          <w:tcPr>
            <w:tcW w:w="1503" w:type="dxa"/>
            <w:noWrap/>
            <w:vAlign w:val="bottom"/>
          </w:tcPr>
          <w:p w14:paraId="78B253A2" w14:textId="1112285E"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98%</w:t>
            </w:r>
          </w:p>
        </w:tc>
      </w:tr>
      <w:tr w:rsidR="00231CE2" w:rsidRPr="00582EBC" w14:paraId="26FB4811" w14:textId="77777777" w:rsidTr="00231CE2">
        <w:trPr>
          <w:trHeight w:val="300"/>
        </w:trPr>
        <w:tc>
          <w:tcPr>
            <w:cnfStyle w:val="001000000000" w:firstRow="0" w:lastRow="0" w:firstColumn="1" w:lastColumn="0" w:oddVBand="0" w:evenVBand="0" w:oddHBand="0" w:evenHBand="0" w:firstRowFirstColumn="0" w:firstRowLastColumn="0" w:lastRowFirstColumn="0" w:lastRowLastColumn="0"/>
            <w:tcW w:w="3741" w:type="dxa"/>
            <w:noWrap/>
            <w:vAlign w:val="bottom"/>
            <w:hideMark/>
          </w:tcPr>
          <w:p w14:paraId="58E0DBA9" w14:textId="17CC52C7" w:rsidR="00231CE2" w:rsidRPr="00231CE2" w:rsidRDefault="00231CE2" w:rsidP="00231CE2">
            <w:pPr>
              <w:rPr>
                <w:rFonts w:asciiTheme="minorHAnsi" w:eastAsia="Times New Roman" w:hAnsiTheme="minorHAnsi" w:cstheme="minorHAnsi"/>
                <w:color w:val="auto"/>
                <w:szCs w:val="24"/>
                <w:lang w:eastAsia="en-AU"/>
              </w:rPr>
            </w:pPr>
            <w:r w:rsidRPr="00231CE2">
              <w:rPr>
                <w:color w:val="auto"/>
              </w:rPr>
              <w:t>Tyres and rubber</w:t>
            </w:r>
          </w:p>
        </w:tc>
        <w:tc>
          <w:tcPr>
            <w:tcW w:w="1502" w:type="dxa"/>
            <w:noWrap/>
            <w:vAlign w:val="bottom"/>
          </w:tcPr>
          <w:p w14:paraId="4557B770" w14:textId="14905F5C"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140</w:t>
            </w:r>
          </w:p>
        </w:tc>
        <w:tc>
          <w:tcPr>
            <w:tcW w:w="1503" w:type="dxa"/>
            <w:noWrap/>
            <w:vAlign w:val="bottom"/>
          </w:tcPr>
          <w:p w14:paraId="512523BF" w14:textId="01A6FAD8"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85</w:t>
            </w:r>
          </w:p>
        </w:tc>
        <w:tc>
          <w:tcPr>
            <w:tcW w:w="1503" w:type="dxa"/>
            <w:noWrap/>
            <w:vAlign w:val="bottom"/>
          </w:tcPr>
          <w:p w14:paraId="18D92AFC" w14:textId="7DF1E4F4"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54</w:t>
            </w:r>
          </w:p>
        </w:tc>
        <w:tc>
          <w:tcPr>
            <w:tcW w:w="1503" w:type="dxa"/>
            <w:noWrap/>
            <w:vAlign w:val="bottom"/>
          </w:tcPr>
          <w:p w14:paraId="5E52BBCB" w14:textId="43E95AD7"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61%</w:t>
            </w:r>
          </w:p>
        </w:tc>
      </w:tr>
      <w:tr w:rsidR="00231CE2" w:rsidRPr="00582EBC" w14:paraId="7016330D" w14:textId="77777777" w:rsidTr="00231CE2">
        <w:trPr>
          <w:trHeight w:val="300"/>
        </w:trPr>
        <w:tc>
          <w:tcPr>
            <w:cnfStyle w:val="001000000000" w:firstRow="0" w:lastRow="0" w:firstColumn="1" w:lastColumn="0" w:oddVBand="0" w:evenVBand="0" w:oddHBand="0" w:evenHBand="0" w:firstRowFirstColumn="0" w:firstRowLastColumn="0" w:lastRowFirstColumn="0" w:lastRowLastColumn="0"/>
            <w:tcW w:w="3741" w:type="dxa"/>
            <w:noWrap/>
            <w:vAlign w:val="bottom"/>
            <w:hideMark/>
          </w:tcPr>
          <w:p w14:paraId="11088E8B" w14:textId="6CB41615" w:rsidR="00231CE2" w:rsidRPr="00231CE2" w:rsidRDefault="00231CE2" w:rsidP="00231CE2">
            <w:pPr>
              <w:rPr>
                <w:rFonts w:asciiTheme="minorHAnsi" w:eastAsia="Times New Roman" w:hAnsiTheme="minorHAnsi" w:cstheme="minorHAnsi"/>
                <w:color w:val="auto"/>
                <w:szCs w:val="24"/>
                <w:lang w:eastAsia="en-AU"/>
              </w:rPr>
            </w:pPr>
            <w:r w:rsidRPr="00231CE2">
              <w:rPr>
                <w:color w:val="auto"/>
              </w:rPr>
              <w:t>General refuse</w:t>
            </w:r>
          </w:p>
        </w:tc>
        <w:tc>
          <w:tcPr>
            <w:tcW w:w="1502" w:type="dxa"/>
            <w:noWrap/>
            <w:vAlign w:val="bottom"/>
          </w:tcPr>
          <w:p w14:paraId="10512039" w14:textId="53C008DB"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5057</w:t>
            </w:r>
          </w:p>
        </w:tc>
        <w:tc>
          <w:tcPr>
            <w:tcW w:w="1503" w:type="dxa"/>
            <w:noWrap/>
            <w:vAlign w:val="bottom"/>
          </w:tcPr>
          <w:p w14:paraId="134DE741" w14:textId="0920A2B0"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31</w:t>
            </w:r>
          </w:p>
        </w:tc>
        <w:tc>
          <w:tcPr>
            <w:tcW w:w="1503" w:type="dxa"/>
            <w:noWrap/>
            <w:vAlign w:val="bottom"/>
          </w:tcPr>
          <w:p w14:paraId="2EAD5319" w14:textId="440DE758"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5026</w:t>
            </w:r>
          </w:p>
        </w:tc>
        <w:tc>
          <w:tcPr>
            <w:tcW w:w="1503" w:type="dxa"/>
            <w:noWrap/>
            <w:vAlign w:val="bottom"/>
          </w:tcPr>
          <w:p w14:paraId="4A59BF8C" w14:textId="6470F7A7"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1%</w:t>
            </w:r>
          </w:p>
        </w:tc>
      </w:tr>
      <w:tr w:rsidR="00231CE2" w:rsidRPr="00582EBC" w14:paraId="70385F26" w14:textId="77777777" w:rsidTr="00231CE2">
        <w:trPr>
          <w:trHeight w:val="300"/>
        </w:trPr>
        <w:tc>
          <w:tcPr>
            <w:cnfStyle w:val="001000000000" w:firstRow="0" w:lastRow="0" w:firstColumn="1" w:lastColumn="0" w:oddVBand="0" w:evenVBand="0" w:oddHBand="0" w:evenHBand="0" w:firstRowFirstColumn="0" w:firstRowLastColumn="0" w:lastRowFirstColumn="0" w:lastRowLastColumn="0"/>
            <w:tcW w:w="3741" w:type="dxa"/>
            <w:noWrap/>
            <w:vAlign w:val="bottom"/>
            <w:hideMark/>
          </w:tcPr>
          <w:p w14:paraId="1EB167B8" w14:textId="27264E40" w:rsidR="00231CE2" w:rsidRPr="00231CE2" w:rsidRDefault="00231CE2" w:rsidP="00231CE2">
            <w:pPr>
              <w:rPr>
                <w:rFonts w:asciiTheme="minorHAnsi" w:eastAsia="Times New Roman" w:hAnsiTheme="minorHAnsi" w:cstheme="minorHAnsi"/>
                <w:color w:val="auto"/>
                <w:szCs w:val="24"/>
                <w:lang w:eastAsia="en-AU"/>
              </w:rPr>
            </w:pPr>
            <w:r w:rsidRPr="00231CE2">
              <w:rPr>
                <w:color w:val="auto"/>
              </w:rPr>
              <w:t xml:space="preserve">Office - general and </w:t>
            </w:r>
            <w:proofErr w:type="spellStart"/>
            <w:r w:rsidRPr="00231CE2">
              <w:rPr>
                <w:color w:val="auto"/>
              </w:rPr>
              <w:t>foodwaste</w:t>
            </w:r>
            <w:proofErr w:type="spellEnd"/>
          </w:p>
        </w:tc>
        <w:tc>
          <w:tcPr>
            <w:tcW w:w="1502" w:type="dxa"/>
            <w:noWrap/>
            <w:vAlign w:val="bottom"/>
          </w:tcPr>
          <w:p w14:paraId="16E4CA33" w14:textId="0394A35A"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1073</w:t>
            </w:r>
          </w:p>
        </w:tc>
        <w:tc>
          <w:tcPr>
            <w:tcW w:w="1503" w:type="dxa"/>
            <w:noWrap/>
            <w:vAlign w:val="bottom"/>
          </w:tcPr>
          <w:p w14:paraId="622DBD86" w14:textId="784B6CB6"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17</w:t>
            </w:r>
          </w:p>
        </w:tc>
        <w:tc>
          <w:tcPr>
            <w:tcW w:w="1503" w:type="dxa"/>
            <w:noWrap/>
            <w:vAlign w:val="bottom"/>
          </w:tcPr>
          <w:p w14:paraId="0FCCA3F6" w14:textId="00968B17"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1055</w:t>
            </w:r>
          </w:p>
        </w:tc>
        <w:tc>
          <w:tcPr>
            <w:tcW w:w="1503" w:type="dxa"/>
            <w:noWrap/>
            <w:vAlign w:val="bottom"/>
          </w:tcPr>
          <w:p w14:paraId="38BAC585" w14:textId="2A62A655"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2%</w:t>
            </w:r>
          </w:p>
        </w:tc>
      </w:tr>
      <w:tr w:rsidR="00231CE2" w:rsidRPr="00582EBC" w14:paraId="1F4CD81F" w14:textId="77777777" w:rsidTr="00231CE2">
        <w:trPr>
          <w:trHeight w:val="300"/>
        </w:trPr>
        <w:tc>
          <w:tcPr>
            <w:cnfStyle w:val="001000000000" w:firstRow="0" w:lastRow="0" w:firstColumn="1" w:lastColumn="0" w:oddVBand="0" w:evenVBand="0" w:oddHBand="0" w:evenHBand="0" w:firstRowFirstColumn="0" w:firstRowLastColumn="0" w:lastRowFirstColumn="0" w:lastRowLastColumn="0"/>
            <w:tcW w:w="3741" w:type="dxa"/>
            <w:noWrap/>
            <w:vAlign w:val="bottom"/>
            <w:hideMark/>
          </w:tcPr>
          <w:p w14:paraId="3DA71ADC" w14:textId="32648A6E" w:rsidR="00231CE2" w:rsidRPr="00231CE2" w:rsidRDefault="00231CE2" w:rsidP="00231CE2">
            <w:pPr>
              <w:rPr>
                <w:rFonts w:asciiTheme="minorHAnsi" w:eastAsia="Times New Roman" w:hAnsiTheme="minorHAnsi" w:cstheme="minorHAnsi"/>
                <w:color w:val="auto"/>
                <w:szCs w:val="24"/>
                <w:lang w:eastAsia="en-AU"/>
              </w:rPr>
            </w:pPr>
            <w:r w:rsidRPr="00231CE2">
              <w:rPr>
                <w:color w:val="auto"/>
              </w:rPr>
              <w:t>Regulated waste cat 1</w:t>
            </w:r>
          </w:p>
        </w:tc>
        <w:tc>
          <w:tcPr>
            <w:tcW w:w="1502" w:type="dxa"/>
            <w:noWrap/>
            <w:vAlign w:val="bottom"/>
          </w:tcPr>
          <w:p w14:paraId="4EBE2CAF" w14:textId="561F5BF7"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162</w:t>
            </w:r>
          </w:p>
        </w:tc>
        <w:tc>
          <w:tcPr>
            <w:tcW w:w="1503" w:type="dxa"/>
            <w:noWrap/>
            <w:vAlign w:val="bottom"/>
          </w:tcPr>
          <w:p w14:paraId="70C50957" w14:textId="0C17E531"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1</w:t>
            </w:r>
          </w:p>
        </w:tc>
        <w:tc>
          <w:tcPr>
            <w:tcW w:w="1503" w:type="dxa"/>
            <w:noWrap/>
            <w:vAlign w:val="bottom"/>
          </w:tcPr>
          <w:p w14:paraId="520451A7" w14:textId="0BC04B7E"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161</w:t>
            </w:r>
          </w:p>
        </w:tc>
        <w:tc>
          <w:tcPr>
            <w:tcW w:w="1503" w:type="dxa"/>
            <w:noWrap/>
            <w:vAlign w:val="bottom"/>
          </w:tcPr>
          <w:p w14:paraId="0ABD6809" w14:textId="6B1CC736"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1%</w:t>
            </w:r>
          </w:p>
        </w:tc>
      </w:tr>
      <w:tr w:rsidR="00231CE2" w:rsidRPr="00582EBC" w14:paraId="73562FBD" w14:textId="77777777" w:rsidTr="00231CE2">
        <w:trPr>
          <w:trHeight w:val="300"/>
        </w:trPr>
        <w:tc>
          <w:tcPr>
            <w:cnfStyle w:val="001000000000" w:firstRow="0" w:lastRow="0" w:firstColumn="1" w:lastColumn="0" w:oddVBand="0" w:evenVBand="0" w:oddHBand="0" w:evenHBand="0" w:firstRowFirstColumn="0" w:firstRowLastColumn="0" w:lastRowFirstColumn="0" w:lastRowLastColumn="0"/>
            <w:tcW w:w="3741" w:type="dxa"/>
            <w:noWrap/>
            <w:vAlign w:val="bottom"/>
            <w:hideMark/>
          </w:tcPr>
          <w:p w14:paraId="620BCF3D" w14:textId="600E7A26" w:rsidR="00231CE2" w:rsidRPr="00231CE2" w:rsidRDefault="00231CE2" w:rsidP="00231CE2">
            <w:pPr>
              <w:rPr>
                <w:rFonts w:asciiTheme="minorHAnsi" w:eastAsia="Times New Roman" w:hAnsiTheme="minorHAnsi" w:cstheme="minorHAnsi"/>
                <w:color w:val="auto"/>
                <w:szCs w:val="24"/>
                <w:lang w:eastAsia="en-AU"/>
              </w:rPr>
            </w:pPr>
            <w:r w:rsidRPr="00231CE2">
              <w:rPr>
                <w:color w:val="auto"/>
              </w:rPr>
              <w:t>Illegally dumped refuse</w:t>
            </w:r>
          </w:p>
        </w:tc>
        <w:tc>
          <w:tcPr>
            <w:tcW w:w="1502" w:type="dxa"/>
            <w:noWrap/>
            <w:vAlign w:val="bottom"/>
          </w:tcPr>
          <w:p w14:paraId="7A1A36EA" w14:textId="2670DD92"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5387</w:t>
            </w:r>
          </w:p>
        </w:tc>
        <w:tc>
          <w:tcPr>
            <w:tcW w:w="1503" w:type="dxa"/>
            <w:noWrap/>
            <w:vAlign w:val="bottom"/>
          </w:tcPr>
          <w:p w14:paraId="5AB9B474" w14:textId="52F0F4BE"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0</w:t>
            </w:r>
          </w:p>
        </w:tc>
        <w:tc>
          <w:tcPr>
            <w:tcW w:w="1503" w:type="dxa"/>
            <w:noWrap/>
            <w:vAlign w:val="bottom"/>
          </w:tcPr>
          <w:p w14:paraId="214CB350" w14:textId="00E9FA8A"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5387</w:t>
            </w:r>
          </w:p>
        </w:tc>
        <w:tc>
          <w:tcPr>
            <w:tcW w:w="1503" w:type="dxa"/>
            <w:noWrap/>
            <w:vAlign w:val="bottom"/>
          </w:tcPr>
          <w:p w14:paraId="1687D07E" w14:textId="2B3D279F" w:rsidR="00231CE2" w:rsidRPr="00231CE2" w:rsidRDefault="00231CE2" w:rsidP="00231CE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4"/>
                <w:lang w:eastAsia="en-AU"/>
              </w:rPr>
            </w:pPr>
            <w:r w:rsidRPr="00231CE2">
              <w:rPr>
                <w:color w:val="auto"/>
              </w:rPr>
              <w:t>0%</w:t>
            </w:r>
          </w:p>
        </w:tc>
      </w:tr>
    </w:tbl>
    <w:p w14:paraId="4C7247D1" w14:textId="77777777" w:rsidR="00582EBC" w:rsidRDefault="00582EBC" w:rsidP="00582EBC">
      <w:pPr>
        <w:pStyle w:val="NoSpacing"/>
        <w:jc w:val="center"/>
      </w:pPr>
    </w:p>
    <w:p w14:paraId="66701D54" w14:textId="5A6C136D" w:rsidR="00A20260" w:rsidRDefault="00582EBC" w:rsidP="00582EBC">
      <w:pPr>
        <w:pStyle w:val="FigureCaption"/>
      </w:pPr>
      <w:bookmarkStart w:id="2" w:name="_Ref177996013"/>
      <w:r w:rsidRPr="007D542B">
        <w:t xml:space="preserve">Table </w:t>
      </w:r>
      <w:r w:rsidRPr="007D542B">
        <w:fldChar w:fldCharType="begin"/>
      </w:r>
      <w:r w:rsidRPr="007D542B">
        <w:instrText xml:space="preserve"> SEQ Table \* ARABIC </w:instrText>
      </w:r>
      <w:r w:rsidRPr="007D542B">
        <w:fldChar w:fldCharType="separate"/>
      </w:r>
      <w:r w:rsidR="00A87C6F">
        <w:rPr>
          <w:noProof/>
        </w:rPr>
        <w:t>1</w:t>
      </w:r>
      <w:r w:rsidRPr="007D542B">
        <w:fldChar w:fldCharType="end"/>
      </w:r>
      <w:bookmarkEnd w:id="2"/>
      <w:r w:rsidRPr="007D542B">
        <w:t>: Annual TMR Waste Data Summary 202</w:t>
      </w:r>
      <w:r w:rsidR="00231CE2">
        <w:t>4</w:t>
      </w:r>
      <w:r w:rsidRPr="007D542B">
        <w:t>–202</w:t>
      </w:r>
      <w:r w:rsidR="00231CE2">
        <w:t>5</w:t>
      </w:r>
      <w:r w:rsidRPr="007D542B">
        <w:t xml:space="preserve"> in tonnes.</w:t>
      </w:r>
      <w:r w:rsidR="00A20260">
        <w:br w:type="page"/>
      </w:r>
    </w:p>
    <w:p w14:paraId="38048F48" w14:textId="1D4A7158" w:rsidR="00A20260" w:rsidRDefault="002107F2" w:rsidP="00A20260">
      <w:pPr>
        <w:pStyle w:val="Heading1"/>
        <w:pageBreakBefore/>
      </w:pPr>
      <w:bookmarkStart w:id="3" w:name="_Toc207978342"/>
      <w:r>
        <w:lastRenderedPageBreak/>
        <w:t>I</w:t>
      </w:r>
      <w:r w:rsidR="00A20260">
        <w:t>ntroduction</w:t>
      </w:r>
      <w:bookmarkEnd w:id="3"/>
    </w:p>
    <w:p w14:paraId="21F98713" w14:textId="77777777" w:rsidR="00A20260" w:rsidRPr="00973ED8" w:rsidRDefault="00A20260" w:rsidP="00A20260">
      <w:pPr>
        <w:rPr>
          <w:szCs w:val="24"/>
        </w:rPr>
      </w:pPr>
      <w:r w:rsidRPr="00973ED8">
        <w:rPr>
          <w:szCs w:val="24"/>
        </w:rPr>
        <w:t>TMR is a large, complex, diverse, and decentralised organisation, responsible for the management of different modes of transport including motor vehicle, rail, bus, bike, pedestrian, personal mobility devices and boating. TMR operations include the construction and maintenance of linear transport infrastructure, transport and office facilities, public rest areas, and customer service centres all of which generate a wide variety of waste streams due to the diversity and scale of operations.</w:t>
      </w:r>
    </w:p>
    <w:p w14:paraId="7CBFB1D3" w14:textId="4D3B6B12" w:rsidR="00A20260" w:rsidRPr="00973ED8" w:rsidRDefault="00A20260" w:rsidP="00A20260">
      <w:pPr>
        <w:rPr>
          <w:szCs w:val="24"/>
        </w:rPr>
      </w:pPr>
      <w:r w:rsidRPr="00973ED8">
        <w:rPr>
          <w:szCs w:val="24"/>
        </w:rPr>
        <w:t xml:space="preserve">The Queensland Government has a vision to become a zero-waste organisation, where waste is avoided, reused, and recycled to the greatest extent possible. </w:t>
      </w:r>
      <w:hyperlink r:id="rId19" w:history="1">
        <w:r w:rsidRPr="00973ED8">
          <w:rPr>
            <w:rStyle w:val="Hyperlink"/>
            <w:i/>
            <w:iCs/>
            <w:szCs w:val="24"/>
          </w:rPr>
          <w:t>The 2020 Waste Management and Resource Recovery Strategy</w:t>
        </w:r>
      </w:hyperlink>
      <w:r w:rsidRPr="00973ED8">
        <w:rPr>
          <w:szCs w:val="24"/>
        </w:rPr>
        <w:t xml:space="preserve"> (WMRRS) released by the Department of Environment and Science identifies strategic targets that support this vision.</w:t>
      </w:r>
    </w:p>
    <w:p w14:paraId="6115E842" w14:textId="15857609" w:rsidR="00A20260" w:rsidRPr="00973ED8" w:rsidRDefault="00A20260" w:rsidP="00A20260">
      <w:pPr>
        <w:rPr>
          <w:szCs w:val="24"/>
        </w:rPr>
      </w:pPr>
      <w:r w:rsidRPr="00973ED8">
        <w:rPr>
          <w:szCs w:val="24"/>
        </w:rPr>
        <w:t xml:space="preserve">Queensland’s </w:t>
      </w:r>
      <w:hyperlink r:id="rId20" w:history="1">
        <w:r w:rsidRPr="00E277B6">
          <w:rPr>
            <w:rStyle w:val="Hyperlink"/>
            <w:i/>
            <w:iCs/>
            <w:szCs w:val="24"/>
          </w:rPr>
          <w:t>Waste Reduction and Recycling Act 2011</w:t>
        </w:r>
      </w:hyperlink>
      <w:r w:rsidRPr="00973ED8">
        <w:rPr>
          <w:szCs w:val="24"/>
        </w:rPr>
        <w:t xml:space="preserve"> also imposes a requirement on each Queensland Government department to develop a </w:t>
      </w:r>
      <w:r w:rsidRPr="00973ED8">
        <w:rPr>
          <w:i/>
          <w:iCs/>
          <w:szCs w:val="24"/>
        </w:rPr>
        <w:t>Waste Reduction and Recycling Plan</w:t>
      </w:r>
      <w:r w:rsidRPr="00973ED8">
        <w:rPr>
          <w:szCs w:val="24"/>
        </w:rPr>
        <w:t xml:space="preserve"> and to report on waste management achievements.</w:t>
      </w:r>
    </w:p>
    <w:p w14:paraId="207C0884" w14:textId="77777777" w:rsidR="00A20260" w:rsidRDefault="00A20260" w:rsidP="00A20260">
      <w:pPr>
        <w:pStyle w:val="Heading2"/>
      </w:pPr>
      <w:bookmarkStart w:id="4" w:name="_Toc145588818"/>
      <w:bookmarkStart w:id="5" w:name="_Toc145592666"/>
      <w:bookmarkStart w:id="6" w:name="_Toc179466372"/>
      <w:bookmarkStart w:id="7" w:name="_Toc207978343"/>
      <w:r>
        <w:t>Targets</w:t>
      </w:r>
      <w:bookmarkEnd w:id="4"/>
      <w:bookmarkEnd w:id="5"/>
      <w:bookmarkEnd w:id="6"/>
      <w:bookmarkEnd w:id="7"/>
    </w:p>
    <w:p w14:paraId="515F6FF1" w14:textId="7A75DFF4" w:rsidR="00A20260" w:rsidRPr="00973ED8" w:rsidRDefault="281C88C9" w:rsidP="00A20260">
      <w:pPr>
        <w:rPr>
          <w:szCs w:val="24"/>
        </w:rPr>
      </w:pPr>
      <w:r w:rsidRPr="00973ED8">
        <w:rPr>
          <w:szCs w:val="24"/>
        </w:rPr>
        <w:t>The WMRRS identifies four main destinations for waste: landfill, recycling, reuse, and energy recovery. Waste diversion is a measure of waste that is not sent to landfill and includes waste that is sent for recycling, reused, or is used for energy recovery. As TMR does not direct any waste to energy recovery, waste diversion in this report only includes materials that are recycled or reused.</w:t>
      </w:r>
    </w:p>
    <w:p w14:paraId="55564F09" w14:textId="77777777" w:rsidR="00A20260" w:rsidRPr="00973ED8" w:rsidRDefault="00A20260" w:rsidP="00A20260">
      <w:pPr>
        <w:rPr>
          <w:szCs w:val="24"/>
        </w:rPr>
      </w:pPr>
      <w:r w:rsidRPr="00973ED8">
        <w:rPr>
          <w:szCs w:val="24"/>
        </w:rPr>
        <w:t>The WMRRS identifies waste diversion and recycling rate targets. Recycling rate targets are based on materials that are recycled or reused. For TMR, waste diversion and recycling rate targets measure the same thing as waste can only be diverted from landfill by either recycling or reusing it. As most waste in TMR is generated from construction and demolition activities, TMR has adopted the waste diversion targets for construction and demolition as described in the WMRRS.</w:t>
      </w:r>
    </w:p>
    <w:p w14:paraId="6B22E7FB" w14:textId="5A8159E7" w:rsidR="00A20260" w:rsidRDefault="00A20260" w:rsidP="00A20260">
      <w:pPr>
        <w:pStyle w:val="NoSpacing"/>
        <w:jc w:val="center"/>
        <w:rPr>
          <w:sz w:val="24"/>
          <w:szCs w:val="24"/>
        </w:rPr>
      </w:pPr>
    </w:p>
    <w:p w14:paraId="41C970BE" w14:textId="1C373F31" w:rsidR="004C4CB3" w:rsidRPr="005115D8" w:rsidRDefault="00A6578A" w:rsidP="00A20260">
      <w:pPr>
        <w:pStyle w:val="NoSpacing"/>
        <w:jc w:val="center"/>
        <w:rPr>
          <w:sz w:val="24"/>
          <w:szCs w:val="24"/>
        </w:rPr>
      </w:pPr>
      <w:r>
        <w:rPr>
          <w:noProof/>
          <w:sz w:val="24"/>
          <w:szCs w:val="24"/>
        </w:rPr>
        <w:lastRenderedPageBreak/>
        <w:drawing>
          <wp:inline distT="0" distB="0" distL="0" distR="0" wp14:anchorId="0E800296" wp14:editId="20FF48D6">
            <wp:extent cx="5486400" cy="3200400"/>
            <wp:effectExtent l="0" t="0" r="0" b="0"/>
            <wp:docPr id="681100612" name="Chart 9" descr="The diversion target was 51% in 2017-18 and is increasing each year to 75% in 2024-25. The next major target is 85% in 2029-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BFC82EF" w14:textId="04354811" w:rsidR="002107F2" w:rsidRDefault="00A20260" w:rsidP="00A20260">
      <w:pPr>
        <w:pStyle w:val="FigureCaption"/>
      </w:pPr>
      <w:r>
        <w:t xml:space="preserve">Figure </w:t>
      </w:r>
      <w:r>
        <w:fldChar w:fldCharType="begin"/>
      </w:r>
      <w:r>
        <w:instrText xml:space="preserve"> SEQ Figure \* ARABIC </w:instrText>
      </w:r>
      <w:r>
        <w:fldChar w:fldCharType="separate"/>
      </w:r>
      <w:r w:rsidR="00E773B5">
        <w:rPr>
          <w:noProof/>
        </w:rPr>
        <w:t>2</w:t>
      </w:r>
      <w:r>
        <w:rPr>
          <w:noProof/>
        </w:rPr>
        <w:fldChar w:fldCharType="end"/>
      </w:r>
      <w:r w:rsidRPr="00A653A9">
        <w:t>: TMR diversion target (WMRRS).</w:t>
      </w:r>
      <w:r w:rsidR="002107F2">
        <w:br w:type="page"/>
      </w:r>
    </w:p>
    <w:p w14:paraId="77D882A1" w14:textId="77777777" w:rsidR="002107F2" w:rsidRPr="002107F2" w:rsidRDefault="002107F2" w:rsidP="002107F2">
      <w:pPr>
        <w:pStyle w:val="Heading1"/>
      </w:pPr>
      <w:bookmarkStart w:id="8" w:name="_Toc145592667"/>
      <w:bookmarkStart w:id="9" w:name="_Toc179466373"/>
      <w:bookmarkStart w:id="10" w:name="_Toc207978344"/>
      <w:r w:rsidRPr="002107F2">
        <w:lastRenderedPageBreak/>
        <w:t>Waste reporting</w:t>
      </w:r>
      <w:bookmarkEnd w:id="8"/>
      <w:bookmarkEnd w:id="9"/>
      <w:bookmarkEnd w:id="10"/>
    </w:p>
    <w:p w14:paraId="3310A945" w14:textId="07A733A8" w:rsidR="002107F2" w:rsidRDefault="002107F2" w:rsidP="009D7C67">
      <w:r>
        <w:t>The following are highlights of the waste data from TMR for 202</w:t>
      </w:r>
      <w:r w:rsidR="009D7C67">
        <w:t>4</w:t>
      </w:r>
      <w:r>
        <w:t>–</w:t>
      </w:r>
      <w:r w:rsidR="009D7C67">
        <w:t>25</w:t>
      </w:r>
      <w:r>
        <w:t xml:space="preserve">. </w:t>
      </w:r>
      <w:r w:rsidRPr="008C2E64">
        <w:t xml:space="preserve">There was a slight </w:t>
      </w:r>
      <w:r w:rsidR="008C2E64" w:rsidRPr="008C2E64">
        <w:t>increase</w:t>
      </w:r>
      <w:r w:rsidRPr="008C2E64">
        <w:t xml:space="preserve"> in the total waste generated compared to last year (approximately 100 thousand tonnes)</w:t>
      </w:r>
      <w:r w:rsidRPr="00CC0C3B">
        <w:t xml:space="preserve">. </w:t>
      </w:r>
      <w:r w:rsidR="00A1097A">
        <w:t>However, t</w:t>
      </w:r>
      <w:r w:rsidRPr="00CC0C3B">
        <w:t xml:space="preserve">here was also a </w:t>
      </w:r>
      <w:r w:rsidR="008C2E64" w:rsidRPr="00CC0C3B">
        <w:t>de</w:t>
      </w:r>
      <w:r w:rsidRPr="00CC0C3B">
        <w:t>crease in the diversion rate to 8</w:t>
      </w:r>
      <w:r w:rsidR="008C2E64" w:rsidRPr="00CC0C3B">
        <w:t>0</w:t>
      </w:r>
      <w:r w:rsidRPr="00CC0C3B">
        <w:t xml:space="preserve"> per cent in 202</w:t>
      </w:r>
      <w:r w:rsidR="00CC0C3B" w:rsidRPr="00CC0C3B">
        <w:t>4</w:t>
      </w:r>
      <w:r w:rsidRPr="00CC0C3B">
        <w:t>-202</w:t>
      </w:r>
      <w:r w:rsidR="00CC0C3B" w:rsidRPr="00CC0C3B">
        <w:t>5</w:t>
      </w:r>
      <w:r w:rsidRPr="00CC0C3B">
        <w:t>, from 8</w:t>
      </w:r>
      <w:r w:rsidR="00CC0C3B" w:rsidRPr="00CC0C3B">
        <w:t>7</w:t>
      </w:r>
      <w:r w:rsidRPr="00CC0C3B">
        <w:t xml:space="preserve"> per cent in 202</w:t>
      </w:r>
      <w:r w:rsidR="00CC0C3B" w:rsidRPr="00CC0C3B">
        <w:t>3</w:t>
      </w:r>
      <w:r w:rsidRPr="00CC0C3B">
        <w:t>-202</w:t>
      </w:r>
      <w:r w:rsidR="00CC0C3B" w:rsidRPr="00CC0C3B">
        <w:t>4</w:t>
      </w:r>
      <w:r w:rsidRPr="00CC0C3B">
        <w:t>.</w:t>
      </w:r>
    </w:p>
    <w:p w14:paraId="213A7F21" w14:textId="5D049A59" w:rsidR="002107F2" w:rsidRDefault="002107F2" w:rsidP="009D7C67">
      <w:r>
        <w:t xml:space="preserve">The illegally dumped refuse waste stream encapsulates the roadside litter and War on Wrecks (WOW) program. The WOW program is the collection of derelict and illegally dumped vessels from Queensland waterways. Roadside litter includes </w:t>
      </w:r>
      <w:r w:rsidRPr="00CC0C3B">
        <w:t xml:space="preserve">rubbish from rest stops and rubbish that is left on TMR land and construction sites. The amount of illegal waste and roadside litter </w:t>
      </w:r>
      <w:r w:rsidR="00CC0C3B" w:rsidRPr="00CC0C3B">
        <w:t>collected in 2024-2025 is the same as last year</w:t>
      </w:r>
      <w:r w:rsidRPr="00CC0C3B">
        <w:t xml:space="preserve"> and WOW has </w:t>
      </w:r>
      <w:r w:rsidR="00CC0C3B" w:rsidRPr="00CC0C3B">
        <w:t>increased</w:t>
      </w:r>
      <w:r w:rsidRPr="00CC0C3B">
        <w:t xml:space="preserve"> from previous years.</w:t>
      </w:r>
      <w:r w:rsidR="00CC0C3B" w:rsidRPr="00CC0C3B">
        <w:t xml:space="preserve"> This has resulted in a marked increase in the litter and illegal dumping recorded in 2024-2025.</w:t>
      </w:r>
    </w:p>
    <w:p w14:paraId="5E0E2745" w14:textId="5C2BDE44" w:rsidR="008113E9" w:rsidRDefault="002107F2" w:rsidP="009D7C67">
      <w:r>
        <w:t>As TMR's work is civil, most waste is generated by the removal and construction of transport infrastructure.</w:t>
      </w:r>
    </w:p>
    <w:p w14:paraId="6FC5F6DE" w14:textId="25E769CB" w:rsidR="009D7C67" w:rsidRDefault="006F4291" w:rsidP="009D7C67">
      <w:r>
        <w:rPr>
          <w:noProof/>
        </w:rPr>
        <w:drawing>
          <wp:inline distT="0" distB="0" distL="0" distR="0" wp14:anchorId="39D24B1E" wp14:editId="15C34D2F">
            <wp:extent cx="5486400" cy="3200400"/>
            <wp:effectExtent l="0" t="0" r="0" b="0"/>
            <wp:docPr id="1848931437" name="Chart 10" descr="The diversion rate has been trending downward but still remains above the target r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13BFC47" w14:textId="59C58932" w:rsidR="009D7C67" w:rsidRDefault="009D7C67" w:rsidP="009D7C67">
      <w:pPr>
        <w:pStyle w:val="Caption"/>
      </w:pPr>
      <w:r>
        <w:t xml:space="preserve">Figure </w:t>
      </w:r>
      <w:r>
        <w:fldChar w:fldCharType="begin"/>
      </w:r>
      <w:r>
        <w:instrText xml:space="preserve"> SEQ Figure \* ARABIC </w:instrText>
      </w:r>
      <w:r>
        <w:fldChar w:fldCharType="separate"/>
      </w:r>
      <w:r w:rsidR="00E773B5">
        <w:rPr>
          <w:noProof/>
        </w:rPr>
        <w:t>3</w:t>
      </w:r>
      <w:r>
        <w:fldChar w:fldCharType="end"/>
      </w:r>
      <w:r w:rsidRPr="005115D8">
        <w:t>: Performance against diversion target.</w:t>
      </w:r>
    </w:p>
    <w:p w14:paraId="1A67F1D2" w14:textId="75D1850D" w:rsidR="009D7C67" w:rsidRPr="009D7C67" w:rsidRDefault="00B306E2" w:rsidP="009D7C67">
      <w:pPr>
        <w:pStyle w:val="Caption"/>
        <w:rPr>
          <w:bCs w:val="0"/>
          <w:color w:val="2F2F2F" w:themeColor="text1" w:themeTint="E6"/>
          <w:sz w:val="24"/>
        </w:rPr>
      </w:pPr>
      <w:r>
        <w:rPr>
          <w:noProof/>
        </w:rPr>
        <w:lastRenderedPageBreak/>
        <w:drawing>
          <wp:inline distT="0" distB="0" distL="0" distR="0" wp14:anchorId="01EA3E16" wp14:editId="17BC2971">
            <wp:extent cx="5486400" cy="3200400"/>
            <wp:effectExtent l="0" t="0" r="0" b="0"/>
            <wp:docPr id="34345278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9CF64CB" w14:textId="08F02FC7" w:rsidR="009D7C67" w:rsidRDefault="00E773B5" w:rsidP="009D7C67">
      <w:pPr>
        <w:pStyle w:val="Caption"/>
      </w:pPr>
      <w:r>
        <w:t xml:space="preserve">Figure </w:t>
      </w:r>
      <w:r>
        <w:fldChar w:fldCharType="begin"/>
      </w:r>
      <w:r>
        <w:instrText xml:space="preserve"> SEQ Figure \* ARABIC </w:instrText>
      </w:r>
      <w:r>
        <w:fldChar w:fldCharType="separate"/>
      </w:r>
      <w:r>
        <w:rPr>
          <w:noProof/>
        </w:rPr>
        <w:t>4</w:t>
      </w:r>
      <w:r>
        <w:fldChar w:fldCharType="end"/>
      </w:r>
      <w:r w:rsidR="009D7C67" w:rsidRPr="009D7C67">
        <w:t>: Annual trends</w:t>
      </w:r>
    </w:p>
    <w:p w14:paraId="25C77B64" w14:textId="32265F38" w:rsidR="009D7C67" w:rsidRDefault="00DA4996" w:rsidP="009D7C67">
      <w:r>
        <w:rPr>
          <w:noProof/>
        </w:rPr>
        <w:drawing>
          <wp:inline distT="0" distB="0" distL="0" distR="0" wp14:anchorId="051FC801" wp14:editId="4C4C8D91">
            <wp:extent cx="5486400" cy="3200400"/>
            <wp:effectExtent l="0" t="0" r="0" b="0"/>
            <wp:docPr id="20811992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AE12122" w14:textId="75E88757" w:rsidR="009D7C67" w:rsidRDefault="009D7C67" w:rsidP="009D7C67">
      <w:pPr>
        <w:pStyle w:val="Caption"/>
      </w:pPr>
      <w:r>
        <w:t xml:space="preserve">Figure </w:t>
      </w:r>
      <w:r>
        <w:fldChar w:fldCharType="begin"/>
      </w:r>
      <w:r>
        <w:instrText xml:space="preserve"> SEQ Figure \* ARABIC </w:instrText>
      </w:r>
      <w:r>
        <w:fldChar w:fldCharType="separate"/>
      </w:r>
      <w:r w:rsidR="00E773B5">
        <w:rPr>
          <w:noProof/>
        </w:rPr>
        <w:t>5</w:t>
      </w:r>
      <w:r>
        <w:rPr>
          <w:noProof/>
        </w:rPr>
        <w:fldChar w:fldCharType="end"/>
      </w:r>
      <w:r w:rsidRPr="00A653A9">
        <w:t>: Litter and illegal dumping.</w:t>
      </w:r>
    </w:p>
    <w:p w14:paraId="458BAC08" w14:textId="6FBA3FE3" w:rsidR="009D7C67" w:rsidRDefault="00DA4996" w:rsidP="009D7C67">
      <w:r>
        <w:rPr>
          <w:noProof/>
        </w:rPr>
        <w:lastRenderedPageBreak/>
        <w:drawing>
          <wp:inline distT="0" distB="0" distL="0" distR="0" wp14:anchorId="5731C7BF" wp14:editId="3D308145">
            <wp:extent cx="5486400" cy="3200400"/>
            <wp:effectExtent l="0" t="0" r="0" b="0"/>
            <wp:docPr id="152951003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8318839" w14:textId="54975120" w:rsidR="009D7C67" w:rsidRPr="0040103F" w:rsidRDefault="009D7C67" w:rsidP="009D7C67">
      <w:pPr>
        <w:pStyle w:val="Caption"/>
      </w:pPr>
      <w:r>
        <w:t xml:space="preserve">Figure </w:t>
      </w:r>
      <w:r>
        <w:fldChar w:fldCharType="begin"/>
      </w:r>
      <w:r>
        <w:instrText xml:space="preserve"> SEQ Figure \* ARABIC </w:instrText>
      </w:r>
      <w:r>
        <w:fldChar w:fldCharType="separate"/>
      </w:r>
      <w:r w:rsidR="00E773B5">
        <w:rPr>
          <w:noProof/>
        </w:rPr>
        <w:t>6</w:t>
      </w:r>
      <w:r>
        <w:rPr>
          <w:noProof/>
        </w:rPr>
        <w:fldChar w:fldCharType="end"/>
      </w:r>
      <w:r w:rsidRPr="00A653A9">
        <w:t>: Top 5 waste streams generated</w:t>
      </w:r>
      <w:r>
        <w:t xml:space="preserve"> in 2024</w:t>
      </w:r>
      <w:r w:rsidRPr="00973ED8">
        <w:t>–</w:t>
      </w:r>
      <w:r>
        <w:t>2025</w:t>
      </w:r>
      <w:r w:rsidRPr="00A653A9">
        <w:t>.</w:t>
      </w:r>
    </w:p>
    <w:p w14:paraId="1FE92705" w14:textId="77777777" w:rsidR="009D7C67" w:rsidRDefault="009D7C67" w:rsidP="009D7C67"/>
    <w:p w14:paraId="2709AA0A" w14:textId="6C308518" w:rsidR="00DE4F4E" w:rsidRPr="005F4A4B" w:rsidRDefault="00DE4F4E" w:rsidP="00DE4F4E">
      <w:r w:rsidRPr="20735924">
        <w:t xml:space="preserve">There was a </w:t>
      </w:r>
      <w:r w:rsidR="00CC0C3B" w:rsidRPr="20735924">
        <w:t>decrease</w:t>
      </w:r>
      <w:r w:rsidRPr="20735924">
        <w:t xml:space="preserve"> in the waste diversion rate in 202</w:t>
      </w:r>
      <w:r w:rsidR="00CC0C3B" w:rsidRPr="20735924">
        <w:t>4</w:t>
      </w:r>
      <w:r w:rsidRPr="20735924">
        <w:t>–202</w:t>
      </w:r>
      <w:r w:rsidR="00CC0C3B" w:rsidRPr="20735924">
        <w:t>5</w:t>
      </w:r>
      <w:r w:rsidRPr="20735924">
        <w:t xml:space="preserve"> (compared to 202</w:t>
      </w:r>
      <w:r w:rsidR="00CC0C3B" w:rsidRPr="20735924">
        <w:t>3</w:t>
      </w:r>
      <w:r w:rsidRPr="20735924">
        <w:t>–202</w:t>
      </w:r>
      <w:r w:rsidR="00CC0C3B" w:rsidRPr="20735924">
        <w:t>4</w:t>
      </w:r>
      <w:r w:rsidRPr="20735924">
        <w:t>). The 202</w:t>
      </w:r>
      <w:r w:rsidR="00CC0C3B" w:rsidRPr="20735924">
        <w:t>4</w:t>
      </w:r>
      <w:r w:rsidRPr="20735924">
        <w:t>–202</w:t>
      </w:r>
      <w:r w:rsidR="00CC0C3B" w:rsidRPr="20735924">
        <w:t>5</w:t>
      </w:r>
      <w:r w:rsidRPr="20735924">
        <w:t xml:space="preserve"> diversion rate is still largely due to the diversion rate for excess earthworks (see </w:t>
      </w:r>
      <w:r w:rsidRPr="00771B30">
        <w:rPr>
          <w:szCs w:val="24"/>
        </w:rPr>
        <w:fldChar w:fldCharType="begin"/>
      </w:r>
      <w:r w:rsidRPr="00771B30">
        <w:rPr>
          <w:szCs w:val="24"/>
        </w:rPr>
        <w:instrText xml:space="preserve"> REF _Ref178158817 \h  \* MERGEFORMAT </w:instrText>
      </w:r>
      <w:r w:rsidRPr="00771B30">
        <w:rPr>
          <w:szCs w:val="24"/>
        </w:rPr>
      </w:r>
      <w:r w:rsidRPr="00771B30">
        <w:rPr>
          <w:szCs w:val="24"/>
        </w:rPr>
        <w:fldChar w:fldCharType="separate"/>
      </w:r>
      <w:r w:rsidR="00E773B5" w:rsidRPr="00771B30">
        <w:t xml:space="preserve">Figure </w:t>
      </w:r>
      <w:r w:rsidR="00E773B5" w:rsidRPr="00771B30">
        <w:rPr>
          <w:noProof/>
        </w:rPr>
        <w:t>6</w:t>
      </w:r>
      <w:r w:rsidRPr="00771B30">
        <w:rPr>
          <w:szCs w:val="24"/>
        </w:rPr>
        <w:fldChar w:fldCharType="end"/>
      </w:r>
      <w:r w:rsidRPr="20735924">
        <w:t xml:space="preserve">) but all the top five waste streams have a diversion rate over </w:t>
      </w:r>
      <w:r w:rsidR="00771B30" w:rsidRPr="20735924">
        <w:t>70</w:t>
      </w:r>
      <w:r w:rsidRPr="20735924">
        <w:t xml:space="preserve"> per cent.</w:t>
      </w:r>
      <w:r>
        <w:rPr>
          <w:szCs w:val="24"/>
        </w:rPr>
        <w:t xml:space="preserve"> </w:t>
      </w:r>
      <w:r w:rsidR="26CFA1A5" w:rsidRPr="1F409A84">
        <w:t xml:space="preserve">Further investigation is necessary to determine the cause of the dropping diversion rate. </w:t>
      </w:r>
    </w:p>
    <w:p w14:paraId="38CD1494" w14:textId="1129A780" w:rsidR="00DE4F4E" w:rsidRPr="00973ED8" w:rsidRDefault="00DE4F4E" w:rsidP="00DE4F4E">
      <w:pPr>
        <w:rPr>
          <w:szCs w:val="24"/>
        </w:rPr>
      </w:pPr>
      <w:r w:rsidRPr="00865B02">
        <w:rPr>
          <w:szCs w:val="24"/>
        </w:rPr>
        <w:t xml:space="preserve">Excess earthworks, including embankment and fill, is the dirt that is removed from site and not required for the construction of the transport infrastructure. </w:t>
      </w:r>
      <w:r w:rsidRPr="00771B30">
        <w:rPr>
          <w:szCs w:val="24"/>
        </w:rPr>
        <w:t>The diversion rate for excess earthworks has fluctuated since waste report</w:t>
      </w:r>
      <w:r w:rsidR="00771B30" w:rsidRPr="00771B30">
        <w:rPr>
          <w:szCs w:val="24"/>
        </w:rPr>
        <w:t>ing</w:t>
      </w:r>
      <w:r w:rsidRPr="00771B30">
        <w:rPr>
          <w:szCs w:val="24"/>
        </w:rPr>
        <w:t xml:space="preserve"> started in 2017–2018 (see </w:t>
      </w:r>
      <w:r w:rsidRPr="00771B30">
        <w:rPr>
          <w:szCs w:val="24"/>
        </w:rPr>
        <w:fldChar w:fldCharType="begin"/>
      </w:r>
      <w:r w:rsidRPr="00771B30">
        <w:rPr>
          <w:szCs w:val="24"/>
        </w:rPr>
        <w:instrText xml:space="preserve"> REF _Ref178159769 \h  \* MERGEFORMAT </w:instrText>
      </w:r>
      <w:r w:rsidRPr="00771B30">
        <w:rPr>
          <w:szCs w:val="24"/>
        </w:rPr>
      </w:r>
      <w:r w:rsidRPr="00771B30">
        <w:rPr>
          <w:szCs w:val="24"/>
        </w:rPr>
        <w:fldChar w:fldCharType="separate"/>
      </w:r>
      <w:r w:rsidR="00E773B5" w:rsidRPr="00771B30">
        <w:t xml:space="preserve">Figure </w:t>
      </w:r>
      <w:r w:rsidR="00E773B5" w:rsidRPr="00771B30">
        <w:rPr>
          <w:noProof/>
        </w:rPr>
        <w:t>7</w:t>
      </w:r>
      <w:r w:rsidRPr="00771B30">
        <w:rPr>
          <w:szCs w:val="24"/>
        </w:rPr>
        <w:fldChar w:fldCharType="end"/>
      </w:r>
      <w:r w:rsidRPr="00771B30">
        <w:rPr>
          <w:szCs w:val="24"/>
        </w:rPr>
        <w:t>)</w:t>
      </w:r>
      <w:r w:rsidR="00771B30" w:rsidRPr="00771B30">
        <w:rPr>
          <w:szCs w:val="24"/>
        </w:rPr>
        <w:t xml:space="preserve"> and is </w:t>
      </w:r>
      <w:r w:rsidR="00EB6F71">
        <w:rPr>
          <w:szCs w:val="24"/>
        </w:rPr>
        <w:t>78</w:t>
      </w:r>
      <w:r w:rsidR="00771B30" w:rsidRPr="00771B30">
        <w:rPr>
          <w:szCs w:val="24"/>
        </w:rPr>
        <w:t xml:space="preserve">% in the current reporting period. This is the first year that the diversion rate </w:t>
      </w:r>
      <w:r w:rsidRPr="00771B30">
        <w:rPr>
          <w:szCs w:val="24"/>
        </w:rPr>
        <w:t>has fallen below 80 per cent</w:t>
      </w:r>
      <w:r w:rsidR="00771B30" w:rsidRPr="00771B30">
        <w:rPr>
          <w:szCs w:val="24"/>
        </w:rPr>
        <w:t xml:space="preserve"> however</w:t>
      </w:r>
      <w:r w:rsidRPr="00771B30">
        <w:rPr>
          <w:szCs w:val="24"/>
        </w:rPr>
        <w:t xml:space="preserve"> the long-term diversion rate is 8</w:t>
      </w:r>
      <w:r w:rsidR="00771B30" w:rsidRPr="00771B30">
        <w:rPr>
          <w:szCs w:val="24"/>
        </w:rPr>
        <w:t>6</w:t>
      </w:r>
      <w:r w:rsidRPr="00771B30">
        <w:rPr>
          <w:szCs w:val="24"/>
        </w:rPr>
        <w:t xml:space="preserve"> per cent. </w:t>
      </w:r>
      <w:r w:rsidR="00771B30">
        <w:rPr>
          <w:szCs w:val="24"/>
        </w:rPr>
        <w:t>If this trend were to continue TMR may not be able to meet the required diversion targets in the future.</w:t>
      </w:r>
    </w:p>
    <w:p w14:paraId="36BF36BB" w14:textId="666AA66B" w:rsidR="009D7C67" w:rsidRDefault="00DA4996" w:rsidP="009D7C67">
      <w:r>
        <w:rPr>
          <w:noProof/>
        </w:rPr>
        <w:lastRenderedPageBreak/>
        <w:drawing>
          <wp:inline distT="0" distB="0" distL="0" distR="0" wp14:anchorId="247F4D2F" wp14:editId="75689428">
            <wp:extent cx="5486400" cy="3200400"/>
            <wp:effectExtent l="0" t="0" r="0" b="0"/>
            <wp:docPr id="1498536955"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68368B1" w14:textId="641A3A23" w:rsidR="00DE4F4E" w:rsidRDefault="00DE4F4E" w:rsidP="00DE4F4E">
      <w:pPr>
        <w:pStyle w:val="Caption"/>
      </w:pPr>
      <w:bookmarkStart w:id="11" w:name="_Ref178158817"/>
      <w:r>
        <w:t xml:space="preserve">Figure </w:t>
      </w:r>
      <w:r>
        <w:fldChar w:fldCharType="begin"/>
      </w:r>
      <w:r>
        <w:instrText xml:space="preserve"> SEQ Figure \* ARABIC </w:instrText>
      </w:r>
      <w:r>
        <w:fldChar w:fldCharType="separate"/>
      </w:r>
      <w:r w:rsidR="00E773B5">
        <w:rPr>
          <w:noProof/>
        </w:rPr>
        <w:t>7</w:t>
      </w:r>
      <w:r>
        <w:rPr>
          <w:noProof/>
        </w:rPr>
        <w:fldChar w:fldCharType="end"/>
      </w:r>
      <w:bookmarkEnd w:id="11"/>
      <w:r w:rsidRPr="00A653A9">
        <w:t xml:space="preserve">: Destination of </w:t>
      </w:r>
      <w:r>
        <w:t>top five waste streams for 2024</w:t>
      </w:r>
      <w:r w:rsidRPr="00973ED8">
        <w:t>–</w:t>
      </w:r>
      <w:r>
        <w:t xml:space="preserve">2025. </w:t>
      </w:r>
    </w:p>
    <w:p w14:paraId="23A4C5F7" w14:textId="2D787013" w:rsidR="00DE4F4E" w:rsidRDefault="009F0A25" w:rsidP="009D7C67">
      <w:r>
        <w:rPr>
          <w:noProof/>
        </w:rPr>
        <w:drawing>
          <wp:inline distT="0" distB="0" distL="0" distR="0" wp14:anchorId="00705ED9" wp14:editId="3386859A">
            <wp:extent cx="5486400" cy="3200400"/>
            <wp:effectExtent l="0" t="0" r="0" b="0"/>
            <wp:docPr id="148361989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96689A2" w14:textId="27DDA406" w:rsidR="00DE4F4E" w:rsidRDefault="00DE4F4E" w:rsidP="00DE4F4E">
      <w:pPr>
        <w:pStyle w:val="Caption"/>
      </w:pPr>
      <w:bookmarkStart w:id="12" w:name="_Ref178159769"/>
      <w:r>
        <w:t xml:space="preserve">Figure </w:t>
      </w:r>
      <w:r>
        <w:rPr>
          <w:b/>
          <w:bCs w:val="0"/>
          <w:i/>
          <w:iCs/>
        </w:rPr>
        <w:fldChar w:fldCharType="begin"/>
      </w:r>
      <w:r>
        <w:instrText xml:space="preserve"> SEQ Figure \* ARABIC </w:instrText>
      </w:r>
      <w:r>
        <w:rPr>
          <w:b/>
          <w:bCs w:val="0"/>
          <w:i/>
          <w:iCs/>
        </w:rPr>
        <w:fldChar w:fldCharType="separate"/>
      </w:r>
      <w:r w:rsidR="00E773B5">
        <w:rPr>
          <w:noProof/>
        </w:rPr>
        <w:t>8</w:t>
      </w:r>
      <w:r>
        <w:rPr>
          <w:b/>
          <w:bCs w:val="0"/>
          <w:i/>
          <w:iCs/>
          <w:noProof/>
        </w:rPr>
        <w:fldChar w:fldCharType="end"/>
      </w:r>
      <w:bookmarkEnd w:id="12"/>
      <w:r w:rsidRPr="00A653A9">
        <w:t>: Trend in diversion rate for excess earthworks/embarkment/fill</w:t>
      </w:r>
    </w:p>
    <w:p w14:paraId="7EEC3392" w14:textId="77777777" w:rsidR="00DE4F4E" w:rsidRDefault="00DE4F4E" w:rsidP="009D7C67"/>
    <w:p w14:paraId="31498924" w14:textId="77777777" w:rsidR="00DE4F4E" w:rsidRDefault="00DE4F4E">
      <w:pPr>
        <w:suppressAutoHyphens w:val="0"/>
        <w:spacing w:before="0" w:after="160" w:line="259" w:lineRule="auto"/>
      </w:pPr>
      <w:r>
        <w:br w:type="page"/>
      </w:r>
    </w:p>
    <w:p w14:paraId="0444F6B3" w14:textId="77777777" w:rsidR="00BE1756" w:rsidRDefault="00BE1756" w:rsidP="00BE1756">
      <w:pPr>
        <w:pStyle w:val="BodyText"/>
        <w:spacing w:before="60" w:after="60" w:line="240" w:lineRule="auto"/>
        <w:ind w:left="60"/>
        <w:rPr>
          <w:rFonts w:eastAsia="Times New Roman"/>
          <w:b/>
          <w:bCs/>
          <w:sz w:val="32"/>
          <w:szCs w:val="32"/>
          <w:lang w:eastAsia="en-AU"/>
        </w:rPr>
      </w:pPr>
      <w:bookmarkStart w:id="13" w:name="_MON_1818821208"/>
      <w:bookmarkEnd w:id="13"/>
      <w:r w:rsidRPr="00353797">
        <w:rPr>
          <w:rFonts w:eastAsia="Times New Roman"/>
          <w:b/>
          <w:bCs/>
          <w:color w:val="FF0000"/>
          <w:szCs w:val="24"/>
          <w:lang w:eastAsia="en-AU"/>
        </w:rPr>
        <w:lastRenderedPageBreak/>
        <w:t>Case Study 1</w:t>
      </w:r>
      <w:r w:rsidRPr="00353797">
        <w:rPr>
          <w:rFonts w:eastAsia="Times New Roman"/>
          <w:b/>
          <w:bCs/>
          <w:szCs w:val="24"/>
          <w:lang w:eastAsia="en-AU"/>
        </w:rPr>
        <w:t>:</w:t>
      </w:r>
      <w:r w:rsidRPr="00353797">
        <w:rPr>
          <w:rFonts w:eastAsia="Times New Roman"/>
          <w:b/>
          <w:bCs/>
          <w:sz w:val="32"/>
          <w:szCs w:val="32"/>
          <w:lang w:eastAsia="en-AU"/>
        </w:rPr>
        <w:t xml:space="preserve"> Repurposing electrical waste (e-waste) </w:t>
      </w:r>
    </w:p>
    <w:p w14:paraId="23FD9C38" w14:textId="77777777" w:rsidR="00BE1756" w:rsidRDefault="00BE1756" w:rsidP="00BE1756">
      <w:pPr>
        <w:pStyle w:val="BodyText"/>
        <w:spacing w:before="60" w:line="240" w:lineRule="auto"/>
        <w:ind w:left="60"/>
        <w:jc w:val="both"/>
        <w:rPr>
          <w:rFonts w:eastAsia="Times New Roman"/>
          <w:szCs w:val="24"/>
          <w:lang w:eastAsia="en-AU"/>
        </w:rPr>
      </w:pPr>
      <w:r>
        <w:rPr>
          <w:rFonts w:eastAsia="Times New Roman"/>
          <w:szCs w:val="24"/>
          <w:lang w:eastAsia="en-AU"/>
        </w:rPr>
        <w:t xml:space="preserve">RoadTek is actively contributing to a more inclusive and sustainable future. The collaboration with the Endeavour Foundation not only promotes environmental sustainability by reducing e-waste but also creates meaningful employment opportunities for people with disabilities, fostering inclusivity and community engagement. </w:t>
      </w:r>
    </w:p>
    <w:p w14:paraId="535ED294" w14:textId="77777777" w:rsidR="00BE1756" w:rsidRDefault="00BE1756" w:rsidP="00BE1756">
      <w:pPr>
        <w:pStyle w:val="BodyText"/>
        <w:spacing w:before="60" w:line="240" w:lineRule="auto"/>
        <w:ind w:left="60"/>
        <w:jc w:val="both"/>
        <w:rPr>
          <w:rFonts w:eastAsia="Times New Roman"/>
          <w:szCs w:val="24"/>
          <w:lang w:eastAsia="en-AU"/>
        </w:rPr>
      </w:pPr>
      <w:r w:rsidRPr="00353797">
        <w:rPr>
          <w:rFonts w:eastAsia="Times New Roman"/>
          <w:szCs w:val="24"/>
          <w:lang w:eastAsia="en-AU"/>
        </w:rPr>
        <w:t>Key highlights of this initiative include:</w:t>
      </w:r>
    </w:p>
    <w:p w14:paraId="77C1677B" w14:textId="77777777" w:rsidR="00BE1756" w:rsidRPr="00353797" w:rsidRDefault="00BE1756" w:rsidP="00BE1756">
      <w:pPr>
        <w:pStyle w:val="BodyText"/>
        <w:numPr>
          <w:ilvl w:val="0"/>
          <w:numId w:val="49"/>
        </w:numPr>
        <w:spacing w:before="60" w:line="240" w:lineRule="auto"/>
        <w:ind w:left="714" w:hanging="357"/>
        <w:jc w:val="both"/>
        <w:rPr>
          <w:rFonts w:eastAsia="Times New Roman"/>
          <w:szCs w:val="24"/>
          <w:lang w:eastAsia="en-AU"/>
        </w:rPr>
      </w:pPr>
      <w:r w:rsidRPr="00353797">
        <w:rPr>
          <w:rFonts w:eastAsia="Times New Roman"/>
          <w:b/>
          <w:bCs/>
          <w:szCs w:val="24"/>
          <w:lang w:eastAsia="en-AU"/>
        </w:rPr>
        <w:t>Environmental Impact</w:t>
      </w:r>
      <w:r w:rsidRPr="00353797">
        <w:rPr>
          <w:rFonts w:eastAsia="Times New Roman"/>
          <w:szCs w:val="24"/>
          <w:lang w:eastAsia="en-AU"/>
        </w:rPr>
        <w:t>: Recycling 16,648 luminaires and diverting 179 tonnes of material from landfill demonstrates a strong commitment to sustainability. With up to 98% of components being recyclable, this initiative significantly reduces waste and promotes resource recovery.</w:t>
      </w:r>
    </w:p>
    <w:p w14:paraId="51ABD337" w14:textId="77777777" w:rsidR="00BE1756" w:rsidRPr="00353797" w:rsidRDefault="00BE1756" w:rsidP="00BE1756">
      <w:pPr>
        <w:pStyle w:val="BodyText"/>
        <w:numPr>
          <w:ilvl w:val="0"/>
          <w:numId w:val="49"/>
        </w:numPr>
        <w:spacing w:before="60" w:line="240" w:lineRule="auto"/>
        <w:ind w:left="714" w:hanging="357"/>
        <w:jc w:val="both"/>
        <w:rPr>
          <w:rFonts w:eastAsia="Times New Roman"/>
          <w:szCs w:val="24"/>
          <w:lang w:eastAsia="en-AU"/>
        </w:rPr>
      </w:pPr>
      <w:r w:rsidRPr="00353797">
        <w:rPr>
          <w:rFonts w:eastAsia="Times New Roman"/>
          <w:b/>
          <w:bCs/>
          <w:szCs w:val="24"/>
          <w:lang w:eastAsia="en-AU"/>
        </w:rPr>
        <w:t>Social Impact</w:t>
      </w:r>
      <w:r w:rsidRPr="00353797">
        <w:rPr>
          <w:rFonts w:eastAsia="Times New Roman"/>
          <w:szCs w:val="24"/>
          <w:lang w:eastAsia="en-AU"/>
        </w:rPr>
        <w:t>: By partnering with the Endeavour Foundation, RoadTek provides meaningful work opportunities for people with disabilities, empowering them and enhancing their participation in the workforce. The ability to dismantle up to 80 traffic or streetlights per person per day showcases the efficiency and dedication of the workers involved.</w:t>
      </w:r>
    </w:p>
    <w:p w14:paraId="47D2D6CC" w14:textId="77777777" w:rsidR="00BE1756" w:rsidRPr="00353797" w:rsidRDefault="00BE1756" w:rsidP="00BE1756">
      <w:pPr>
        <w:pStyle w:val="BodyText"/>
        <w:numPr>
          <w:ilvl w:val="0"/>
          <w:numId w:val="49"/>
        </w:numPr>
        <w:spacing w:before="60" w:line="240" w:lineRule="auto"/>
        <w:ind w:left="714" w:hanging="357"/>
        <w:jc w:val="both"/>
        <w:rPr>
          <w:rFonts w:eastAsia="Times New Roman"/>
          <w:szCs w:val="24"/>
          <w:lang w:eastAsia="en-AU"/>
        </w:rPr>
      </w:pPr>
      <w:r w:rsidRPr="00353797">
        <w:rPr>
          <w:rFonts w:eastAsia="Times New Roman"/>
          <w:b/>
          <w:bCs/>
          <w:szCs w:val="24"/>
          <w:lang w:eastAsia="en-AU"/>
        </w:rPr>
        <w:t>Community Engagement</w:t>
      </w:r>
      <w:r w:rsidRPr="00353797">
        <w:rPr>
          <w:rFonts w:eastAsia="Times New Roman"/>
          <w:szCs w:val="24"/>
          <w:lang w:eastAsia="en-AU"/>
        </w:rPr>
        <w:t>: This initiative exemplifies how partnerships between organisations can address multiple societal challenges, such as waste management and employment barriers, while fostering a sense of shared purpose.</w:t>
      </w:r>
    </w:p>
    <w:p w14:paraId="7E872693" w14:textId="77777777" w:rsidR="00BE1756" w:rsidRPr="00353797" w:rsidRDefault="00BE1756" w:rsidP="00BE1756">
      <w:pPr>
        <w:pStyle w:val="BodyText"/>
        <w:spacing w:before="60" w:line="240" w:lineRule="auto"/>
        <w:ind w:left="60"/>
        <w:jc w:val="both"/>
        <w:rPr>
          <w:rFonts w:eastAsia="Times New Roman"/>
          <w:szCs w:val="24"/>
          <w:lang w:eastAsia="en-AU"/>
        </w:rPr>
      </w:pPr>
      <w:r w:rsidRPr="00353797">
        <w:rPr>
          <w:rFonts w:eastAsia="Times New Roman"/>
          <w:szCs w:val="24"/>
          <w:lang w:eastAsia="en-AU"/>
        </w:rPr>
        <w:t>This initiative truly exemplifies the power of collaboration in driving positive change. By working together, RoadTek and the Endeavour Foundation are not only breaking down barriers to employment but also showcasing the significant contributions that people with disabilities make to our workforce and society.</w:t>
      </w:r>
    </w:p>
    <w:p w14:paraId="21DFC6C5" w14:textId="77777777" w:rsidR="00BE1756" w:rsidRDefault="00BE1756" w:rsidP="00BE1756">
      <w:pPr>
        <w:pStyle w:val="BodyText"/>
        <w:spacing w:before="60" w:line="240" w:lineRule="auto"/>
        <w:ind w:left="60"/>
        <w:jc w:val="both"/>
        <w:rPr>
          <w:rFonts w:eastAsia="Times New Roman"/>
          <w:szCs w:val="24"/>
          <w:lang w:eastAsia="en-AU"/>
        </w:rPr>
      </w:pPr>
      <w:r w:rsidRPr="00353797">
        <w:rPr>
          <w:rFonts w:eastAsia="Times New Roman"/>
          <w:szCs w:val="24"/>
          <w:lang w:eastAsia="en-AU"/>
        </w:rPr>
        <w:t>Diversity and inclusion are more than just ideals—they are actionable strategies that create tangible benefits. Through this partnership, we see how inclusive practices can empower individuals, strengthen organisations, and enrich our communities. It’s a reminder that when we embrace diversity, we unlock potential, foster innovation, and build a more equitable and sustainable future for everyone.</w:t>
      </w:r>
    </w:p>
    <w:p w14:paraId="20D946AA" w14:textId="7BC66B95" w:rsidR="00BE1756" w:rsidRDefault="00BE1756" w:rsidP="001E0234">
      <w:pPr>
        <w:pStyle w:val="BodyText"/>
        <w:jc w:val="center"/>
      </w:pPr>
      <w:r>
        <w:rPr>
          <w:noProof/>
        </w:rPr>
        <w:drawing>
          <wp:inline distT="0" distB="0" distL="0" distR="0" wp14:anchorId="126EE160" wp14:editId="285C0F7E">
            <wp:extent cx="2001870" cy="2412000"/>
            <wp:effectExtent l="0" t="0" r="0" b="7620"/>
            <wp:docPr id="1016275055" name="Picture 2" descr="A pile of small electronic compon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72123" name="Picture 2" descr="A pile of small electronic component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01870" cy="2412000"/>
                    </a:xfrm>
                    <a:prstGeom prst="rect">
                      <a:avLst/>
                    </a:prstGeom>
                  </pic:spPr>
                </pic:pic>
              </a:graphicData>
            </a:graphic>
          </wp:inline>
        </w:drawing>
      </w:r>
      <w:r>
        <w:rPr>
          <w:noProof/>
        </w:rPr>
        <w:drawing>
          <wp:inline distT="0" distB="0" distL="0" distR="0" wp14:anchorId="2C55A165" wp14:editId="151D83F5">
            <wp:extent cx="2167428" cy="2412000"/>
            <wp:effectExtent l="0" t="0" r="4445" b="7620"/>
            <wp:docPr id="1144688954" name="Picture 3" descr="A wooden table with a circular object with many small objects i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46267" name="Picture 3" descr="A wooden table with a circular object with many small objects in it&#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67428" cy="2412000"/>
                    </a:xfrm>
                    <a:prstGeom prst="rect">
                      <a:avLst/>
                    </a:prstGeom>
                  </pic:spPr>
                </pic:pic>
              </a:graphicData>
            </a:graphic>
          </wp:inline>
        </w:drawing>
      </w:r>
    </w:p>
    <w:p w14:paraId="49325D3C" w14:textId="7FDAFF32" w:rsidR="00DE4F4E" w:rsidRDefault="00BE1756" w:rsidP="001E0234">
      <w:pPr>
        <w:pStyle w:val="BodyText"/>
        <w:jc w:val="center"/>
      </w:pPr>
      <w:r w:rsidRPr="004E10CD">
        <w:rPr>
          <w:i/>
          <w:iCs/>
          <w:sz w:val="18"/>
          <w:szCs w:val="18"/>
        </w:rPr>
        <w:t>Image: Repurposing traffic and streetlights into recyclability components. Source: TMR.</w:t>
      </w:r>
      <w:r w:rsidR="00DE4F4E">
        <w:br w:type="page"/>
      </w:r>
    </w:p>
    <w:p w14:paraId="3F7A597B" w14:textId="77777777" w:rsidR="00DE4F4E" w:rsidRDefault="00DE4F4E" w:rsidP="00DE4F4E">
      <w:pPr>
        <w:pStyle w:val="Heading1"/>
      </w:pPr>
      <w:bookmarkStart w:id="14" w:name="_Toc145592669"/>
      <w:bookmarkStart w:id="15" w:name="_Toc179466375"/>
      <w:bookmarkStart w:id="16" w:name="_Toc207978345"/>
      <w:r>
        <w:lastRenderedPageBreak/>
        <w:t>Waste reuse and recycling</w:t>
      </w:r>
      <w:bookmarkEnd w:id="14"/>
      <w:bookmarkEnd w:id="15"/>
      <w:bookmarkEnd w:id="16"/>
    </w:p>
    <w:p w14:paraId="53C79175" w14:textId="77777777" w:rsidR="00DE4F4E" w:rsidRPr="00923157" w:rsidRDefault="00DE4F4E" w:rsidP="00DE4F4E">
      <w:pPr>
        <w:rPr>
          <w:szCs w:val="24"/>
        </w:rPr>
      </w:pPr>
      <w:r w:rsidRPr="00923157">
        <w:rPr>
          <w:szCs w:val="24"/>
        </w:rPr>
        <w:t xml:space="preserve">An objective of TMR's </w:t>
      </w:r>
      <w:r w:rsidRPr="00923157">
        <w:rPr>
          <w:i/>
          <w:iCs/>
          <w:szCs w:val="24"/>
        </w:rPr>
        <w:t>Waste 2 Resource Strategy</w:t>
      </w:r>
      <w:r w:rsidRPr="00923157">
        <w:rPr>
          <w:szCs w:val="24"/>
        </w:rPr>
        <w:t xml:space="preserve"> is to support the circular economy, and this can be achieved by directing suitable wastes for reuse and recycling. A waste is reused when no additional processing (other than transporting) is required for it to be productively used again. An example of this is directing </w:t>
      </w:r>
      <w:r>
        <w:rPr>
          <w:szCs w:val="24"/>
        </w:rPr>
        <w:t>e</w:t>
      </w:r>
      <w:r w:rsidRPr="00923157">
        <w:rPr>
          <w:szCs w:val="24"/>
        </w:rPr>
        <w:t xml:space="preserve">xcess </w:t>
      </w:r>
      <w:r>
        <w:rPr>
          <w:szCs w:val="24"/>
        </w:rPr>
        <w:t>e</w:t>
      </w:r>
      <w:r w:rsidRPr="00923157">
        <w:rPr>
          <w:szCs w:val="24"/>
        </w:rPr>
        <w:t>arthworks from one project to another that needs fill material. A waste is recycled when some processing is required to make it into a usable product, for example crushing concrete to supplement road base materials.</w:t>
      </w:r>
    </w:p>
    <w:p w14:paraId="2A24242D" w14:textId="20DAF328" w:rsidR="00DE4F4E" w:rsidRDefault="00DE4F4E" w:rsidP="00DE4F4E">
      <w:pPr>
        <w:rPr>
          <w:szCs w:val="24"/>
        </w:rPr>
      </w:pPr>
      <w:r w:rsidRPr="00923157">
        <w:rPr>
          <w:szCs w:val="24"/>
        </w:rPr>
        <w:t>The following are highlights of the waste generated by TMR in 202</w:t>
      </w:r>
      <w:r>
        <w:rPr>
          <w:szCs w:val="24"/>
        </w:rPr>
        <w:t>4</w:t>
      </w:r>
      <w:r w:rsidRPr="00923157">
        <w:rPr>
          <w:szCs w:val="24"/>
        </w:rPr>
        <w:t>–202</w:t>
      </w:r>
      <w:r>
        <w:rPr>
          <w:szCs w:val="24"/>
        </w:rPr>
        <w:t>5</w:t>
      </w:r>
      <w:r w:rsidRPr="00923157">
        <w:rPr>
          <w:szCs w:val="24"/>
        </w:rPr>
        <w:t xml:space="preserve"> and either reused or recycled. Reuse and recycling are more common along the coastal regions of Queensland due to the current distribution of licenced recycling facilities.</w:t>
      </w:r>
    </w:p>
    <w:p w14:paraId="59760516" w14:textId="77342AAA" w:rsidR="00DE4F4E" w:rsidRDefault="009F0A25" w:rsidP="009D7C67">
      <w:r>
        <w:rPr>
          <w:noProof/>
        </w:rPr>
        <w:drawing>
          <wp:inline distT="0" distB="0" distL="0" distR="0" wp14:anchorId="2755C388" wp14:editId="21571458">
            <wp:extent cx="5486400" cy="3200400"/>
            <wp:effectExtent l="0" t="0" r="0" b="0"/>
            <wp:docPr id="1905295377"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BAAB6DF" w14:textId="3388A5AC" w:rsidR="00DE4F4E" w:rsidRDefault="00DE4F4E" w:rsidP="00DE4F4E">
      <w:pPr>
        <w:pStyle w:val="Caption"/>
      </w:pPr>
      <w:r>
        <w:t xml:space="preserve">Figure </w:t>
      </w:r>
      <w:r>
        <w:fldChar w:fldCharType="begin"/>
      </w:r>
      <w:r>
        <w:instrText xml:space="preserve"> SEQ Figure \* ARABIC </w:instrText>
      </w:r>
      <w:r>
        <w:fldChar w:fldCharType="separate"/>
      </w:r>
      <w:r w:rsidR="00E773B5">
        <w:rPr>
          <w:noProof/>
        </w:rPr>
        <w:t>9</w:t>
      </w:r>
      <w:r>
        <w:rPr>
          <w:noProof/>
        </w:rPr>
        <w:fldChar w:fldCharType="end"/>
      </w:r>
      <w:r w:rsidRPr="00A653A9">
        <w:t>: Top 5 reused or recycled</w:t>
      </w:r>
      <w:r>
        <w:t xml:space="preserve"> </w:t>
      </w:r>
      <w:r w:rsidRPr="00A653A9">
        <w:t>wastes.</w:t>
      </w:r>
    </w:p>
    <w:p w14:paraId="2086BA6D" w14:textId="6590D8D2" w:rsidR="00DE4F4E" w:rsidRDefault="008912C1" w:rsidP="009D7C67">
      <w:r>
        <w:rPr>
          <w:noProof/>
        </w:rPr>
        <w:lastRenderedPageBreak/>
        <w:drawing>
          <wp:inline distT="0" distB="0" distL="0" distR="0" wp14:anchorId="00DACAE2" wp14:editId="16112195">
            <wp:extent cx="5486400" cy="3200400"/>
            <wp:effectExtent l="0" t="0" r="0" b="0"/>
            <wp:docPr id="112101908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C9801EC" w14:textId="49F9DB96" w:rsidR="00DE4F4E" w:rsidRDefault="00DE4F4E" w:rsidP="00DE4F4E">
      <w:pPr>
        <w:pStyle w:val="Caption"/>
      </w:pPr>
      <w:r>
        <w:t xml:space="preserve">Figure </w:t>
      </w:r>
      <w:r>
        <w:fldChar w:fldCharType="begin"/>
      </w:r>
      <w:r>
        <w:instrText xml:space="preserve"> SEQ Figure \* ARABIC </w:instrText>
      </w:r>
      <w:r>
        <w:fldChar w:fldCharType="separate"/>
      </w:r>
      <w:r w:rsidR="00E773B5">
        <w:rPr>
          <w:noProof/>
        </w:rPr>
        <w:t>10</w:t>
      </w:r>
      <w:r>
        <w:rPr>
          <w:noProof/>
        </w:rPr>
        <w:fldChar w:fldCharType="end"/>
      </w:r>
      <w:r>
        <w:t>: Reused or recycled wastes.</w:t>
      </w:r>
    </w:p>
    <w:p w14:paraId="7DCF4F2C" w14:textId="7965CC5D" w:rsidR="00DE4F4E" w:rsidRDefault="00DE4F4E">
      <w:pPr>
        <w:suppressAutoHyphens w:val="0"/>
        <w:spacing w:before="0" w:after="160" w:line="259" w:lineRule="auto"/>
      </w:pPr>
      <w:r>
        <w:br w:type="page"/>
      </w:r>
    </w:p>
    <w:p w14:paraId="7A3FA735" w14:textId="77777777" w:rsidR="00BC5068" w:rsidRDefault="007B7641" w:rsidP="00A85E38">
      <w:pPr>
        <w:pStyle w:val="BodyText"/>
        <w:spacing w:before="60" w:after="60" w:line="240" w:lineRule="auto"/>
        <w:ind w:left="60"/>
        <w:rPr>
          <w:rFonts w:eastAsia="Times New Roman"/>
          <w:b/>
          <w:bCs/>
          <w:sz w:val="32"/>
          <w:szCs w:val="32"/>
          <w:lang w:eastAsia="en-AU"/>
        </w:rPr>
      </w:pPr>
      <w:r w:rsidRPr="00353797">
        <w:rPr>
          <w:rFonts w:eastAsia="Times New Roman"/>
          <w:b/>
          <w:bCs/>
          <w:color w:val="FF0000"/>
          <w:szCs w:val="24"/>
          <w:lang w:eastAsia="en-AU"/>
        </w:rPr>
        <w:lastRenderedPageBreak/>
        <w:t xml:space="preserve">Case Study </w:t>
      </w:r>
      <w:r>
        <w:rPr>
          <w:rFonts w:eastAsia="Times New Roman"/>
          <w:b/>
          <w:bCs/>
          <w:color w:val="FF0000"/>
          <w:szCs w:val="24"/>
          <w:lang w:eastAsia="en-AU"/>
        </w:rPr>
        <w:t>2</w:t>
      </w:r>
      <w:r w:rsidRPr="00353797">
        <w:rPr>
          <w:rFonts w:eastAsia="Times New Roman"/>
          <w:b/>
          <w:bCs/>
          <w:szCs w:val="24"/>
          <w:lang w:eastAsia="en-AU"/>
        </w:rPr>
        <w:t>:</w:t>
      </w:r>
      <w:r w:rsidRPr="00353797">
        <w:rPr>
          <w:rFonts w:eastAsia="Times New Roman"/>
          <w:b/>
          <w:bCs/>
          <w:sz w:val="32"/>
          <w:szCs w:val="32"/>
          <w:lang w:eastAsia="en-AU"/>
        </w:rPr>
        <w:t xml:space="preserve"> </w:t>
      </w:r>
      <w:r>
        <w:rPr>
          <w:rFonts w:eastAsia="Times New Roman"/>
          <w:b/>
          <w:bCs/>
          <w:sz w:val="32"/>
          <w:szCs w:val="32"/>
          <w:lang w:eastAsia="en-AU"/>
        </w:rPr>
        <w:t xml:space="preserve">The Bruce Highway Upgrade Program – Caboolture-Bribie Island Road to Steve Irwin Way (Exit 163) </w:t>
      </w:r>
      <w:r w:rsidRPr="00353797">
        <w:rPr>
          <w:rFonts w:eastAsia="Times New Roman"/>
          <w:b/>
          <w:bCs/>
          <w:sz w:val="32"/>
          <w:szCs w:val="32"/>
          <w:lang w:eastAsia="en-AU"/>
        </w:rPr>
        <w:t xml:space="preserve"> </w:t>
      </w:r>
    </w:p>
    <w:p w14:paraId="2764A900" w14:textId="70D1BAA3" w:rsidR="007B7641" w:rsidRPr="00175389" w:rsidRDefault="007B7641" w:rsidP="00A85E38">
      <w:pPr>
        <w:pStyle w:val="BodyText"/>
        <w:spacing w:before="60" w:after="60" w:line="240" w:lineRule="auto"/>
        <w:ind w:left="60"/>
        <w:rPr>
          <w:rFonts w:eastAsia="Times New Roman"/>
          <w:color w:val="2F2F2F"/>
          <w:szCs w:val="24"/>
          <w:lang w:eastAsia="en-AU"/>
        </w:rPr>
      </w:pPr>
      <w:r w:rsidRPr="00175389">
        <w:rPr>
          <w:rFonts w:ascii="Segoe UI" w:eastAsia="Times New Roman" w:hAnsi="Segoe UI" w:cs="Segoe UI"/>
          <w:color w:val="2F2F2F"/>
          <w:sz w:val="27"/>
          <w:szCs w:val="27"/>
          <w:lang w:eastAsia="en-AU"/>
        </w:rPr>
        <w:br/>
      </w:r>
      <w:r w:rsidRPr="00175389">
        <w:rPr>
          <w:rFonts w:eastAsia="Times New Roman"/>
          <w:color w:val="2F2F2F"/>
          <w:szCs w:val="24"/>
          <w:lang w:eastAsia="en-AU"/>
        </w:rPr>
        <w:t>Through innovative thinking, local partnerships, and a commitment to sustainability, the project set a new benchmark for integrating circular economy principals into transport infrastructure in Queensland.</w:t>
      </w:r>
    </w:p>
    <w:p w14:paraId="5BB43D90" w14:textId="5C6B6EF9" w:rsidR="007B7641" w:rsidRPr="00175389" w:rsidRDefault="007B7641" w:rsidP="007B7641">
      <w:pPr>
        <w:shd w:val="clear" w:color="auto" w:fill="FFFFFF"/>
        <w:rPr>
          <w:rFonts w:eastAsia="Times New Roman" w:cs="Arial"/>
          <w:color w:val="2F2F2F"/>
          <w:szCs w:val="24"/>
          <w:lang w:eastAsia="en-AU"/>
        </w:rPr>
      </w:pPr>
      <w:r w:rsidRPr="00175389">
        <w:rPr>
          <w:rFonts w:eastAsia="Times New Roman" w:cs="Arial"/>
          <w:color w:val="2F2F2F"/>
          <w:szCs w:val="24"/>
          <w:lang w:eastAsia="en-AU"/>
        </w:rPr>
        <w:t xml:space="preserve">Led by </w:t>
      </w:r>
      <w:r>
        <w:rPr>
          <w:rFonts w:eastAsia="Times New Roman"/>
          <w:color w:val="2F2F2F"/>
          <w:szCs w:val="24"/>
          <w:lang w:eastAsia="en-AU"/>
        </w:rPr>
        <w:t>the Department of Transport and Main Roads</w:t>
      </w:r>
      <w:r w:rsidRPr="00175389">
        <w:rPr>
          <w:rFonts w:eastAsia="Times New Roman" w:cs="Arial"/>
          <w:color w:val="2F2F2F"/>
          <w:szCs w:val="24"/>
          <w:lang w:eastAsia="en-AU"/>
        </w:rPr>
        <w:t xml:space="preserve">, the upgrade was delivered in two contracts. Contract 1 undertaken by Acciona Infrastructure Projects Australia, covered the section from Caboolture-Bribie Island Road to </w:t>
      </w:r>
      <w:proofErr w:type="spellStart"/>
      <w:r w:rsidRPr="00175389">
        <w:rPr>
          <w:rFonts w:eastAsia="Times New Roman" w:cs="Arial"/>
          <w:color w:val="2F2F2F"/>
          <w:szCs w:val="24"/>
          <w:lang w:eastAsia="en-AU"/>
        </w:rPr>
        <w:t>Pumicestone</w:t>
      </w:r>
      <w:proofErr w:type="spellEnd"/>
      <w:r w:rsidRPr="00175389">
        <w:rPr>
          <w:rFonts w:eastAsia="Times New Roman" w:cs="Arial"/>
          <w:color w:val="2F2F2F"/>
          <w:szCs w:val="24"/>
          <w:lang w:eastAsia="en-AU"/>
        </w:rPr>
        <w:t xml:space="preserve"> Road. Contact 2 delivered by Fulton Hogan, extended from </w:t>
      </w:r>
      <w:proofErr w:type="spellStart"/>
      <w:r w:rsidRPr="00175389">
        <w:rPr>
          <w:rFonts w:eastAsia="Times New Roman" w:cs="Arial"/>
          <w:color w:val="2F2F2F"/>
          <w:szCs w:val="24"/>
          <w:lang w:eastAsia="en-AU"/>
        </w:rPr>
        <w:t>Pumicestone</w:t>
      </w:r>
      <w:proofErr w:type="spellEnd"/>
      <w:r w:rsidRPr="00175389">
        <w:rPr>
          <w:rFonts w:eastAsia="Times New Roman" w:cs="Arial"/>
          <w:color w:val="2F2F2F"/>
          <w:szCs w:val="24"/>
          <w:lang w:eastAsia="en-AU"/>
        </w:rPr>
        <w:t xml:space="preserve"> Road to Steve Irwin Way (Exit 163). The project expanded 11 kilometres of highway from four to six lanes, upgraded creek crossings and key interchange ramps, enhanced safety, and increased capacity along one of Queensland’s busiest transport corridors. </w:t>
      </w:r>
    </w:p>
    <w:p w14:paraId="2CAAB1FA" w14:textId="5E3CC556" w:rsidR="007B7641" w:rsidRPr="00175389" w:rsidRDefault="007B7641" w:rsidP="007B7641">
      <w:pPr>
        <w:shd w:val="clear" w:color="auto" w:fill="FFFFFF"/>
        <w:rPr>
          <w:rFonts w:eastAsia="Times New Roman" w:cs="Arial"/>
          <w:color w:val="2F2F2F"/>
          <w:szCs w:val="24"/>
          <w:lang w:eastAsia="en-AU"/>
        </w:rPr>
      </w:pPr>
      <w:r w:rsidRPr="00175389">
        <w:rPr>
          <w:rFonts w:eastAsia="Times New Roman" w:cs="Arial"/>
          <w:color w:val="2F2F2F"/>
          <w:szCs w:val="24"/>
          <w:lang w:eastAsia="en-AU"/>
        </w:rPr>
        <w:t>As part of a commitment to sustainability, Fulton Hogan partnered with local supplier ABFI Steel Group to tackle a common construction challenge: the disposal of steel pile liner offcuts. Typically discarded as scrap, the team returned the offcuts to the supplier, who spliced them for reuse in the second stage of the project. </w:t>
      </w:r>
    </w:p>
    <w:p w14:paraId="18EE1A5B" w14:textId="196D6F26" w:rsidR="007B7641" w:rsidRPr="00175389" w:rsidRDefault="007B7641" w:rsidP="007B7641">
      <w:pPr>
        <w:shd w:val="clear" w:color="auto" w:fill="FFFFFF"/>
        <w:rPr>
          <w:rFonts w:eastAsia="Times New Roman" w:cs="Arial"/>
          <w:color w:val="2F2F2F"/>
          <w:szCs w:val="24"/>
          <w:lang w:eastAsia="en-AU"/>
        </w:rPr>
      </w:pPr>
      <w:r w:rsidRPr="00175389">
        <w:rPr>
          <w:rFonts w:eastAsia="Times New Roman" w:cs="Arial"/>
          <w:color w:val="2F2F2F"/>
          <w:szCs w:val="24"/>
          <w:lang w:eastAsia="en-AU"/>
        </w:rPr>
        <w:t>More than 100 metres of steel offcuts were returned, with nearly 64 metres successfully recycled! This simple shift avoided an estimated 87 tonnes of carbon emissions; equivalent to a passenger vehicle driving more than 345,000 kilometres, reduced virgin steel use by 13.6 per cent and cut transport emissions by backloading the offcuts during deliveries.</w:t>
      </w:r>
    </w:p>
    <w:p w14:paraId="0175CFF5" w14:textId="0EA0555E" w:rsidR="007B7641" w:rsidRPr="00175389" w:rsidRDefault="007B7641" w:rsidP="007B7641">
      <w:pPr>
        <w:shd w:val="clear" w:color="auto" w:fill="FFFFFF"/>
        <w:rPr>
          <w:rFonts w:eastAsia="Times New Roman" w:cs="Arial"/>
          <w:color w:val="2F2F2F"/>
          <w:szCs w:val="24"/>
          <w:lang w:eastAsia="en-AU"/>
        </w:rPr>
      </w:pPr>
      <w:r w:rsidRPr="00175389">
        <w:rPr>
          <w:rFonts w:eastAsia="Times New Roman" w:cs="Arial"/>
          <w:color w:val="2F2F2F"/>
          <w:szCs w:val="24"/>
          <w:lang w:eastAsia="en-AU"/>
        </w:rPr>
        <w:t>This ground-breaking initiative demonstrates how rethinking traditional construction practices can drive meaningful change across the industry. By embracing circularity and collaborating with local suppliers, the project marked a change in how sustainability is integrated into transport infrastructure in Queensland. </w:t>
      </w:r>
    </w:p>
    <w:p w14:paraId="1FB794A4" w14:textId="35A6D349" w:rsidR="007B7641" w:rsidRPr="00175389" w:rsidRDefault="007B7641" w:rsidP="007B7641">
      <w:pPr>
        <w:shd w:val="clear" w:color="auto" w:fill="FFFFFF"/>
        <w:rPr>
          <w:rFonts w:eastAsia="Times New Roman" w:cs="Arial"/>
          <w:color w:val="2F2F2F"/>
          <w:szCs w:val="24"/>
          <w:lang w:eastAsia="en-AU"/>
        </w:rPr>
      </w:pPr>
      <w:r w:rsidRPr="00175389">
        <w:rPr>
          <w:rFonts w:eastAsia="Times New Roman" w:cs="Arial"/>
          <w:color w:val="2F2F2F"/>
          <w:szCs w:val="24"/>
          <w:lang w:eastAsia="en-AU"/>
        </w:rPr>
        <w:t>It also reflects the TMR project team’s commitment to innovation and collaboration. By fostering strong relationships with delivery partners and local industry, the team created an environment where sustainable solutions could thrive — transforming a simple idea into a measurable environmental outcome.</w:t>
      </w:r>
      <w:r w:rsidR="00D511FF">
        <w:rPr>
          <w:rFonts w:eastAsia="Times New Roman" w:cs="Arial"/>
          <w:color w:val="2F2F2F"/>
          <w:szCs w:val="24"/>
          <w:lang w:eastAsia="en-AU"/>
        </w:rPr>
        <w:t xml:space="preserve"> </w:t>
      </w:r>
      <w:r w:rsidRPr="00175389">
        <w:rPr>
          <w:rFonts w:eastAsia="Times New Roman" w:cs="Arial"/>
          <w:color w:val="2F2F2F"/>
          <w:szCs w:val="24"/>
          <w:lang w:eastAsia="en-AU"/>
        </w:rPr>
        <w:t> </w:t>
      </w:r>
    </w:p>
    <w:p w14:paraId="60CE189E" w14:textId="314CCA4B" w:rsidR="007B7641" w:rsidRPr="00175389" w:rsidRDefault="007B7641" w:rsidP="007B7641">
      <w:pPr>
        <w:shd w:val="clear" w:color="auto" w:fill="FFFFFF"/>
        <w:rPr>
          <w:rFonts w:eastAsia="Times New Roman" w:cs="Arial"/>
          <w:color w:val="2F2F2F"/>
          <w:szCs w:val="24"/>
          <w:lang w:eastAsia="en-AU"/>
        </w:rPr>
      </w:pPr>
      <w:r w:rsidRPr="00175389">
        <w:rPr>
          <w:rFonts w:eastAsia="Times New Roman" w:cs="Arial"/>
          <w:color w:val="2F2F2F"/>
          <w:szCs w:val="24"/>
          <w:lang w:eastAsia="en-AU"/>
        </w:rPr>
        <w:t xml:space="preserve">It also highlights a focus on delivering essential infrastructure that respects environmental values and supports long-term community outcomes. </w:t>
      </w:r>
      <w:r>
        <w:rPr>
          <w:rFonts w:eastAsia="Times New Roman"/>
          <w:color w:val="2F2F2F"/>
          <w:szCs w:val="24"/>
          <w:lang w:eastAsia="en-AU"/>
        </w:rPr>
        <w:t xml:space="preserve">Program Delivery and Operations </w:t>
      </w:r>
      <w:r w:rsidRPr="00175389">
        <w:rPr>
          <w:rFonts w:eastAsia="Times New Roman" w:cs="Arial"/>
          <w:color w:val="2F2F2F"/>
          <w:szCs w:val="24"/>
          <w:lang w:eastAsia="en-AU"/>
        </w:rPr>
        <w:t>projects are not just about where roads go, but about how we build them and the legacy we leave behind for communities now and in the future.</w:t>
      </w:r>
      <w:r w:rsidR="00D511FF">
        <w:rPr>
          <w:rFonts w:eastAsia="Times New Roman" w:cs="Arial"/>
          <w:color w:val="2F2F2F"/>
          <w:szCs w:val="24"/>
          <w:lang w:eastAsia="en-AU"/>
        </w:rPr>
        <w:t xml:space="preserve"> </w:t>
      </w:r>
      <w:r w:rsidRPr="00175389">
        <w:rPr>
          <w:rFonts w:eastAsia="Times New Roman" w:cs="Arial"/>
          <w:color w:val="2F2F2F"/>
          <w:szCs w:val="24"/>
          <w:lang w:eastAsia="en-AU"/>
        </w:rPr>
        <w:t> </w:t>
      </w:r>
    </w:p>
    <w:p w14:paraId="74B8AB42" w14:textId="7F90E07C" w:rsidR="007B7641" w:rsidRPr="004E10CD" w:rsidRDefault="007B7641" w:rsidP="00C31695">
      <w:pPr>
        <w:shd w:val="clear" w:color="auto" w:fill="FFFFFF"/>
        <w:rPr>
          <w:rFonts w:cs="Arial"/>
          <w:b/>
          <w:bCs/>
          <w:szCs w:val="24"/>
        </w:rPr>
      </w:pPr>
      <w:r w:rsidRPr="00175389">
        <w:rPr>
          <w:rFonts w:eastAsia="Times New Roman" w:cs="Arial"/>
          <w:color w:val="2F2F2F"/>
          <w:szCs w:val="24"/>
          <w:lang w:eastAsia="en-AU"/>
        </w:rPr>
        <w:lastRenderedPageBreak/>
        <w:t>That commitment hasn’t gone unnoticed. The initiative was recently featured in the </w:t>
      </w:r>
      <w:hyperlink r:id="rId32" w:history="1">
        <w:r w:rsidRPr="00175389">
          <w:rPr>
            <w:rFonts w:eastAsia="Times New Roman" w:cs="Arial"/>
            <w:i/>
            <w:iCs/>
            <w:color w:val="003C69"/>
            <w:szCs w:val="24"/>
            <w:u w:val="single"/>
            <w:lang w:eastAsia="en-AU"/>
          </w:rPr>
          <w:t>Civil Contractors Federation QLD Winter Magazine (June 2025), page 29</w:t>
        </w:r>
      </w:hyperlink>
      <w:hyperlink r:id="rId33" w:history="1">
        <w:r w:rsidRPr="00175389">
          <w:rPr>
            <w:rFonts w:eastAsia="Times New Roman" w:cs="Arial"/>
            <w:i/>
            <w:iCs/>
            <w:color w:val="003C69"/>
            <w:szCs w:val="24"/>
            <w:u w:val="single"/>
            <w:lang w:eastAsia="en-AU"/>
          </w:rPr>
          <w:t>,</w:t>
        </w:r>
      </w:hyperlink>
      <w:r w:rsidRPr="00175389">
        <w:rPr>
          <w:rFonts w:eastAsia="Times New Roman" w:cs="Arial"/>
          <w:color w:val="2F2F2F"/>
          <w:szCs w:val="24"/>
          <w:lang w:eastAsia="en-AU"/>
        </w:rPr>
        <w:t> shining a spotlight on what’s possible when innovation and sustainability are at the core of PDO project delivery. </w:t>
      </w:r>
    </w:p>
    <w:p w14:paraId="6B8F05B9" w14:textId="77777777" w:rsidR="007B7641" w:rsidRDefault="007B7641" w:rsidP="007B7641">
      <w:pPr>
        <w:pStyle w:val="BodyText"/>
        <w:jc w:val="center"/>
        <w:rPr>
          <w:rFonts w:ascii="Segoe UI Symbol" w:hAnsi="Segoe UI Symbol" w:cs="Segoe UI Symbol"/>
          <w:b/>
          <w:szCs w:val="24"/>
          <w:u w:val="single"/>
        </w:rPr>
      </w:pPr>
      <w:r w:rsidRPr="00785FDE">
        <w:rPr>
          <w:noProof/>
        </w:rPr>
        <w:drawing>
          <wp:inline distT="0" distB="0" distL="0" distR="0" wp14:anchorId="73F71776" wp14:editId="694BFC95">
            <wp:extent cx="4110316" cy="3082965"/>
            <wp:effectExtent l="0" t="0" r="5080" b="3175"/>
            <wp:docPr id="368081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25037" cy="3094007"/>
                    </a:xfrm>
                    <a:prstGeom prst="rect">
                      <a:avLst/>
                    </a:prstGeom>
                    <a:noFill/>
                    <a:ln>
                      <a:noFill/>
                    </a:ln>
                  </pic:spPr>
                </pic:pic>
              </a:graphicData>
            </a:graphic>
          </wp:inline>
        </w:drawing>
      </w:r>
    </w:p>
    <w:p w14:paraId="68DB890F" w14:textId="77777777" w:rsidR="007B7641" w:rsidRDefault="007B7641" w:rsidP="007B7641">
      <w:pPr>
        <w:pStyle w:val="BodyText"/>
        <w:jc w:val="center"/>
        <w:rPr>
          <w:rFonts w:ascii="Segoe UI Symbol" w:hAnsi="Segoe UI Symbol" w:cs="Segoe UI Symbol"/>
          <w:b/>
          <w:szCs w:val="24"/>
          <w:u w:val="single"/>
        </w:rPr>
      </w:pPr>
      <w:r w:rsidRPr="003A2B93">
        <w:rPr>
          <w:i/>
          <w:iCs/>
          <w:sz w:val="16"/>
          <w:szCs w:val="16"/>
        </w:rPr>
        <w:t>Image</w:t>
      </w:r>
      <w:r>
        <w:rPr>
          <w:i/>
          <w:iCs/>
          <w:sz w:val="16"/>
          <w:szCs w:val="16"/>
        </w:rPr>
        <w:t xml:space="preserve"> 1:</w:t>
      </w:r>
      <w:r w:rsidRPr="003A2B93">
        <w:rPr>
          <w:i/>
          <w:iCs/>
          <w:sz w:val="16"/>
          <w:szCs w:val="16"/>
        </w:rPr>
        <w:t xml:space="preserve"> </w:t>
      </w:r>
      <w:r w:rsidRPr="00BD5ACF">
        <w:rPr>
          <w:i/>
          <w:iCs/>
          <w:sz w:val="16"/>
          <w:szCs w:val="16"/>
        </w:rPr>
        <w:t>Piling underway on a southbound bridge.</w:t>
      </w:r>
      <w:r>
        <w:rPr>
          <w:i/>
          <w:iCs/>
          <w:sz w:val="16"/>
          <w:szCs w:val="16"/>
        </w:rPr>
        <w:t xml:space="preserve"> Source: © </w:t>
      </w:r>
      <w:r w:rsidRPr="00BD5ACF">
        <w:rPr>
          <w:i/>
          <w:iCs/>
          <w:sz w:val="16"/>
          <w:szCs w:val="16"/>
        </w:rPr>
        <w:t>Fulton Hogan</w:t>
      </w:r>
      <w:r>
        <w:rPr>
          <w:i/>
          <w:iCs/>
          <w:sz w:val="16"/>
          <w:szCs w:val="16"/>
        </w:rPr>
        <w:t>.</w:t>
      </w:r>
    </w:p>
    <w:p w14:paraId="4925F238" w14:textId="77777777" w:rsidR="007B7641" w:rsidRDefault="007B7641" w:rsidP="007B7641">
      <w:pPr>
        <w:pStyle w:val="BodyText"/>
        <w:jc w:val="center"/>
        <w:rPr>
          <w:rFonts w:ascii="Segoe UI Symbol" w:hAnsi="Segoe UI Symbol" w:cs="Segoe UI Symbol"/>
          <w:b/>
          <w:szCs w:val="24"/>
          <w:u w:val="single"/>
        </w:rPr>
      </w:pPr>
      <w:r w:rsidRPr="00785FDE">
        <w:rPr>
          <w:noProof/>
        </w:rPr>
        <w:drawing>
          <wp:inline distT="0" distB="0" distL="0" distR="0" wp14:anchorId="2325BD91" wp14:editId="79E62A8E">
            <wp:extent cx="4210008" cy="3157740"/>
            <wp:effectExtent l="0" t="0" r="635" b="5080"/>
            <wp:docPr id="1394596635" name="Picture 2" descr="A group of pipes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95344" name="Picture 2" descr="A group of pipes in a field&#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30873" cy="3173390"/>
                    </a:xfrm>
                    <a:prstGeom prst="rect">
                      <a:avLst/>
                    </a:prstGeom>
                    <a:noFill/>
                    <a:ln>
                      <a:noFill/>
                    </a:ln>
                  </pic:spPr>
                </pic:pic>
              </a:graphicData>
            </a:graphic>
          </wp:inline>
        </w:drawing>
      </w:r>
    </w:p>
    <w:p w14:paraId="43935B19" w14:textId="77777777" w:rsidR="00A85E38" w:rsidRDefault="007B7641" w:rsidP="00A85E38">
      <w:pPr>
        <w:spacing w:before="0" w:after="0" w:line="240" w:lineRule="auto"/>
        <w:jc w:val="center"/>
        <w:rPr>
          <w:i/>
          <w:iCs/>
          <w:sz w:val="16"/>
          <w:szCs w:val="16"/>
        </w:rPr>
      </w:pPr>
      <w:r w:rsidRPr="003A2B93">
        <w:rPr>
          <w:i/>
          <w:iCs/>
          <w:sz w:val="16"/>
          <w:szCs w:val="16"/>
        </w:rPr>
        <w:t>Image</w:t>
      </w:r>
      <w:r>
        <w:rPr>
          <w:i/>
          <w:iCs/>
          <w:sz w:val="16"/>
          <w:szCs w:val="16"/>
        </w:rPr>
        <w:t xml:space="preserve"> 2:</w:t>
      </w:r>
      <w:r w:rsidRPr="003A2B93">
        <w:rPr>
          <w:i/>
          <w:iCs/>
          <w:sz w:val="16"/>
          <w:szCs w:val="16"/>
        </w:rPr>
        <w:t xml:space="preserve"> </w:t>
      </w:r>
      <w:r w:rsidRPr="00BD5ACF">
        <w:rPr>
          <w:i/>
          <w:iCs/>
          <w:sz w:val="16"/>
          <w:szCs w:val="16"/>
        </w:rPr>
        <w:t>Salvaged offcuts were splic</w:t>
      </w:r>
      <w:r>
        <w:rPr>
          <w:i/>
          <w:iCs/>
          <w:sz w:val="16"/>
          <w:szCs w:val="16"/>
        </w:rPr>
        <w:t>ed</w:t>
      </w:r>
      <w:r w:rsidRPr="00BD5ACF">
        <w:rPr>
          <w:i/>
          <w:iCs/>
          <w:sz w:val="16"/>
          <w:szCs w:val="16"/>
        </w:rPr>
        <w:t xml:space="preserve"> together into complete liners for use on the northbound bridges</w:t>
      </w:r>
      <w:r>
        <w:rPr>
          <w:i/>
          <w:iCs/>
          <w:sz w:val="16"/>
          <w:szCs w:val="16"/>
        </w:rPr>
        <w:t>.</w:t>
      </w:r>
      <w:r w:rsidR="00DF4B4B">
        <w:rPr>
          <w:i/>
          <w:iCs/>
          <w:sz w:val="16"/>
          <w:szCs w:val="16"/>
        </w:rPr>
        <w:t xml:space="preserve"> </w:t>
      </w:r>
    </w:p>
    <w:p w14:paraId="1A0CBDE5" w14:textId="6FD11805" w:rsidR="007B7641" w:rsidRDefault="007B7641" w:rsidP="00A85E38">
      <w:pPr>
        <w:spacing w:before="0" w:after="0" w:line="240" w:lineRule="auto"/>
        <w:jc w:val="center"/>
        <w:rPr>
          <w:i/>
          <w:iCs/>
          <w:sz w:val="16"/>
          <w:szCs w:val="16"/>
        </w:rPr>
      </w:pPr>
      <w:r>
        <w:rPr>
          <w:i/>
          <w:iCs/>
          <w:sz w:val="16"/>
          <w:szCs w:val="16"/>
        </w:rPr>
        <w:t xml:space="preserve">Source: © </w:t>
      </w:r>
      <w:r w:rsidRPr="00BD5ACF">
        <w:rPr>
          <w:i/>
          <w:iCs/>
          <w:sz w:val="16"/>
          <w:szCs w:val="16"/>
        </w:rPr>
        <w:t>Fulton Hogan</w:t>
      </w:r>
      <w:r>
        <w:rPr>
          <w:i/>
          <w:iCs/>
          <w:sz w:val="16"/>
          <w:szCs w:val="16"/>
        </w:rPr>
        <w:t>.</w:t>
      </w:r>
    </w:p>
    <w:p w14:paraId="0A1386EB" w14:textId="561FD088" w:rsidR="00EB1057" w:rsidRDefault="00E04D4A" w:rsidP="001706C1">
      <w:pPr>
        <w:pStyle w:val="BodyText"/>
        <w:rPr>
          <w:rFonts w:eastAsiaTheme="majorEastAsia" w:cstheme="majorBidi"/>
          <w:color w:val="003E69"/>
          <w:sz w:val="60"/>
          <w:szCs w:val="36"/>
        </w:rPr>
      </w:pPr>
      <w:bookmarkStart w:id="17" w:name="_Toc145592671"/>
      <w:bookmarkStart w:id="18" w:name="_Toc179466377"/>
      <w:bookmarkStart w:id="19" w:name="_Toc207978346"/>
      <w:r>
        <w:rPr>
          <w:noProof/>
        </w:rPr>
        <w:t xml:space="preserve">    </w:t>
      </w:r>
      <w:r>
        <w:rPr>
          <w:sz w:val="32"/>
          <w:szCs w:val="32"/>
        </w:rPr>
        <w:t xml:space="preserve">             </w:t>
      </w:r>
    </w:p>
    <w:p w14:paraId="23FC3A43" w14:textId="442CE9D6" w:rsidR="00DE4F4E" w:rsidRDefault="00DE4F4E" w:rsidP="00DE4F4E">
      <w:pPr>
        <w:pStyle w:val="Heading1"/>
      </w:pPr>
      <w:r>
        <w:lastRenderedPageBreak/>
        <w:t>Using recycled materials</w:t>
      </w:r>
      <w:bookmarkEnd w:id="17"/>
      <w:bookmarkEnd w:id="18"/>
      <w:bookmarkEnd w:id="19"/>
    </w:p>
    <w:p w14:paraId="5A6C3858" w14:textId="77777777" w:rsidR="00DE4F4E" w:rsidRDefault="00DE4F4E" w:rsidP="00DE4F4E">
      <w:r>
        <w:t xml:space="preserve">In addition to collecting information on the destination of wastes that are generated, TMR collects information on the recycled materials used to construct infrastructure. TMR prefers to use recycled materials on transport infrastructure projects, and this is discussed more in the ‘W2R Strategy Implementation’ section. </w:t>
      </w:r>
    </w:p>
    <w:p w14:paraId="04BA71D9" w14:textId="4D2B1199" w:rsidR="00DE4F4E" w:rsidRPr="00DE4F4E" w:rsidRDefault="00DE4F4E" w:rsidP="00DE4F4E">
      <w:pPr>
        <w:rPr>
          <w:highlight w:val="yellow"/>
        </w:rPr>
      </w:pPr>
      <w:r w:rsidRPr="00BB669D">
        <w:t>There was a significant increase in the amount of recycled material reported as used in 202</w:t>
      </w:r>
      <w:r w:rsidR="00BB669D" w:rsidRPr="00BB669D">
        <w:t>4</w:t>
      </w:r>
      <w:r w:rsidRPr="00BB669D">
        <w:t>–202</w:t>
      </w:r>
      <w:r w:rsidR="00BB669D" w:rsidRPr="00BB669D">
        <w:t>5</w:t>
      </w:r>
      <w:r w:rsidR="002E73E8">
        <w:t xml:space="preserve"> (approximately 403,000 tonnes) compared to 2023-2024 (approximately 164,000 tonnes)</w:t>
      </w:r>
      <w:r w:rsidR="001E2214">
        <w:t xml:space="preserve"> however this was </w:t>
      </w:r>
      <w:proofErr w:type="spellStart"/>
      <w:r w:rsidR="002E73E8">
        <w:t>soley</w:t>
      </w:r>
      <w:proofErr w:type="spellEnd"/>
      <w:r w:rsidR="002E73E8">
        <w:t xml:space="preserve"> </w:t>
      </w:r>
      <w:r w:rsidR="001E2214">
        <w:t xml:space="preserve">due to </w:t>
      </w:r>
      <w:r w:rsidR="002E73E8">
        <w:t xml:space="preserve">the increased use of </w:t>
      </w:r>
      <w:proofErr w:type="spellStart"/>
      <w:r w:rsidR="002E73E8">
        <w:t>insitu</w:t>
      </w:r>
      <w:proofErr w:type="spellEnd"/>
      <w:r w:rsidR="002E73E8">
        <w:t xml:space="preserve"> material in 2024-2025</w:t>
      </w:r>
      <w:r w:rsidRPr="00BB669D">
        <w:t>.</w:t>
      </w:r>
      <w:r w:rsidR="002E73E8">
        <w:t xml:space="preserve"> If </w:t>
      </w:r>
      <w:proofErr w:type="spellStart"/>
      <w:r w:rsidR="002E73E8">
        <w:t>insitu</w:t>
      </w:r>
      <w:proofErr w:type="spellEnd"/>
      <w:r w:rsidR="002E73E8">
        <w:t xml:space="preserve"> material is excluded from the </w:t>
      </w:r>
      <w:proofErr w:type="gramStart"/>
      <w:r w:rsidR="002E73E8">
        <w:t>analysis</w:t>
      </w:r>
      <w:proofErr w:type="gramEnd"/>
      <w:r w:rsidR="002E73E8">
        <w:t xml:space="preserve"> then there was less recycled material reported as used in 2024-2025 (approximately 85,000 tonnes) compared to 2023-2024 (approximately 135,000 tonnes). </w:t>
      </w:r>
    </w:p>
    <w:p w14:paraId="1A8A3998" w14:textId="347559DF" w:rsidR="00DE4F4E" w:rsidRDefault="00DE4F4E" w:rsidP="00DE4F4E">
      <w:r w:rsidRPr="007F0E6D">
        <w:t xml:space="preserve">The use of recycled materials is more common in South-east Queensland due to the concentration of recycled material suppliers. In-situ materials, or materials already available on site, </w:t>
      </w:r>
      <w:r w:rsidR="007F0E6D" w:rsidRPr="007F0E6D">
        <w:t xml:space="preserve">recovered pavement material </w:t>
      </w:r>
      <w:r w:rsidRPr="007F0E6D">
        <w:t>and reclaimed asphalt, are the most used recycled materials in 202</w:t>
      </w:r>
      <w:r w:rsidR="007F0E6D" w:rsidRPr="007F0E6D">
        <w:t>4</w:t>
      </w:r>
      <w:r w:rsidRPr="007F0E6D">
        <w:t>–202</w:t>
      </w:r>
      <w:r w:rsidR="007F0E6D" w:rsidRPr="007F0E6D">
        <w:t>5</w:t>
      </w:r>
      <w:r w:rsidRPr="007F0E6D">
        <w:t xml:space="preserve">. The North Coast Region </w:t>
      </w:r>
      <w:r w:rsidR="007F0E6D" w:rsidRPr="007F0E6D">
        <w:t xml:space="preserve">continues to </w:t>
      </w:r>
      <w:r w:rsidRPr="007F0E6D">
        <w:t>report the highest use of recycled materials</w:t>
      </w:r>
      <w:r w:rsidR="007F0E6D" w:rsidRPr="007F0E6D">
        <w:t xml:space="preserve"> in 2024-2025, as compared to 2023-2024,</w:t>
      </w:r>
      <w:r w:rsidRPr="007F0E6D">
        <w:t xml:space="preserve"> which was mostly </w:t>
      </w:r>
      <w:proofErr w:type="spellStart"/>
      <w:r w:rsidR="007F0E6D" w:rsidRPr="007F0E6D">
        <w:t>insitu</w:t>
      </w:r>
      <w:proofErr w:type="spellEnd"/>
      <w:r w:rsidR="007F0E6D" w:rsidRPr="007F0E6D">
        <w:t xml:space="preserve"> material</w:t>
      </w:r>
      <w:r w:rsidRPr="007F0E6D">
        <w:t xml:space="preserve"> (approximately </w:t>
      </w:r>
      <w:r w:rsidR="007F0E6D" w:rsidRPr="007F0E6D">
        <w:t>250</w:t>
      </w:r>
      <w:r w:rsidRPr="007F0E6D">
        <w:t>,000 tonnes).</w:t>
      </w:r>
    </w:p>
    <w:p w14:paraId="1B30DD83" w14:textId="6420BBBE" w:rsidR="00DE4F4E" w:rsidRDefault="00D676F7" w:rsidP="00DE4F4E">
      <w:r>
        <w:rPr>
          <w:noProof/>
        </w:rPr>
        <w:drawing>
          <wp:inline distT="0" distB="0" distL="0" distR="0" wp14:anchorId="56CF5425" wp14:editId="428F1648">
            <wp:extent cx="5486400" cy="3200400"/>
            <wp:effectExtent l="0" t="0" r="0" b="0"/>
            <wp:docPr id="165609221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3D0F9FA" w14:textId="152759E7" w:rsidR="00DE4F4E" w:rsidRDefault="00DE4F4E" w:rsidP="00DE4F4E">
      <w:pPr>
        <w:pStyle w:val="Caption"/>
      </w:pPr>
      <w:r w:rsidRPr="00CF7F2E">
        <w:t xml:space="preserve">Figure </w:t>
      </w:r>
      <w:r w:rsidRPr="00CF7F2E">
        <w:fldChar w:fldCharType="begin"/>
      </w:r>
      <w:r w:rsidRPr="00CF7F2E">
        <w:instrText xml:space="preserve"> SEQ Figure \* ARABIC </w:instrText>
      </w:r>
      <w:r w:rsidRPr="00CF7F2E">
        <w:fldChar w:fldCharType="separate"/>
      </w:r>
      <w:r w:rsidR="00E773B5">
        <w:rPr>
          <w:noProof/>
        </w:rPr>
        <w:t>11</w:t>
      </w:r>
      <w:r w:rsidRPr="00CF7F2E">
        <w:fldChar w:fldCharType="end"/>
      </w:r>
      <w:r w:rsidRPr="00CF7F2E">
        <w:t>: Annual recycled material use</w:t>
      </w:r>
      <w:r>
        <w:t>.</w:t>
      </w:r>
    </w:p>
    <w:p w14:paraId="15A4794D" w14:textId="66A49651" w:rsidR="00DE4F4E" w:rsidRDefault="00D676F7" w:rsidP="00DE4F4E">
      <w:r>
        <w:rPr>
          <w:noProof/>
        </w:rPr>
        <w:lastRenderedPageBreak/>
        <w:drawing>
          <wp:inline distT="0" distB="0" distL="0" distR="0" wp14:anchorId="53278F92" wp14:editId="260348F7">
            <wp:extent cx="5486400" cy="3200400"/>
            <wp:effectExtent l="0" t="0" r="0" b="0"/>
            <wp:docPr id="49909330"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2DF2795" w14:textId="24E9DEC8" w:rsidR="00DE4F4E" w:rsidRDefault="00DE4F4E" w:rsidP="00DE4F4E">
      <w:pPr>
        <w:pStyle w:val="Caption"/>
        <w:keepLines/>
      </w:pPr>
      <w:r>
        <w:t xml:space="preserve">Figure </w:t>
      </w:r>
      <w:r>
        <w:fldChar w:fldCharType="begin"/>
      </w:r>
      <w:r>
        <w:instrText xml:space="preserve"> SEQ Figure \* ARABIC </w:instrText>
      </w:r>
      <w:r>
        <w:fldChar w:fldCharType="separate"/>
      </w:r>
      <w:r w:rsidR="00E773B5">
        <w:rPr>
          <w:noProof/>
        </w:rPr>
        <w:t>12</w:t>
      </w:r>
      <w:r>
        <w:rPr>
          <w:noProof/>
        </w:rPr>
        <w:fldChar w:fldCharType="end"/>
      </w:r>
      <w:r w:rsidRPr="00A653A9">
        <w:t>: Recycled materials used.</w:t>
      </w:r>
    </w:p>
    <w:p w14:paraId="47746F8A" w14:textId="2914C252" w:rsidR="00DE4F4E" w:rsidRDefault="00D676F7" w:rsidP="00DE4F4E">
      <w:r>
        <w:rPr>
          <w:noProof/>
        </w:rPr>
        <w:drawing>
          <wp:inline distT="0" distB="0" distL="0" distR="0" wp14:anchorId="1C6F9144" wp14:editId="61F138D7">
            <wp:extent cx="5486400" cy="3200400"/>
            <wp:effectExtent l="0" t="0" r="0" b="0"/>
            <wp:docPr id="116713781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EDF0A55" w14:textId="1E283C3D" w:rsidR="00DE4F4E" w:rsidRDefault="00DE4F4E" w:rsidP="00D676F7">
      <w:pPr>
        <w:pStyle w:val="Caption"/>
      </w:pPr>
      <w:r>
        <w:t xml:space="preserve">Figure </w:t>
      </w:r>
      <w:r>
        <w:fldChar w:fldCharType="begin"/>
      </w:r>
      <w:r>
        <w:instrText xml:space="preserve"> SEQ Figure \* ARABIC </w:instrText>
      </w:r>
      <w:r>
        <w:fldChar w:fldCharType="separate"/>
      </w:r>
      <w:r w:rsidR="00E773B5">
        <w:rPr>
          <w:noProof/>
        </w:rPr>
        <w:t>13</w:t>
      </w:r>
      <w:r>
        <w:rPr>
          <w:noProof/>
        </w:rPr>
        <w:fldChar w:fldCharType="end"/>
      </w:r>
      <w:r w:rsidRPr="00A653A9">
        <w:t>: Recycled materials for location.</w:t>
      </w:r>
    </w:p>
    <w:p w14:paraId="2C980598" w14:textId="77777777" w:rsidR="00D676F7" w:rsidRDefault="00D676F7">
      <w:pPr>
        <w:suppressAutoHyphens w:val="0"/>
        <w:spacing w:before="0" w:after="160" w:line="259" w:lineRule="auto"/>
        <w:rPr>
          <w:rFonts w:eastAsiaTheme="majorEastAsia" w:cstheme="majorBidi"/>
          <w:color w:val="003E69"/>
          <w:sz w:val="60"/>
          <w:szCs w:val="36"/>
        </w:rPr>
      </w:pPr>
      <w:bookmarkStart w:id="20" w:name="_Toc145588826"/>
      <w:bookmarkStart w:id="21" w:name="_Toc145592674"/>
      <w:bookmarkStart w:id="22" w:name="_Toc179466378"/>
      <w:r>
        <w:br w:type="page"/>
      </w:r>
    </w:p>
    <w:p w14:paraId="2521DEBB" w14:textId="2AD79C68" w:rsidR="000219A9" w:rsidRDefault="000219A9" w:rsidP="000219A9">
      <w:pPr>
        <w:pStyle w:val="Heading1"/>
      </w:pPr>
      <w:bookmarkStart w:id="23" w:name="_Toc207978347"/>
      <w:r>
        <w:lastRenderedPageBreak/>
        <w:t>W2R Strategy implementation</w:t>
      </w:r>
      <w:bookmarkEnd w:id="20"/>
      <w:bookmarkEnd w:id="21"/>
      <w:bookmarkEnd w:id="22"/>
      <w:bookmarkEnd w:id="23"/>
    </w:p>
    <w:p w14:paraId="1F6A6721" w14:textId="5BBA00AC" w:rsidR="000219A9" w:rsidRPr="00C22657" w:rsidRDefault="000219A9" w:rsidP="000219A9">
      <w:pPr>
        <w:rPr>
          <w:szCs w:val="24"/>
        </w:rPr>
      </w:pPr>
      <w:r w:rsidRPr="00C22657">
        <w:rPr>
          <w:szCs w:val="24"/>
        </w:rPr>
        <w:t xml:space="preserve">TMR's current </w:t>
      </w:r>
      <w:r w:rsidRPr="00C22657">
        <w:rPr>
          <w:i/>
          <w:iCs/>
          <w:szCs w:val="24"/>
        </w:rPr>
        <w:t>Waste Reduction and Recycling Plan</w:t>
      </w:r>
      <w:r w:rsidRPr="00C22657">
        <w:rPr>
          <w:szCs w:val="24"/>
        </w:rPr>
        <w:t xml:space="preserve">, the </w:t>
      </w:r>
      <w:r w:rsidRPr="00C22657">
        <w:rPr>
          <w:i/>
          <w:iCs/>
          <w:szCs w:val="24"/>
        </w:rPr>
        <w:t>Waste 2 Resource (W2R) Strategy</w:t>
      </w:r>
      <w:r w:rsidRPr="00C22657">
        <w:rPr>
          <w:szCs w:val="24"/>
        </w:rPr>
        <w:t>, was published in 2022 and sets out the strategy for TMR to reduce waste and monitor waste generation and diversion from landfill. Previous actions to support the strategy include</w:t>
      </w:r>
      <w:r>
        <w:rPr>
          <w:szCs w:val="24"/>
        </w:rPr>
        <w:t>d</w:t>
      </w:r>
      <w:r w:rsidRPr="00C22657">
        <w:rPr>
          <w:szCs w:val="24"/>
        </w:rPr>
        <w:t xml:space="preserve"> the publication of the TMR </w:t>
      </w:r>
      <w:r w:rsidR="00695BB5">
        <w:rPr>
          <w:szCs w:val="24"/>
        </w:rPr>
        <w:t>W2R</w:t>
      </w:r>
      <w:r w:rsidRPr="00C22657">
        <w:rPr>
          <w:szCs w:val="24"/>
        </w:rPr>
        <w:t xml:space="preserve"> calculator, and a requirement for tenderers on transport infrastructure contracts to submit the Tender Schedule S12 - </w:t>
      </w:r>
      <w:r w:rsidRPr="00C22657">
        <w:rPr>
          <w:i/>
          <w:iCs/>
          <w:szCs w:val="24"/>
        </w:rPr>
        <w:t>Waste to Resource Plan</w:t>
      </w:r>
      <w:r w:rsidRPr="00C22657">
        <w:rPr>
          <w:szCs w:val="24"/>
        </w:rPr>
        <w:t>.</w:t>
      </w:r>
    </w:p>
    <w:p w14:paraId="081E49AA" w14:textId="0AA50C9D" w:rsidR="007F0E6D" w:rsidRDefault="007F0E6D" w:rsidP="000219A9">
      <w:pPr>
        <w:rPr>
          <w:szCs w:val="24"/>
        </w:rPr>
      </w:pPr>
      <w:r w:rsidRPr="007F0E6D">
        <w:rPr>
          <w:szCs w:val="24"/>
        </w:rPr>
        <w:t xml:space="preserve">TMR had no specific actions </w:t>
      </w:r>
      <w:r w:rsidR="000219A9" w:rsidRPr="007F0E6D">
        <w:rPr>
          <w:szCs w:val="24"/>
        </w:rPr>
        <w:t>during 202</w:t>
      </w:r>
      <w:r w:rsidRPr="007F0E6D">
        <w:rPr>
          <w:szCs w:val="24"/>
        </w:rPr>
        <w:t>4</w:t>
      </w:r>
      <w:r w:rsidR="000219A9" w:rsidRPr="007F0E6D">
        <w:rPr>
          <w:szCs w:val="24"/>
        </w:rPr>
        <w:t>–202</w:t>
      </w:r>
      <w:r w:rsidRPr="007F0E6D">
        <w:rPr>
          <w:szCs w:val="24"/>
        </w:rPr>
        <w:t>5</w:t>
      </w:r>
      <w:r w:rsidR="000219A9" w:rsidRPr="007F0E6D">
        <w:rPr>
          <w:szCs w:val="24"/>
        </w:rPr>
        <w:t xml:space="preserve"> </w:t>
      </w:r>
      <w:r w:rsidRPr="007F0E6D">
        <w:rPr>
          <w:szCs w:val="24"/>
        </w:rPr>
        <w:t>in relation to diversion targets</w:t>
      </w:r>
      <w:r>
        <w:rPr>
          <w:szCs w:val="24"/>
        </w:rPr>
        <w:t xml:space="preserve"> and currently has no specific actions or targets relating to the use of recycled materials</w:t>
      </w:r>
      <w:r w:rsidRPr="007F0E6D">
        <w:rPr>
          <w:szCs w:val="24"/>
        </w:rPr>
        <w:t xml:space="preserve">. </w:t>
      </w:r>
    </w:p>
    <w:p w14:paraId="5003237F" w14:textId="2D2DDAFE" w:rsidR="000219A9" w:rsidRPr="000219A9" w:rsidRDefault="000219A9" w:rsidP="000219A9">
      <w:pPr>
        <w:rPr>
          <w:szCs w:val="24"/>
          <w:highlight w:val="yellow"/>
        </w:rPr>
      </w:pPr>
      <w:r w:rsidRPr="007F0E6D">
        <w:rPr>
          <w:szCs w:val="24"/>
        </w:rPr>
        <w:t xml:space="preserve">Consistent with previous years, the main source of waste </w:t>
      </w:r>
      <w:r w:rsidR="007F0E6D" w:rsidRPr="007F0E6D">
        <w:rPr>
          <w:szCs w:val="24"/>
        </w:rPr>
        <w:t xml:space="preserve">in 2024-2025 </w:t>
      </w:r>
      <w:r w:rsidRPr="007F0E6D">
        <w:rPr>
          <w:szCs w:val="24"/>
        </w:rPr>
        <w:t xml:space="preserve">was from infrastructure projects. </w:t>
      </w:r>
      <w:r w:rsidRPr="001D579F">
        <w:rPr>
          <w:szCs w:val="24"/>
        </w:rPr>
        <w:t xml:space="preserve">There has been ongoing work to improve the completeness of contract waste reporting, and this is reflected in the count of contracts contributing to the annual report (see </w:t>
      </w:r>
      <w:r w:rsidR="007F0E6D" w:rsidRPr="001D579F">
        <w:rPr>
          <w:szCs w:val="24"/>
        </w:rPr>
        <w:fldChar w:fldCharType="begin"/>
      </w:r>
      <w:r w:rsidR="007F0E6D" w:rsidRPr="001D579F">
        <w:rPr>
          <w:szCs w:val="24"/>
        </w:rPr>
        <w:instrText xml:space="preserve"> REF _Ref178062233 \h </w:instrText>
      </w:r>
      <w:r w:rsidR="001D579F">
        <w:rPr>
          <w:szCs w:val="24"/>
        </w:rPr>
        <w:instrText xml:space="preserve"> \* MERGEFORMAT </w:instrText>
      </w:r>
      <w:r w:rsidR="007F0E6D" w:rsidRPr="001D579F">
        <w:rPr>
          <w:szCs w:val="24"/>
        </w:rPr>
      </w:r>
      <w:r w:rsidR="007F0E6D" w:rsidRPr="001D579F">
        <w:rPr>
          <w:szCs w:val="24"/>
        </w:rPr>
        <w:fldChar w:fldCharType="separate"/>
      </w:r>
      <w:r w:rsidR="007F0E6D" w:rsidRPr="001D579F">
        <w:t xml:space="preserve">Figure </w:t>
      </w:r>
      <w:r w:rsidR="007F0E6D" w:rsidRPr="001D579F">
        <w:rPr>
          <w:noProof/>
        </w:rPr>
        <w:t>15</w:t>
      </w:r>
      <w:r w:rsidR="007F0E6D" w:rsidRPr="001D579F">
        <w:rPr>
          <w:szCs w:val="24"/>
        </w:rPr>
        <w:fldChar w:fldCharType="end"/>
      </w:r>
      <w:r w:rsidRPr="001D579F">
        <w:rPr>
          <w:szCs w:val="24"/>
        </w:rPr>
        <w:t xml:space="preserve">). An analysis of the contracts that have submitted contract waste data by the financial year that the contract reached practical completion shows there is still a large gap in the data to be addressed (see </w:t>
      </w:r>
      <w:r w:rsidR="001D579F" w:rsidRPr="001D579F">
        <w:rPr>
          <w:szCs w:val="24"/>
        </w:rPr>
        <w:fldChar w:fldCharType="begin"/>
      </w:r>
      <w:r w:rsidR="001D579F" w:rsidRPr="001D579F">
        <w:rPr>
          <w:szCs w:val="24"/>
        </w:rPr>
        <w:instrText xml:space="preserve"> REF _Ref178062187 \h </w:instrText>
      </w:r>
      <w:r w:rsidR="001D579F">
        <w:rPr>
          <w:szCs w:val="24"/>
        </w:rPr>
        <w:instrText xml:space="preserve"> \* MERGEFORMAT </w:instrText>
      </w:r>
      <w:r w:rsidR="001D579F" w:rsidRPr="001D579F">
        <w:rPr>
          <w:szCs w:val="24"/>
        </w:rPr>
      </w:r>
      <w:r w:rsidR="001D579F" w:rsidRPr="001D579F">
        <w:rPr>
          <w:szCs w:val="24"/>
        </w:rPr>
        <w:fldChar w:fldCharType="separate"/>
      </w:r>
      <w:r w:rsidR="001D579F" w:rsidRPr="001D579F">
        <w:t xml:space="preserve">Figure </w:t>
      </w:r>
      <w:r w:rsidR="001D579F" w:rsidRPr="001D579F">
        <w:rPr>
          <w:noProof/>
        </w:rPr>
        <w:t>16</w:t>
      </w:r>
      <w:r w:rsidR="001D579F" w:rsidRPr="001D579F">
        <w:rPr>
          <w:szCs w:val="24"/>
        </w:rPr>
        <w:fldChar w:fldCharType="end"/>
      </w:r>
      <w:r w:rsidRPr="001D579F">
        <w:rPr>
          <w:szCs w:val="24"/>
        </w:rPr>
        <w:t xml:space="preserve">). Only </w:t>
      </w:r>
      <w:r w:rsidR="001D579F" w:rsidRPr="001D579F">
        <w:rPr>
          <w:szCs w:val="24"/>
        </w:rPr>
        <w:t>41</w:t>
      </w:r>
      <w:r w:rsidRPr="001D579F">
        <w:rPr>
          <w:szCs w:val="24"/>
        </w:rPr>
        <w:t xml:space="preserve"> per cent of contracts that reached practical completion in the current reporting period have submitted waste data.</w:t>
      </w:r>
    </w:p>
    <w:p w14:paraId="2375960E" w14:textId="3F75B8B4" w:rsidR="000219A9" w:rsidRDefault="001D579F" w:rsidP="000219A9">
      <w:pPr>
        <w:rPr>
          <w:szCs w:val="24"/>
        </w:rPr>
      </w:pPr>
      <w:r w:rsidRPr="004E7E9C">
        <w:rPr>
          <w:szCs w:val="24"/>
        </w:rPr>
        <w:t>There was an increase to the total waste</w:t>
      </w:r>
      <w:r w:rsidR="000219A9" w:rsidRPr="004E7E9C">
        <w:rPr>
          <w:szCs w:val="24"/>
        </w:rPr>
        <w:t xml:space="preserve"> generated from TMR facilities in 202</w:t>
      </w:r>
      <w:r w:rsidRPr="004E7E9C">
        <w:rPr>
          <w:szCs w:val="24"/>
        </w:rPr>
        <w:t>4</w:t>
      </w:r>
      <w:r w:rsidR="000219A9" w:rsidRPr="004E7E9C">
        <w:rPr>
          <w:szCs w:val="24"/>
        </w:rPr>
        <w:t>–202</w:t>
      </w:r>
      <w:r w:rsidRPr="004E7E9C">
        <w:rPr>
          <w:szCs w:val="24"/>
        </w:rPr>
        <w:t>5</w:t>
      </w:r>
      <w:r w:rsidR="000219A9" w:rsidRPr="004E7E9C">
        <w:rPr>
          <w:szCs w:val="24"/>
        </w:rPr>
        <w:t xml:space="preserve"> </w:t>
      </w:r>
      <w:r w:rsidRPr="004E7E9C">
        <w:rPr>
          <w:szCs w:val="24"/>
        </w:rPr>
        <w:t xml:space="preserve">compared to previous years due to the addition of calculated values for locations without specific data. </w:t>
      </w:r>
      <w:r w:rsidR="000219A9" w:rsidRPr="004E7E9C">
        <w:rPr>
          <w:szCs w:val="24"/>
        </w:rPr>
        <w:t xml:space="preserve"> </w:t>
      </w:r>
    </w:p>
    <w:p w14:paraId="4E942A26" w14:textId="324620BC" w:rsidR="000219A9" w:rsidRDefault="006D20F1" w:rsidP="00DE4F4E">
      <w:r>
        <w:rPr>
          <w:noProof/>
        </w:rPr>
        <w:drawing>
          <wp:inline distT="0" distB="0" distL="0" distR="0" wp14:anchorId="4762ABFB" wp14:editId="1F2B43CF">
            <wp:extent cx="5486400" cy="3200400"/>
            <wp:effectExtent l="0" t="0" r="0" b="0"/>
            <wp:docPr id="910030510"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266B2D2" w14:textId="4CE9CF97" w:rsidR="000219A9" w:rsidRDefault="000219A9" w:rsidP="000219A9">
      <w:pPr>
        <w:pStyle w:val="Caption"/>
      </w:pPr>
      <w:r w:rsidRPr="00120EA8">
        <w:lastRenderedPageBreak/>
        <w:t xml:space="preserve">Figure </w:t>
      </w:r>
      <w:r w:rsidRPr="00120EA8">
        <w:fldChar w:fldCharType="begin"/>
      </w:r>
      <w:r w:rsidRPr="00120EA8">
        <w:instrText xml:space="preserve"> SEQ Figure \* ARABIC </w:instrText>
      </w:r>
      <w:r w:rsidRPr="00120EA8">
        <w:fldChar w:fldCharType="separate"/>
      </w:r>
      <w:r w:rsidR="00E773B5">
        <w:rPr>
          <w:noProof/>
        </w:rPr>
        <w:t>14</w:t>
      </w:r>
      <w:r w:rsidRPr="00120EA8">
        <w:rPr>
          <w:noProof/>
        </w:rPr>
        <w:fldChar w:fldCharType="end"/>
      </w:r>
      <w:r w:rsidRPr="00120EA8">
        <w:t>: Data sources for annual report.</w:t>
      </w:r>
    </w:p>
    <w:p w14:paraId="28A84699" w14:textId="2D1964B2" w:rsidR="000219A9" w:rsidRDefault="0056231A" w:rsidP="00DE4F4E">
      <w:r>
        <w:rPr>
          <w:noProof/>
        </w:rPr>
        <w:drawing>
          <wp:inline distT="0" distB="0" distL="0" distR="0" wp14:anchorId="4238D110" wp14:editId="2E4BD57C">
            <wp:extent cx="5486400" cy="3200400"/>
            <wp:effectExtent l="0" t="0" r="0" b="0"/>
            <wp:docPr id="1348770515"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ED7EBBF" w14:textId="3CFDC6C9" w:rsidR="000219A9" w:rsidRDefault="000219A9" w:rsidP="000219A9">
      <w:pPr>
        <w:pStyle w:val="Caption"/>
      </w:pPr>
      <w:bookmarkStart w:id="24" w:name="_Ref178062233"/>
      <w:r>
        <w:t xml:space="preserve">Figure </w:t>
      </w:r>
      <w:r>
        <w:fldChar w:fldCharType="begin"/>
      </w:r>
      <w:r>
        <w:instrText xml:space="preserve"> SEQ Figure \* ARABIC </w:instrText>
      </w:r>
      <w:r>
        <w:fldChar w:fldCharType="separate"/>
      </w:r>
      <w:r w:rsidR="00E773B5">
        <w:rPr>
          <w:noProof/>
        </w:rPr>
        <w:t>15</w:t>
      </w:r>
      <w:r>
        <w:fldChar w:fldCharType="end"/>
      </w:r>
      <w:bookmarkEnd w:id="24"/>
      <w:r w:rsidRPr="00A653A9">
        <w:t>: Count of contracts contributing to annual report</w:t>
      </w:r>
      <w:r>
        <w:t>.</w:t>
      </w:r>
    </w:p>
    <w:p w14:paraId="50A77FDA" w14:textId="4BD0CCAD" w:rsidR="000219A9" w:rsidRDefault="0056231A" w:rsidP="000219A9">
      <w:r>
        <w:rPr>
          <w:noProof/>
        </w:rPr>
        <w:drawing>
          <wp:inline distT="0" distB="0" distL="0" distR="0" wp14:anchorId="2448ED07" wp14:editId="7154D652">
            <wp:extent cx="5486400" cy="3200400"/>
            <wp:effectExtent l="0" t="0" r="0" b="0"/>
            <wp:docPr id="1092966325"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79C7BB5" w14:textId="554AC223" w:rsidR="000219A9" w:rsidRDefault="000219A9" w:rsidP="000219A9">
      <w:pPr>
        <w:pStyle w:val="Caption"/>
      </w:pPr>
      <w:bookmarkStart w:id="25" w:name="_Ref178062187"/>
      <w:r>
        <w:t xml:space="preserve">Figure </w:t>
      </w:r>
      <w:r>
        <w:fldChar w:fldCharType="begin"/>
      </w:r>
      <w:r>
        <w:instrText xml:space="preserve"> SEQ Figure \* ARABIC </w:instrText>
      </w:r>
      <w:r>
        <w:fldChar w:fldCharType="separate"/>
      </w:r>
      <w:r w:rsidR="00E773B5">
        <w:rPr>
          <w:noProof/>
        </w:rPr>
        <w:t>16</w:t>
      </w:r>
      <w:r>
        <w:fldChar w:fldCharType="end"/>
      </w:r>
      <w:bookmarkEnd w:id="25"/>
      <w:r>
        <w:t>: Submission of contract waste data.</w:t>
      </w:r>
    </w:p>
    <w:p w14:paraId="115551C3" w14:textId="6B8000A8" w:rsidR="000219A9" w:rsidRDefault="00BF4738" w:rsidP="000219A9">
      <w:r>
        <w:rPr>
          <w:noProof/>
        </w:rPr>
        <w:lastRenderedPageBreak/>
        <w:drawing>
          <wp:inline distT="0" distB="0" distL="0" distR="0" wp14:anchorId="28A60C57" wp14:editId="7A772363">
            <wp:extent cx="5486400" cy="3200400"/>
            <wp:effectExtent l="0" t="0" r="0" b="0"/>
            <wp:docPr id="364888331"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A8CC571" w14:textId="29BE1D6D" w:rsidR="000219A9" w:rsidRDefault="000219A9" w:rsidP="000219A9">
      <w:pPr>
        <w:pStyle w:val="Caption"/>
      </w:pPr>
      <w:bookmarkStart w:id="26" w:name="_Ref178072074"/>
      <w:r>
        <w:t xml:space="preserve">Figure </w:t>
      </w:r>
      <w:r>
        <w:fldChar w:fldCharType="begin"/>
      </w:r>
      <w:r>
        <w:instrText xml:space="preserve"> SEQ Figure \* ARABIC </w:instrText>
      </w:r>
      <w:r>
        <w:fldChar w:fldCharType="separate"/>
      </w:r>
      <w:r w:rsidR="00E773B5">
        <w:rPr>
          <w:noProof/>
        </w:rPr>
        <w:t>17</w:t>
      </w:r>
      <w:r>
        <w:fldChar w:fldCharType="end"/>
      </w:r>
      <w:bookmarkEnd w:id="26"/>
      <w:r>
        <w:t>: Annual trend for facilities waste</w:t>
      </w:r>
    </w:p>
    <w:p w14:paraId="5F61FDBE" w14:textId="4D504BBF" w:rsidR="000219A9" w:rsidRDefault="000219A9">
      <w:pPr>
        <w:suppressAutoHyphens w:val="0"/>
        <w:spacing w:before="0" w:after="160" w:line="259" w:lineRule="auto"/>
      </w:pPr>
      <w:r>
        <w:br w:type="page"/>
      </w:r>
    </w:p>
    <w:p w14:paraId="13386738" w14:textId="77777777" w:rsidR="000219A9" w:rsidRPr="00C5712F" w:rsidRDefault="000219A9" w:rsidP="000219A9">
      <w:pPr>
        <w:pStyle w:val="Heading1"/>
      </w:pPr>
      <w:bookmarkStart w:id="27" w:name="_Toc179466379"/>
      <w:bookmarkStart w:id="28" w:name="_Toc207978348"/>
      <w:r>
        <w:lastRenderedPageBreak/>
        <w:t xml:space="preserve">Appendix A: </w:t>
      </w:r>
      <w:r w:rsidRPr="00FA1B5B">
        <w:t xml:space="preserve">Department of Environment and Science </w:t>
      </w:r>
      <w:r w:rsidRPr="00C5712F">
        <w:t>State Entity Reporting Template</w:t>
      </w:r>
      <w:bookmarkEnd w:id="27"/>
      <w:bookmarkEnd w:id="28"/>
    </w:p>
    <w:p w14:paraId="743877AC" w14:textId="77777777" w:rsidR="00785CA8" w:rsidRPr="00785CA8" w:rsidRDefault="00785CA8" w:rsidP="00785CA8">
      <w:pPr>
        <w:numPr>
          <w:ilvl w:val="0"/>
          <w:numId w:val="44"/>
        </w:numPr>
        <w:rPr>
          <w:b/>
        </w:rPr>
      </w:pPr>
      <w:r w:rsidRPr="00785CA8">
        <w:rPr>
          <w:b/>
        </w:rPr>
        <w:t>Name of the State Entity</w:t>
      </w:r>
    </w:p>
    <w:p w14:paraId="6A5CBC2B" w14:textId="77777777" w:rsidR="00785CA8" w:rsidRPr="00785CA8" w:rsidRDefault="00785CA8" w:rsidP="00785CA8">
      <w:r w:rsidRPr="00785CA8">
        <w:t>Department of Transport and Main Roads</w:t>
      </w:r>
    </w:p>
    <w:p w14:paraId="511FA6C5" w14:textId="77777777" w:rsidR="00785CA8" w:rsidRPr="00785CA8" w:rsidRDefault="00785CA8" w:rsidP="00785CA8">
      <w:pPr>
        <w:numPr>
          <w:ilvl w:val="0"/>
          <w:numId w:val="44"/>
        </w:numPr>
        <w:rPr>
          <w:b/>
          <w:bCs/>
        </w:rPr>
      </w:pPr>
      <w:r w:rsidRPr="00785CA8">
        <w:rPr>
          <w:b/>
          <w:bCs/>
        </w:rPr>
        <w:t>Please list the types and amounts of waste generated, recycled or disposed of by your department/agency in carrying out its activities during 2024-25.</w:t>
      </w:r>
    </w:p>
    <w:p w14:paraId="26EF1604" w14:textId="2FF62B46" w:rsidR="00785CA8" w:rsidRPr="00785CA8" w:rsidRDefault="00785CA8" w:rsidP="00785CA8">
      <w:pPr>
        <w:pStyle w:val="Caption"/>
      </w:pPr>
      <w:bookmarkStart w:id="29" w:name="_Ref178075345"/>
      <w:bookmarkStart w:id="30" w:name="_Ref144733319"/>
      <w:r w:rsidRPr="00785CA8">
        <w:t xml:space="preserve">Table </w:t>
      </w:r>
      <w:r w:rsidRPr="00785CA8">
        <w:fldChar w:fldCharType="begin"/>
      </w:r>
      <w:r w:rsidRPr="00785CA8">
        <w:instrText xml:space="preserve"> SEQ Table \* ARABIC </w:instrText>
      </w:r>
      <w:r w:rsidRPr="00785CA8">
        <w:fldChar w:fldCharType="separate"/>
      </w:r>
      <w:r w:rsidR="00A87C6F">
        <w:rPr>
          <w:noProof/>
        </w:rPr>
        <w:t>2</w:t>
      </w:r>
      <w:r w:rsidRPr="00785CA8">
        <w:fldChar w:fldCharType="end"/>
      </w:r>
      <w:bookmarkEnd w:id="29"/>
      <w:r w:rsidRPr="00785CA8">
        <w:t>: Annual TMR waste data summary 202</w:t>
      </w:r>
      <w:r w:rsidR="00A87C6F">
        <w:t>4</w:t>
      </w:r>
      <w:r w:rsidRPr="00785CA8">
        <w:t>–202</w:t>
      </w:r>
      <w:bookmarkEnd w:id="30"/>
      <w:r w:rsidR="00A87C6F">
        <w:t>5</w:t>
      </w:r>
      <w:r w:rsidRPr="00785CA8">
        <w:t>.</w:t>
      </w:r>
    </w:p>
    <w:tbl>
      <w:tblPr>
        <w:tblStyle w:val="NavyTable"/>
        <w:tblW w:w="9752" w:type="dxa"/>
        <w:tblInd w:w="0" w:type="dxa"/>
        <w:tblLayout w:type="fixed"/>
        <w:tblLook w:val="06A0" w:firstRow="1" w:lastRow="0" w:firstColumn="1" w:lastColumn="0" w:noHBand="1" w:noVBand="1"/>
      </w:tblPr>
      <w:tblGrid>
        <w:gridCol w:w="3741"/>
        <w:gridCol w:w="1502"/>
        <w:gridCol w:w="1503"/>
        <w:gridCol w:w="1503"/>
        <w:gridCol w:w="1503"/>
      </w:tblGrid>
      <w:tr w:rsidR="00785CA8" w:rsidRPr="00785CA8" w14:paraId="7273625B" w14:textId="77777777" w:rsidTr="00A87C6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15825524" w14:textId="77777777" w:rsidR="00785CA8" w:rsidRPr="00785CA8" w:rsidRDefault="00785CA8" w:rsidP="00785CA8">
            <w:pPr>
              <w:rPr>
                <w:color w:val="auto"/>
                <w:lang w:eastAsia="en-AU"/>
              </w:rPr>
            </w:pPr>
            <w:r w:rsidRPr="00785CA8">
              <w:rPr>
                <w:color w:val="auto"/>
                <w:lang w:eastAsia="en-AU"/>
              </w:rPr>
              <w:t>Waste stream</w:t>
            </w:r>
          </w:p>
        </w:tc>
        <w:tc>
          <w:tcPr>
            <w:tcW w:w="1502" w:type="dxa"/>
            <w:noWrap/>
            <w:hideMark/>
          </w:tcPr>
          <w:p w14:paraId="4409022C" w14:textId="77777777" w:rsidR="00785CA8" w:rsidRPr="00785CA8" w:rsidRDefault="00785CA8" w:rsidP="00785CA8">
            <w:pPr>
              <w:cnfStyle w:val="100000000000" w:firstRow="1" w:lastRow="0" w:firstColumn="0" w:lastColumn="0" w:oddVBand="0" w:evenVBand="0" w:oddHBand="0" w:evenHBand="0" w:firstRowFirstColumn="0" w:firstRowLastColumn="0" w:lastRowFirstColumn="0" w:lastRowLastColumn="0"/>
              <w:rPr>
                <w:color w:val="auto"/>
                <w:lang w:eastAsia="en-AU"/>
              </w:rPr>
            </w:pPr>
            <w:r w:rsidRPr="00785CA8">
              <w:rPr>
                <w:color w:val="auto"/>
                <w:lang w:eastAsia="en-AU"/>
              </w:rPr>
              <w:t>Generated</w:t>
            </w:r>
          </w:p>
          <w:p w14:paraId="28A51F63" w14:textId="77777777" w:rsidR="00785CA8" w:rsidRPr="00785CA8" w:rsidRDefault="00785CA8" w:rsidP="00785CA8">
            <w:pPr>
              <w:cnfStyle w:val="100000000000" w:firstRow="1" w:lastRow="0" w:firstColumn="0" w:lastColumn="0" w:oddVBand="0" w:evenVBand="0" w:oddHBand="0" w:evenHBand="0" w:firstRowFirstColumn="0" w:firstRowLastColumn="0" w:lastRowFirstColumn="0" w:lastRowLastColumn="0"/>
              <w:rPr>
                <w:color w:val="auto"/>
                <w:lang w:eastAsia="en-AU"/>
              </w:rPr>
            </w:pPr>
            <w:r w:rsidRPr="00785CA8">
              <w:rPr>
                <w:color w:val="auto"/>
                <w:lang w:eastAsia="en-AU"/>
              </w:rPr>
              <w:t>(t)</w:t>
            </w:r>
          </w:p>
        </w:tc>
        <w:tc>
          <w:tcPr>
            <w:tcW w:w="1503" w:type="dxa"/>
            <w:noWrap/>
            <w:hideMark/>
          </w:tcPr>
          <w:p w14:paraId="61B1E4CA" w14:textId="77777777" w:rsidR="00785CA8" w:rsidRPr="00785CA8" w:rsidRDefault="00785CA8" w:rsidP="00785CA8">
            <w:pPr>
              <w:cnfStyle w:val="100000000000" w:firstRow="1" w:lastRow="0" w:firstColumn="0" w:lastColumn="0" w:oddVBand="0" w:evenVBand="0" w:oddHBand="0" w:evenHBand="0" w:firstRowFirstColumn="0" w:firstRowLastColumn="0" w:lastRowFirstColumn="0" w:lastRowLastColumn="0"/>
              <w:rPr>
                <w:color w:val="auto"/>
                <w:lang w:eastAsia="en-AU"/>
              </w:rPr>
            </w:pPr>
            <w:r w:rsidRPr="00785CA8">
              <w:rPr>
                <w:color w:val="auto"/>
                <w:lang w:eastAsia="en-AU"/>
              </w:rPr>
              <w:t>Diverted</w:t>
            </w:r>
          </w:p>
          <w:p w14:paraId="00A312B2" w14:textId="77777777" w:rsidR="00785CA8" w:rsidRPr="00785CA8" w:rsidRDefault="00785CA8" w:rsidP="00785CA8">
            <w:pPr>
              <w:cnfStyle w:val="100000000000" w:firstRow="1" w:lastRow="0" w:firstColumn="0" w:lastColumn="0" w:oddVBand="0" w:evenVBand="0" w:oddHBand="0" w:evenHBand="0" w:firstRowFirstColumn="0" w:firstRowLastColumn="0" w:lastRowFirstColumn="0" w:lastRowLastColumn="0"/>
              <w:rPr>
                <w:color w:val="auto"/>
                <w:lang w:eastAsia="en-AU"/>
              </w:rPr>
            </w:pPr>
            <w:r w:rsidRPr="00785CA8">
              <w:rPr>
                <w:color w:val="auto"/>
                <w:lang w:eastAsia="en-AU"/>
              </w:rPr>
              <w:t>(t)</w:t>
            </w:r>
          </w:p>
        </w:tc>
        <w:tc>
          <w:tcPr>
            <w:tcW w:w="1503" w:type="dxa"/>
            <w:noWrap/>
            <w:hideMark/>
          </w:tcPr>
          <w:p w14:paraId="0B10ED11" w14:textId="77777777" w:rsidR="00785CA8" w:rsidRPr="00785CA8" w:rsidRDefault="00785CA8" w:rsidP="00785CA8">
            <w:pPr>
              <w:cnfStyle w:val="100000000000" w:firstRow="1" w:lastRow="0" w:firstColumn="0" w:lastColumn="0" w:oddVBand="0" w:evenVBand="0" w:oddHBand="0" w:evenHBand="0" w:firstRowFirstColumn="0" w:firstRowLastColumn="0" w:lastRowFirstColumn="0" w:lastRowLastColumn="0"/>
              <w:rPr>
                <w:color w:val="auto"/>
                <w:lang w:eastAsia="en-AU"/>
              </w:rPr>
            </w:pPr>
            <w:r w:rsidRPr="00785CA8">
              <w:rPr>
                <w:color w:val="auto"/>
                <w:lang w:eastAsia="en-AU"/>
              </w:rPr>
              <w:t>Landfilled</w:t>
            </w:r>
          </w:p>
          <w:p w14:paraId="236353B6" w14:textId="77777777" w:rsidR="00785CA8" w:rsidRPr="00785CA8" w:rsidRDefault="00785CA8" w:rsidP="00785CA8">
            <w:pPr>
              <w:cnfStyle w:val="100000000000" w:firstRow="1" w:lastRow="0" w:firstColumn="0" w:lastColumn="0" w:oddVBand="0" w:evenVBand="0" w:oddHBand="0" w:evenHBand="0" w:firstRowFirstColumn="0" w:firstRowLastColumn="0" w:lastRowFirstColumn="0" w:lastRowLastColumn="0"/>
              <w:rPr>
                <w:color w:val="auto"/>
                <w:lang w:eastAsia="en-AU"/>
              </w:rPr>
            </w:pPr>
            <w:r w:rsidRPr="00785CA8">
              <w:rPr>
                <w:color w:val="auto"/>
                <w:lang w:eastAsia="en-AU"/>
              </w:rPr>
              <w:t>(t)</w:t>
            </w:r>
          </w:p>
        </w:tc>
        <w:tc>
          <w:tcPr>
            <w:tcW w:w="1503" w:type="dxa"/>
            <w:noWrap/>
            <w:hideMark/>
          </w:tcPr>
          <w:p w14:paraId="348F2461" w14:textId="77777777" w:rsidR="00785CA8" w:rsidRPr="00785CA8" w:rsidRDefault="00785CA8" w:rsidP="00785CA8">
            <w:pPr>
              <w:cnfStyle w:val="100000000000" w:firstRow="1" w:lastRow="0" w:firstColumn="0" w:lastColumn="0" w:oddVBand="0" w:evenVBand="0" w:oddHBand="0" w:evenHBand="0" w:firstRowFirstColumn="0" w:firstRowLastColumn="0" w:lastRowFirstColumn="0" w:lastRowLastColumn="0"/>
              <w:rPr>
                <w:color w:val="auto"/>
                <w:lang w:eastAsia="en-AU"/>
              </w:rPr>
            </w:pPr>
            <w:r w:rsidRPr="00785CA8">
              <w:rPr>
                <w:color w:val="auto"/>
                <w:lang w:eastAsia="en-AU"/>
              </w:rPr>
              <w:t>Diversion rate</w:t>
            </w:r>
          </w:p>
        </w:tc>
      </w:tr>
      <w:tr w:rsidR="00A87C6F" w:rsidRPr="00A320BB" w14:paraId="0AA4CA2E" w14:textId="77777777" w:rsidTr="00A87C6F">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4F913FB2" w14:textId="77777777" w:rsidR="00A87C6F" w:rsidRPr="00785CA8" w:rsidRDefault="00A87C6F" w:rsidP="00A87C6F">
            <w:pPr>
              <w:rPr>
                <w:color w:val="auto"/>
                <w:lang w:eastAsia="en-AU"/>
              </w:rPr>
            </w:pPr>
            <w:r w:rsidRPr="00785CA8">
              <w:rPr>
                <w:color w:val="auto"/>
              </w:rPr>
              <w:t>Excess earthworks / embankment / fill</w:t>
            </w:r>
          </w:p>
        </w:tc>
        <w:tc>
          <w:tcPr>
            <w:tcW w:w="1502" w:type="dxa"/>
            <w:noWrap/>
            <w:vAlign w:val="bottom"/>
          </w:tcPr>
          <w:p w14:paraId="124570D9" w14:textId="73BE085F"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956,761 </w:t>
            </w:r>
          </w:p>
        </w:tc>
        <w:tc>
          <w:tcPr>
            <w:tcW w:w="1503" w:type="dxa"/>
            <w:noWrap/>
            <w:vAlign w:val="bottom"/>
          </w:tcPr>
          <w:p w14:paraId="0D06FEDD" w14:textId="5C542503"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742,972 </w:t>
            </w:r>
          </w:p>
        </w:tc>
        <w:tc>
          <w:tcPr>
            <w:tcW w:w="1503" w:type="dxa"/>
            <w:noWrap/>
            <w:vAlign w:val="bottom"/>
          </w:tcPr>
          <w:p w14:paraId="606C2971" w14:textId="231CD1B6"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213,789 </w:t>
            </w:r>
          </w:p>
        </w:tc>
        <w:tc>
          <w:tcPr>
            <w:tcW w:w="1503" w:type="dxa"/>
            <w:noWrap/>
            <w:vAlign w:val="bottom"/>
          </w:tcPr>
          <w:p w14:paraId="307EC6FE" w14:textId="38EDA7DB"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956,761 </w:t>
            </w:r>
          </w:p>
        </w:tc>
      </w:tr>
      <w:tr w:rsidR="00A87C6F" w:rsidRPr="00A320BB" w14:paraId="1ECD668E" w14:textId="77777777" w:rsidTr="00A87C6F">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6EECFA42" w14:textId="77777777" w:rsidR="00A87C6F" w:rsidRPr="00785CA8" w:rsidRDefault="00A87C6F" w:rsidP="00A87C6F">
            <w:pPr>
              <w:rPr>
                <w:color w:val="auto"/>
                <w:lang w:eastAsia="en-AU"/>
              </w:rPr>
            </w:pPr>
            <w:r w:rsidRPr="00785CA8">
              <w:rPr>
                <w:color w:val="auto"/>
              </w:rPr>
              <w:t>Acid sulphate soil</w:t>
            </w:r>
          </w:p>
        </w:tc>
        <w:tc>
          <w:tcPr>
            <w:tcW w:w="1502" w:type="dxa"/>
            <w:noWrap/>
            <w:vAlign w:val="bottom"/>
          </w:tcPr>
          <w:p w14:paraId="1449B4FC" w14:textId="23A602FE"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39,231 </w:t>
            </w:r>
          </w:p>
        </w:tc>
        <w:tc>
          <w:tcPr>
            <w:tcW w:w="1503" w:type="dxa"/>
            <w:noWrap/>
            <w:vAlign w:val="bottom"/>
          </w:tcPr>
          <w:p w14:paraId="6AB0D686" w14:textId="32CD95E1"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39,231 </w:t>
            </w:r>
          </w:p>
        </w:tc>
        <w:tc>
          <w:tcPr>
            <w:tcW w:w="1503" w:type="dxa"/>
            <w:noWrap/>
            <w:vAlign w:val="bottom"/>
          </w:tcPr>
          <w:p w14:paraId="1D22CE9D" w14:textId="13FB96C8"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   </w:t>
            </w:r>
          </w:p>
        </w:tc>
        <w:tc>
          <w:tcPr>
            <w:tcW w:w="1503" w:type="dxa"/>
            <w:noWrap/>
            <w:vAlign w:val="bottom"/>
          </w:tcPr>
          <w:p w14:paraId="5B5D2125" w14:textId="104D5C05"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39,231 </w:t>
            </w:r>
          </w:p>
        </w:tc>
      </w:tr>
      <w:tr w:rsidR="00A87C6F" w:rsidRPr="00A320BB" w14:paraId="53096AF9" w14:textId="77777777" w:rsidTr="00A87C6F">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48E40E75" w14:textId="77777777" w:rsidR="00A87C6F" w:rsidRPr="00785CA8" w:rsidRDefault="00A87C6F" w:rsidP="00A87C6F">
            <w:pPr>
              <w:rPr>
                <w:color w:val="auto"/>
                <w:lang w:eastAsia="en-AU"/>
              </w:rPr>
            </w:pPr>
            <w:r w:rsidRPr="00785CA8">
              <w:rPr>
                <w:color w:val="auto"/>
              </w:rPr>
              <w:t>Other contaminated earthworks</w:t>
            </w:r>
          </w:p>
        </w:tc>
        <w:tc>
          <w:tcPr>
            <w:tcW w:w="1502" w:type="dxa"/>
            <w:noWrap/>
            <w:vAlign w:val="bottom"/>
          </w:tcPr>
          <w:p w14:paraId="700B732C" w14:textId="35D4396B"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8,671 </w:t>
            </w:r>
          </w:p>
        </w:tc>
        <w:tc>
          <w:tcPr>
            <w:tcW w:w="1503" w:type="dxa"/>
            <w:noWrap/>
            <w:vAlign w:val="bottom"/>
          </w:tcPr>
          <w:p w14:paraId="024E4291" w14:textId="29AB91A5"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3,000 </w:t>
            </w:r>
          </w:p>
        </w:tc>
        <w:tc>
          <w:tcPr>
            <w:tcW w:w="1503" w:type="dxa"/>
            <w:noWrap/>
            <w:vAlign w:val="bottom"/>
          </w:tcPr>
          <w:p w14:paraId="0F5C7797" w14:textId="35FF1D44"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5,671 </w:t>
            </w:r>
          </w:p>
        </w:tc>
        <w:tc>
          <w:tcPr>
            <w:tcW w:w="1503" w:type="dxa"/>
            <w:noWrap/>
            <w:vAlign w:val="bottom"/>
          </w:tcPr>
          <w:p w14:paraId="69649733" w14:textId="02CFEF08"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8,671 </w:t>
            </w:r>
          </w:p>
        </w:tc>
      </w:tr>
      <w:tr w:rsidR="00A87C6F" w:rsidRPr="00A320BB" w14:paraId="323B86CC" w14:textId="77777777" w:rsidTr="00A87C6F">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2B59BE6E" w14:textId="77777777" w:rsidR="00A87C6F" w:rsidRPr="00785CA8" w:rsidRDefault="00A87C6F" w:rsidP="00A87C6F">
            <w:pPr>
              <w:rPr>
                <w:color w:val="auto"/>
                <w:lang w:eastAsia="en-AU"/>
              </w:rPr>
            </w:pPr>
            <w:r w:rsidRPr="00785CA8">
              <w:rPr>
                <w:color w:val="auto"/>
              </w:rPr>
              <w:t>Regulated waste cat 1</w:t>
            </w:r>
          </w:p>
        </w:tc>
        <w:tc>
          <w:tcPr>
            <w:tcW w:w="1502" w:type="dxa"/>
            <w:noWrap/>
            <w:vAlign w:val="bottom"/>
          </w:tcPr>
          <w:p w14:paraId="2CEB51FC" w14:textId="171287A2"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162 </w:t>
            </w:r>
          </w:p>
        </w:tc>
        <w:tc>
          <w:tcPr>
            <w:tcW w:w="1503" w:type="dxa"/>
            <w:noWrap/>
            <w:vAlign w:val="bottom"/>
          </w:tcPr>
          <w:p w14:paraId="5AB50A16" w14:textId="3CEA01BB"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1 </w:t>
            </w:r>
          </w:p>
        </w:tc>
        <w:tc>
          <w:tcPr>
            <w:tcW w:w="1503" w:type="dxa"/>
            <w:noWrap/>
            <w:vAlign w:val="bottom"/>
          </w:tcPr>
          <w:p w14:paraId="6E50CA27" w14:textId="78513F64"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161 </w:t>
            </w:r>
          </w:p>
        </w:tc>
        <w:tc>
          <w:tcPr>
            <w:tcW w:w="1503" w:type="dxa"/>
            <w:noWrap/>
            <w:vAlign w:val="bottom"/>
          </w:tcPr>
          <w:p w14:paraId="2C68240B" w14:textId="7E11B6C2"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162 </w:t>
            </w:r>
          </w:p>
        </w:tc>
      </w:tr>
      <w:tr w:rsidR="00A87C6F" w:rsidRPr="00A320BB" w14:paraId="29D5CBA3" w14:textId="77777777" w:rsidTr="00A87C6F">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30AF20EB" w14:textId="77777777" w:rsidR="00A87C6F" w:rsidRPr="00785CA8" w:rsidRDefault="00A87C6F" w:rsidP="00A87C6F">
            <w:pPr>
              <w:rPr>
                <w:color w:val="auto"/>
                <w:lang w:eastAsia="en-AU"/>
              </w:rPr>
            </w:pPr>
            <w:r w:rsidRPr="00785CA8">
              <w:rPr>
                <w:color w:val="auto"/>
              </w:rPr>
              <w:t>Regulated waste cat 2</w:t>
            </w:r>
          </w:p>
        </w:tc>
        <w:tc>
          <w:tcPr>
            <w:tcW w:w="1502" w:type="dxa"/>
            <w:noWrap/>
            <w:vAlign w:val="bottom"/>
          </w:tcPr>
          <w:p w14:paraId="498EA4EC" w14:textId="5FF9E513"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137,737 </w:t>
            </w:r>
          </w:p>
        </w:tc>
        <w:tc>
          <w:tcPr>
            <w:tcW w:w="1503" w:type="dxa"/>
            <w:noWrap/>
            <w:vAlign w:val="bottom"/>
          </w:tcPr>
          <w:p w14:paraId="0059CB81" w14:textId="10D5EC96"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119,473 </w:t>
            </w:r>
          </w:p>
        </w:tc>
        <w:tc>
          <w:tcPr>
            <w:tcW w:w="1503" w:type="dxa"/>
            <w:noWrap/>
            <w:vAlign w:val="bottom"/>
          </w:tcPr>
          <w:p w14:paraId="0FE0B835" w14:textId="79E1F26E"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18,263 </w:t>
            </w:r>
          </w:p>
        </w:tc>
        <w:tc>
          <w:tcPr>
            <w:tcW w:w="1503" w:type="dxa"/>
            <w:noWrap/>
            <w:vAlign w:val="bottom"/>
          </w:tcPr>
          <w:p w14:paraId="3B078067" w14:textId="089D1ACE"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137,737 </w:t>
            </w:r>
          </w:p>
        </w:tc>
      </w:tr>
      <w:tr w:rsidR="00A87C6F" w:rsidRPr="00A320BB" w14:paraId="326FB566" w14:textId="77777777" w:rsidTr="00A87C6F">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09F1FE91" w14:textId="77777777" w:rsidR="00A87C6F" w:rsidRPr="00785CA8" w:rsidRDefault="00A87C6F" w:rsidP="00A87C6F">
            <w:pPr>
              <w:rPr>
                <w:color w:val="auto"/>
                <w:lang w:eastAsia="en-AU"/>
              </w:rPr>
            </w:pPr>
            <w:r w:rsidRPr="00785CA8">
              <w:rPr>
                <w:color w:val="auto"/>
              </w:rPr>
              <w:t>Asphalt and profiles (RAP)</w:t>
            </w:r>
          </w:p>
        </w:tc>
        <w:tc>
          <w:tcPr>
            <w:tcW w:w="1502" w:type="dxa"/>
            <w:noWrap/>
            <w:vAlign w:val="bottom"/>
          </w:tcPr>
          <w:p w14:paraId="23BFA5B1" w14:textId="6C1E7226"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159,057 </w:t>
            </w:r>
          </w:p>
        </w:tc>
        <w:tc>
          <w:tcPr>
            <w:tcW w:w="1503" w:type="dxa"/>
            <w:noWrap/>
            <w:vAlign w:val="bottom"/>
          </w:tcPr>
          <w:p w14:paraId="0A4446CE" w14:textId="670E164F"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127,207 </w:t>
            </w:r>
          </w:p>
        </w:tc>
        <w:tc>
          <w:tcPr>
            <w:tcW w:w="1503" w:type="dxa"/>
            <w:noWrap/>
            <w:vAlign w:val="bottom"/>
          </w:tcPr>
          <w:p w14:paraId="785CF598" w14:textId="227AD44E"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31,851 </w:t>
            </w:r>
          </w:p>
        </w:tc>
        <w:tc>
          <w:tcPr>
            <w:tcW w:w="1503" w:type="dxa"/>
            <w:noWrap/>
            <w:vAlign w:val="bottom"/>
          </w:tcPr>
          <w:p w14:paraId="2146C13B" w14:textId="0E1A11A7"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159,057 </w:t>
            </w:r>
          </w:p>
        </w:tc>
      </w:tr>
      <w:tr w:rsidR="00A87C6F" w:rsidRPr="00A320BB" w14:paraId="023CD63D" w14:textId="77777777" w:rsidTr="00A87C6F">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028ED00B" w14:textId="77777777" w:rsidR="00A87C6F" w:rsidRPr="00785CA8" w:rsidRDefault="00A87C6F" w:rsidP="00A87C6F">
            <w:pPr>
              <w:rPr>
                <w:color w:val="auto"/>
                <w:lang w:eastAsia="en-AU"/>
              </w:rPr>
            </w:pPr>
            <w:r w:rsidRPr="00785CA8">
              <w:rPr>
                <w:color w:val="auto"/>
              </w:rPr>
              <w:lastRenderedPageBreak/>
              <w:t>Other recovered pavement materials</w:t>
            </w:r>
          </w:p>
        </w:tc>
        <w:tc>
          <w:tcPr>
            <w:tcW w:w="1502" w:type="dxa"/>
            <w:noWrap/>
            <w:vAlign w:val="bottom"/>
          </w:tcPr>
          <w:p w14:paraId="3BCFDC23" w14:textId="5D2F749F"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98,632 </w:t>
            </w:r>
          </w:p>
        </w:tc>
        <w:tc>
          <w:tcPr>
            <w:tcW w:w="1503" w:type="dxa"/>
            <w:noWrap/>
            <w:vAlign w:val="bottom"/>
          </w:tcPr>
          <w:p w14:paraId="303CEFA7" w14:textId="0099F220"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95,561 </w:t>
            </w:r>
          </w:p>
        </w:tc>
        <w:tc>
          <w:tcPr>
            <w:tcW w:w="1503" w:type="dxa"/>
            <w:noWrap/>
            <w:vAlign w:val="bottom"/>
          </w:tcPr>
          <w:p w14:paraId="2CC2A858" w14:textId="2CEA5A7E"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3,071 </w:t>
            </w:r>
          </w:p>
        </w:tc>
        <w:tc>
          <w:tcPr>
            <w:tcW w:w="1503" w:type="dxa"/>
            <w:noWrap/>
            <w:vAlign w:val="bottom"/>
          </w:tcPr>
          <w:p w14:paraId="42C1072B" w14:textId="1923EBB8"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98,632 </w:t>
            </w:r>
          </w:p>
        </w:tc>
      </w:tr>
      <w:tr w:rsidR="00A87C6F" w:rsidRPr="00A320BB" w14:paraId="4BE417D5" w14:textId="77777777" w:rsidTr="00A87C6F">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72F39EED" w14:textId="77777777" w:rsidR="00A87C6F" w:rsidRPr="00785CA8" w:rsidRDefault="00A87C6F" w:rsidP="00A87C6F">
            <w:pPr>
              <w:rPr>
                <w:color w:val="auto"/>
                <w:lang w:eastAsia="en-AU"/>
              </w:rPr>
            </w:pPr>
            <w:r w:rsidRPr="00785CA8">
              <w:rPr>
                <w:color w:val="auto"/>
              </w:rPr>
              <w:t>Concrete</w:t>
            </w:r>
          </w:p>
        </w:tc>
        <w:tc>
          <w:tcPr>
            <w:tcW w:w="1502" w:type="dxa"/>
            <w:noWrap/>
            <w:vAlign w:val="bottom"/>
          </w:tcPr>
          <w:p w14:paraId="0724CFDB" w14:textId="359E5556"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82,977 </w:t>
            </w:r>
          </w:p>
        </w:tc>
        <w:tc>
          <w:tcPr>
            <w:tcW w:w="1503" w:type="dxa"/>
            <w:noWrap/>
            <w:vAlign w:val="bottom"/>
          </w:tcPr>
          <w:p w14:paraId="2A46C260" w14:textId="163CA71D"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71,156 </w:t>
            </w:r>
          </w:p>
        </w:tc>
        <w:tc>
          <w:tcPr>
            <w:tcW w:w="1503" w:type="dxa"/>
            <w:noWrap/>
            <w:vAlign w:val="bottom"/>
          </w:tcPr>
          <w:p w14:paraId="779BB117" w14:textId="2FE3BDAE"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11,821 </w:t>
            </w:r>
          </w:p>
        </w:tc>
        <w:tc>
          <w:tcPr>
            <w:tcW w:w="1503" w:type="dxa"/>
            <w:noWrap/>
            <w:vAlign w:val="bottom"/>
          </w:tcPr>
          <w:p w14:paraId="2AE5C5DA" w14:textId="1216A03A"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82,977 </w:t>
            </w:r>
          </w:p>
        </w:tc>
      </w:tr>
      <w:tr w:rsidR="00A87C6F" w:rsidRPr="00A320BB" w14:paraId="0F9F82D6" w14:textId="77777777" w:rsidTr="00A87C6F">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087325D7" w14:textId="77777777" w:rsidR="00A87C6F" w:rsidRPr="00785CA8" w:rsidRDefault="00A87C6F" w:rsidP="00A87C6F">
            <w:pPr>
              <w:rPr>
                <w:color w:val="auto"/>
                <w:lang w:eastAsia="en-AU"/>
              </w:rPr>
            </w:pPr>
            <w:r w:rsidRPr="00785CA8">
              <w:rPr>
                <w:color w:val="auto"/>
              </w:rPr>
              <w:t>Metal</w:t>
            </w:r>
          </w:p>
        </w:tc>
        <w:tc>
          <w:tcPr>
            <w:tcW w:w="1502" w:type="dxa"/>
            <w:noWrap/>
            <w:vAlign w:val="bottom"/>
          </w:tcPr>
          <w:p w14:paraId="447F6C51" w14:textId="4EF09440"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4,675 </w:t>
            </w:r>
          </w:p>
        </w:tc>
        <w:tc>
          <w:tcPr>
            <w:tcW w:w="1503" w:type="dxa"/>
            <w:noWrap/>
            <w:vAlign w:val="bottom"/>
          </w:tcPr>
          <w:p w14:paraId="676B36A4" w14:textId="7E74457F"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2,968 </w:t>
            </w:r>
          </w:p>
        </w:tc>
        <w:tc>
          <w:tcPr>
            <w:tcW w:w="1503" w:type="dxa"/>
            <w:noWrap/>
            <w:vAlign w:val="bottom"/>
          </w:tcPr>
          <w:p w14:paraId="171C1BE7" w14:textId="4D9B08B4"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1,706 </w:t>
            </w:r>
          </w:p>
        </w:tc>
        <w:tc>
          <w:tcPr>
            <w:tcW w:w="1503" w:type="dxa"/>
            <w:noWrap/>
            <w:vAlign w:val="bottom"/>
          </w:tcPr>
          <w:p w14:paraId="2C673D18" w14:textId="090D9542"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4,675 </w:t>
            </w:r>
          </w:p>
        </w:tc>
      </w:tr>
      <w:tr w:rsidR="00A87C6F" w:rsidRPr="00A320BB" w14:paraId="00A514D5" w14:textId="77777777" w:rsidTr="00A87C6F">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756AF94C" w14:textId="77777777" w:rsidR="00A87C6F" w:rsidRPr="00785CA8" w:rsidRDefault="00A87C6F" w:rsidP="00A87C6F">
            <w:pPr>
              <w:rPr>
                <w:color w:val="auto"/>
                <w:lang w:eastAsia="en-AU"/>
              </w:rPr>
            </w:pPr>
            <w:r w:rsidRPr="00785CA8">
              <w:rPr>
                <w:color w:val="auto"/>
              </w:rPr>
              <w:t>Vegetation</w:t>
            </w:r>
          </w:p>
        </w:tc>
        <w:tc>
          <w:tcPr>
            <w:tcW w:w="1502" w:type="dxa"/>
            <w:noWrap/>
            <w:vAlign w:val="bottom"/>
          </w:tcPr>
          <w:p w14:paraId="23EAC33C" w14:textId="4FA9CD10"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23,007 </w:t>
            </w:r>
          </w:p>
        </w:tc>
        <w:tc>
          <w:tcPr>
            <w:tcW w:w="1503" w:type="dxa"/>
            <w:noWrap/>
            <w:vAlign w:val="bottom"/>
          </w:tcPr>
          <w:p w14:paraId="00509A8F" w14:textId="402CB954"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17,414 </w:t>
            </w:r>
          </w:p>
        </w:tc>
        <w:tc>
          <w:tcPr>
            <w:tcW w:w="1503" w:type="dxa"/>
            <w:noWrap/>
            <w:vAlign w:val="bottom"/>
          </w:tcPr>
          <w:p w14:paraId="2F46178C" w14:textId="0ECE8F2E"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5,594 </w:t>
            </w:r>
          </w:p>
        </w:tc>
        <w:tc>
          <w:tcPr>
            <w:tcW w:w="1503" w:type="dxa"/>
            <w:noWrap/>
            <w:vAlign w:val="bottom"/>
          </w:tcPr>
          <w:p w14:paraId="2F022729" w14:textId="6923C3B0"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23,007 </w:t>
            </w:r>
          </w:p>
        </w:tc>
      </w:tr>
      <w:tr w:rsidR="00A87C6F" w:rsidRPr="00A320BB" w14:paraId="418A3F68" w14:textId="77777777" w:rsidTr="00A87C6F">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581CE70D" w14:textId="77777777" w:rsidR="00A87C6F" w:rsidRPr="00785CA8" w:rsidRDefault="00A87C6F" w:rsidP="00A87C6F">
            <w:pPr>
              <w:rPr>
                <w:color w:val="auto"/>
                <w:lang w:eastAsia="en-AU"/>
              </w:rPr>
            </w:pPr>
            <w:r w:rsidRPr="00785CA8">
              <w:rPr>
                <w:color w:val="auto"/>
              </w:rPr>
              <w:t>Other construction waste (timber, glass, plastic, bricks)</w:t>
            </w:r>
          </w:p>
        </w:tc>
        <w:tc>
          <w:tcPr>
            <w:tcW w:w="1502" w:type="dxa"/>
            <w:noWrap/>
            <w:vAlign w:val="bottom"/>
          </w:tcPr>
          <w:p w14:paraId="67D8B5FD" w14:textId="25578C03"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12,220 </w:t>
            </w:r>
          </w:p>
        </w:tc>
        <w:tc>
          <w:tcPr>
            <w:tcW w:w="1503" w:type="dxa"/>
            <w:noWrap/>
            <w:vAlign w:val="bottom"/>
          </w:tcPr>
          <w:p w14:paraId="7FCA8F29" w14:textId="2AA320B0"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6,532 </w:t>
            </w:r>
          </w:p>
        </w:tc>
        <w:tc>
          <w:tcPr>
            <w:tcW w:w="1503" w:type="dxa"/>
            <w:noWrap/>
            <w:vAlign w:val="bottom"/>
          </w:tcPr>
          <w:p w14:paraId="18E31973" w14:textId="4F29D25C"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5,687 </w:t>
            </w:r>
          </w:p>
        </w:tc>
        <w:tc>
          <w:tcPr>
            <w:tcW w:w="1503" w:type="dxa"/>
            <w:noWrap/>
            <w:vAlign w:val="bottom"/>
          </w:tcPr>
          <w:p w14:paraId="5B540680" w14:textId="1C17386B"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12,220 </w:t>
            </w:r>
          </w:p>
        </w:tc>
      </w:tr>
      <w:tr w:rsidR="00A87C6F" w:rsidRPr="00A320BB" w14:paraId="211379EA" w14:textId="77777777" w:rsidTr="00A87C6F">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6FAF49A0" w14:textId="77777777" w:rsidR="00A87C6F" w:rsidRPr="00785CA8" w:rsidRDefault="00A87C6F" w:rsidP="00A87C6F">
            <w:pPr>
              <w:rPr>
                <w:color w:val="auto"/>
                <w:lang w:eastAsia="en-AU"/>
              </w:rPr>
            </w:pPr>
            <w:r w:rsidRPr="00785CA8">
              <w:rPr>
                <w:color w:val="auto"/>
              </w:rPr>
              <w:t>Tyres and rubber</w:t>
            </w:r>
          </w:p>
        </w:tc>
        <w:tc>
          <w:tcPr>
            <w:tcW w:w="1502" w:type="dxa"/>
            <w:noWrap/>
            <w:vAlign w:val="bottom"/>
          </w:tcPr>
          <w:p w14:paraId="32A87EF4" w14:textId="1277E5C5"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140 </w:t>
            </w:r>
          </w:p>
        </w:tc>
        <w:tc>
          <w:tcPr>
            <w:tcW w:w="1503" w:type="dxa"/>
            <w:noWrap/>
            <w:vAlign w:val="bottom"/>
          </w:tcPr>
          <w:p w14:paraId="051B2BFD" w14:textId="1CB681F2"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85 </w:t>
            </w:r>
          </w:p>
        </w:tc>
        <w:tc>
          <w:tcPr>
            <w:tcW w:w="1503" w:type="dxa"/>
            <w:noWrap/>
            <w:vAlign w:val="bottom"/>
          </w:tcPr>
          <w:p w14:paraId="7E73381D" w14:textId="20A3F06A"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54 </w:t>
            </w:r>
          </w:p>
        </w:tc>
        <w:tc>
          <w:tcPr>
            <w:tcW w:w="1503" w:type="dxa"/>
            <w:noWrap/>
            <w:vAlign w:val="bottom"/>
          </w:tcPr>
          <w:p w14:paraId="253C9B03" w14:textId="41DC0F8D"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140 </w:t>
            </w:r>
          </w:p>
        </w:tc>
      </w:tr>
      <w:tr w:rsidR="00A87C6F" w:rsidRPr="00A320BB" w14:paraId="77B8D8CB" w14:textId="77777777" w:rsidTr="00A87C6F">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0338C5DA" w14:textId="77777777" w:rsidR="00A87C6F" w:rsidRPr="00785CA8" w:rsidRDefault="00A87C6F" w:rsidP="00A87C6F">
            <w:pPr>
              <w:rPr>
                <w:color w:val="auto"/>
                <w:lang w:eastAsia="en-AU"/>
              </w:rPr>
            </w:pPr>
            <w:r w:rsidRPr="00785CA8">
              <w:rPr>
                <w:color w:val="auto"/>
              </w:rPr>
              <w:t>General refuse</w:t>
            </w:r>
          </w:p>
        </w:tc>
        <w:tc>
          <w:tcPr>
            <w:tcW w:w="1502" w:type="dxa"/>
            <w:noWrap/>
            <w:vAlign w:val="bottom"/>
          </w:tcPr>
          <w:p w14:paraId="340AE662" w14:textId="4C4AE1A2"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5,057 </w:t>
            </w:r>
          </w:p>
        </w:tc>
        <w:tc>
          <w:tcPr>
            <w:tcW w:w="1503" w:type="dxa"/>
            <w:noWrap/>
            <w:vAlign w:val="bottom"/>
          </w:tcPr>
          <w:p w14:paraId="2134FB32" w14:textId="6FBED67F"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31 </w:t>
            </w:r>
          </w:p>
        </w:tc>
        <w:tc>
          <w:tcPr>
            <w:tcW w:w="1503" w:type="dxa"/>
            <w:noWrap/>
            <w:vAlign w:val="bottom"/>
          </w:tcPr>
          <w:p w14:paraId="0895837C" w14:textId="0737AD64"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5,026 </w:t>
            </w:r>
          </w:p>
        </w:tc>
        <w:tc>
          <w:tcPr>
            <w:tcW w:w="1503" w:type="dxa"/>
            <w:noWrap/>
            <w:vAlign w:val="bottom"/>
          </w:tcPr>
          <w:p w14:paraId="6AE1E91C" w14:textId="324D7448"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5,057 </w:t>
            </w:r>
          </w:p>
        </w:tc>
      </w:tr>
      <w:tr w:rsidR="00A87C6F" w:rsidRPr="00A320BB" w14:paraId="2AB5B0BD" w14:textId="77777777" w:rsidTr="00A87C6F">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0961ED3E" w14:textId="77777777" w:rsidR="00A87C6F" w:rsidRPr="00785CA8" w:rsidRDefault="00A87C6F" w:rsidP="00A87C6F">
            <w:pPr>
              <w:rPr>
                <w:color w:val="auto"/>
                <w:lang w:eastAsia="en-AU"/>
              </w:rPr>
            </w:pPr>
            <w:r w:rsidRPr="00785CA8">
              <w:rPr>
                <w:color w:val="auto"/>
              </w:rPr>
              <w:t>Illegally dumped refuse</w:t>
            </w:r>
          </w:p>
        </w:tc>
        <w:tc>
          <w:tcPr>
            <w:tcW w:w="1502" w:type="dxa"/>
            <w:noWrap/>
            <w:vAlign w:val="bottom"/>
          </w:tcPr>
          <w:p w14:paraId="0CD722FE" w14:textId="7E03947D"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5,387 </w:t>
            </w:r>
          </w:p>
        </w:tc>
        <w:tc>
          <w:tcPr>
            <w:tcW w:w="1503" w:type="dxa"/>
            <w:noWrap/>
            <w:vAlign w:val="bottom"/>
          </w:tcPr>
          <w:p w14:paraId="346617FB" w14:textId="6A648455"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   </w:t>
            </w:r>
          </w:p>
        </w:tc>
        <w:tc>
          <w:tcPr>
            <w:tcW w:w="1503" w:type="dxa"/>
            <w:noWrap/>
            <w:vAlign w:val="bottom"/>
          </w:tcPr>
          <w:p w14:paraId="4BB2CA61" w14:textId="2D3593B6"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5,387 </w:t>
            </w:r>
          </w:p>
        </w:tc>
        <w:tc>
          <w:tcPr>
            <w:tcW w:w="1503" w:type="dxa"/>
            <w:noWrap/>
            <w:vAlign w:val="bottom"/>
          </w:tcPr>
          <w:p w14:paraId="250ACF0B" w14:textId="6072C2C0"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5,387 </w:t>
            </w:r>
          </w:p>
        </w:tc>
      </w:tr>
      <w:tr w:rsidR="00A87C6F" w:rsidRPr="00A320BB" w14:paraId="73C85AD1" w14:textId="77777777" w:rsidTr="00A87C6F">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174A110A" w14:textId="77777777" w:rsidR="00A87C6F" w:rsidRPr="00785CA8" w:rsidRDefault="00A87C6F" w:rsidP="00A87C6F">
            <w:pPr>
              <w:rPr>
                <w:color w:val="auto"/>
                <w:lang w:eastAsia="en-AU"/>
              </w:rPr>
            </w:pPr>
            <w:r w:rsidRPr="00785CA8">
              <w:rPr>
                <w:color w:val="auto"/>
              </w:rPr>
              <w:t>Office - general and food waste</w:t>
            </w:r>
          </w:p>
        </w:tc>
        <w:tc>
          <w:tcPr>
            <w:tcW w:w="1502" w:type="dxa"/>
            <w:noWrap/>
            <w:vAlign w:val="bottom"/>
          </w:tcPr>
          <w:p w14:paraId="0F7C5FF6" w14:textId="7B7076FE"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1,073 </w:t>
            </w:r>
          </w:p>
        </w:tc>
        <w:tc>
          <w:tcPr>
            <w:tcW w:w="1503" w:type="dxa"/>
            <w:noWrap/>
            <w:vAlign w:val="bottom"/>
          </w:tcPr>
          <w:p w14:paraId="317A241B" w14:textId="2491F239"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17 </w:t>
            </w:r>
          </w:p>
        </w:tc>
        <w:tc>
          <w:tcPr>
            <w:tcW w:w="1503" w:type="dxa"/>
            <w:noWrap/>
            <w:vAlign w:val="bottom"/>
          </w:tcPr>
          <w:p w14:paraId="35C7DB14" w14:textId="0E06499B"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1,055 </w:t>
            </w:r>
          </w:p>
        </w:tc>
        <w:tc>
          <w:tcPr>
            <w:tcW w:w="1503" w:type="dxa"/>
            <w:noWrap/>
            <w:vAlign w:val="bottom"/>
          </w:tcPr>
          <w:p w14:paraId="4F2C5BBE" w14:textId="2DA61C5D"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1,073 </w:t>
            </w:r>
          </w:p>
        </w:tc>
      </w:tr>
      <w:tr w:rsidR="00A87C6F" w:rsidRPr="00A320BB" w14:paraId="0C1D782F" w14:textId="77777777" w:rsidTr="00A87C6F">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6850F91D" w14:textId="77777777" w:rsidR="00A87C6F" w:rsidRPr="00785CA8" w:rsidRDefault="00A87C6F" w:rsidP="00A87C6F">
            <w:pPr>
              <w:rPr>
                <w:color w:val="auto"/>
                <w:lang w:eastAsia="en-AU"/>
              </w:rPr>
            </w:pPr>
            <w:r w:rsidRPr="00785CA8">
              <w:rPr>
                <w:color w:val="auto"/>
              </w:rPr>
              <w:t>Office - recyclables</w:t>
            </w:r>
          </w:p>
        </w:tc>
        <w:tc>
          <w:tcPr>
            <w:tcW w:w="1502" w:type="dxa"/>
            <w:noWrap/>
            <w:vAlign w:val="bottom"/>
          </w:tcPr>
          <w:p w14:paraId="0571AAAD" w14:textId="22426B12"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354 </w:t>
            </w:r>
          </w:p>
        </w:tc>
        <w:tc>
          <w:tcPr>
            <w:tcW w:w="1503" w:type="dxa"/>
            <w:noWrap/>
            <w:vAlign w:val="bottom"/>
          </w:tcPr>
          <w:p w14:paraId="74AD59DB" w14:textId="69124802"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277 </w:t>
            </w:r>
          </w:p>
        </w:tc>
        <w:tc>
          <w:tcPr>
            <w:tcW w:w="1503" w:type="dxa"/>
            <w:noWrap/>
            <w:vAlign w:val="bottom"/>
          </w:tcPr>
          <w:p w14:paraId="395D0A70" w14:textId="7D6176F3"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76 </w:t>
            </w:r>
          </w:p>
        </w:tc>
        <w:tc>
          <w:tcPr>
            <w:tcW w:w="1503" w:type="dxa"/>
            <w:noWrap/>
            <w:vAlign w:val="bottom"/>
          </w:tcPr>
          <w:p w14:paraId="41664979" w14:textId="589AE2BE"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354 </w:t>
            </w:r>
          </w:p>
        </w:tc>
      </w:tr>
      <w:tr w:rsidR="00A87C6F" w:rsidRPr="00A320BB" w14:paraId="03040A69" w14:textId="77777777" w:rsidTr="00A87C6F">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619852A7" w14:textId="77777777" w:rsidR="00A87C6F" w:rsidRPr="00785CA8" w:rsidRDefault="00A87C6F" w:rsidP="00A87C6F">
            <w:pPr>
              <w:rPr>
                <w:color w:val="auto"/>
                <w:lang w:eastAsia="en-AU"/>
              </w:rPr>
            </w:pPr>
            <w:r w:rsidRPr="00785CA8">
              <w:rPr>
                <w:color w:val="auto"/>
              </w:rPr>
              <w:t>Office - paper</w:t>
            </w:r>
          </w:p>
        </w:tc>
        <w:tc>
          <w:tcPr>
            <w:tcW w:w="1502" w:type="dxa"/>
            <w:noWrap/>
            <w:vAlign w:val="bottom"/>
          </w:tcPr>
          <w:p w14:paraId="2BA7B79F" w14:textId="1F1D3CA5"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190 </w:t>
            </w:r>
          </w:p>
        </w:tc>
        <w:tc>
          <w:tcPr>
            <w:tcW w:w="1503" w:type="dxa"/>
            <w:noWrap/>
            <w:vAlign w:val="bottom"/>
          </w:tcPr>
          <w:p w14:paraId="5C3C1844" w14:textId="3FAC3CDD"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186 </w:t>
            </w:r>
          </w:p>
        </w:tc>
        <w:tc>
          <w:tcPr>
            <w:tcW w:w="1503" w:type="dxa"/>
            <w:noWrap/>
            <w:vAlign w:val="bottom"/>
          </w:tcPr>
          <w:p w14:paraId="087BC9D0" w14:textId="4DA7C998"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4 </w:t>
            </w:r>
          </w:p>
        </w:tc>
        <w:tc>
          <w:tcPr>
            <w:tcW w:w="1503" w:type="dxa"/>
            <w:noWrap/>
            <w:vAlign w:val="bottom"/>
          </w:tcPr>
          <w:p w14:paraId="0FF9F3A0" w14:textId="48F96D63" w:rsidR="00A87C6F" w:rsidRPr="00A87C6F" w:rsidRDefault="00A87C6F" w:rsidP="00A87C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AU"/>
              </w:rPr>
            </w:pPr>
            <w:r w:rsidRPr="00A87C6F">
              <w:rPr>
                <w:rFonts w:asciiTheme="minorHAnsi" w:hAnsiTheme="minorHAnsi" w:cstheme="minorHAnsi"/>
                <w:color w:val="000000"/>
                <w:szCs w:val="24"/>
              </w:rPr>
              <w:t xml:space="preserve">                      190 </w:t>
            </w:r>
          </w:p>
        </w:tc>
      </w:tr>
    </w:tbl>
    <w:p w14:paraId="0048719E" w14:textId="4EDC689A" w:rsidR="00785CA8" w:rsidRDefault="00785CA8" w:rsidP="00785CA8">
      <w:pPr>
        <w:rPr>
          <w:b/>
          <w:bCs/>
        </w:rPr>
      </w:pPr>
    </w:p>
    <w:p w14:paraId="0401D33A" w14:textId="36DEBC27" w:rsidR="00785CA8" w:rsidRDefault="00A87C6F" w:rsidP="00785CA8">
      <w:pPr>
        <w:spacing w:after="0"/>
        <w:rPr>
          <w:rFonts w:eastAsia="Arial" w:cs="Times New Roman"/>
        </w:rPr>
      </w:pPr>
      <w:r>
        <w:rPr>
          <w:rFonts w:eastAsia="Arial" w:cs="Times New Roman"/>
        </w:rPr>
        <w:fldChar w:fldCharType="begin"/>
      </w:r>
      <w:r>
        <w:rPr>
          <w:rFonts w:eastAsia="Arial" w:cs="Times New Roman"/>
        </w:rPr>
        <w:instrText xml:space="preserve"> REF _Ref208216618 \h </w:instrText>
      </w:r>
      <w:r>
        <w:rPr>
          <w:rFonts w:eastAsia="Arial" w:cs="Times New Roman"/>
        </w:rPr>
      </w:r>
      <w:r>
        <w:rPr>
          <w:rFonts w:eastAsia="Arial" w:cs="Times New Roman"/>
        </w:rPr>
        <w:fldChar w:fldCharType="separate"/>
      </w:r>
      <w:r w:rsidRPr="006B6CFF">
        <w:t xml:space="preserve">Table </w:t>
      </w:r>
      <w:r>
        <w:rPr>
          <w:noProof/>
        </w:rPr>
        <w:t>3</w:t>
      </w:r>
      <w:r>
        <w:rPr>
          <w:rFonts w:eastAsia="Arial" w:cs="Times New Roman"/>
        </w:rPr>
        <w:fldChar w:fldCharType="end"/>
      </w:r>
      <w:r w:rsidR="00785CA8" w:rsidRPr="00FA1B5B">
        <w:rPr>
          <w:rFonts w:eastAsia="Arial" w:cs="Times New Roman"/>
        </w:rPr>
        <w:t xml:space="preserve"> describes how TMR’s waste</w:t>
      </w:r>
      <w:r w:rsidR="00785CA8" w:rsidRPr="00FA1B5B">
        <w:rPr>
          <w:rFonts w:eastAsia="Arial" w:cs="Times New Roman"/>
          <w:bCs/>
        </w:rPr>
        <w:t xml:space="preserve"> streams align</w:t>
      </w:r>
      <w:r w:rsidR="00785CA8" w:rsidRPr="00FA1B5B">
        <w:rPr>
          <w:rFonts w:eastAsia="Arial" w:cs="Times New Roman"/>
        </w:rPr>
        <w:t xml:space="preserve"> with the Department of Environment and Science waste classification.</w:t>
      </w:r>
    </w:p>
    <w:p w14:paraId="5511136A" w14:textId="77777777" w:rsidR="00785CA8" w:rsidRDefault="00785CA8" w:rsidP="00785CA8">
      <w:pPr>
        <w:spacing w:after="0"/>
        <w:rPr>
          <w:rFonts w:eastAsia="Arial" w:cs="Times New Roman"/>
          <w:bCs/>
        </w:rPr>
      </w:pPr>
    </w:p>
    <w:p w14:paraId="0B229DF5" w14:textId="4215DA94" w:rsidR="00785CA8" w:rsidRPr="006B6CFF" w:rsidRDefault="00785CA8" w:rsidP="00785CA8">
      <w:pPr>
        <w:pStyle w:val="Caption"/>
      </w:pPr>
      <w:bookmarkStart w:id="31" w:name="_Ref208216618"/>
      <w:r w:rsidRPr="006B6CFF">
        <w:t xml:space="preserve">Table </w:t>
      </w:r>
      <w:r w:rsidRPr="006B6CFF">
        <w:fldChar w:fldCharType="begin"/>
      </w:r>
      <w:r w:rsidRPr="006B6CFF">
        <w:instrText xml:space="preserve"> SEQ Table \* ARABIC </w:instrText>
      </w:r>
      <w:r w:rsidRPr="006B6CFF">
        <w:fldChar w:fldCharType="separate"/>
      </w:r>
      <w:r w:rsidR="00A87C6F">
        <w:rPr>
          <w:noProof/>
        </w:rPr>
        <w:t>3</w:t>
      </w:r>
      <w:r w:rsidRPr="006B6CFF">
        <w:fldChar w:fldCharType="end"/>
      </w:r>
      <w:bookmarkEnd w:id="31"/>
      <w:r w:rsidRPr="006B6CFF">
        <w:t>: TMR waste stream descriptions.</w:t>
      </w:r>
    </w:p>
    <w:tbl>
      <w:tblPr>
        <w:tblStyle w:val="NavyTable"/>
        <w:tblpPr w:leftFromText="181" w:rightFromText="181" w:vertAnchor="text" w:horzAnchor="margin" w:tblpY="1"/>
        <w:tblW w:w="5000" w:type="pct"/>
        <w:tblInd w:w="0" w:type="dxa"/>
        <w:tblLook w:val="0620" w:firstRow="1" w:lastRow="0" w:firstColumn="0" w:lastColumn="0" w:noHBand="1" w:noVBand="1"/>
      </w:tblPr>
      <w:tblGrid>
        <w:gridCol w:w="2524"/>
        <w:gridCol w:w="2267"/>
        <w:gridCol w:w="4279"/>
      </w:tblGrid>
      <w:tr w:rsidR="00785CA8" w:rsidRPr="00A40544" w14:paraId="39B7E6CA" w14:textId="77777777">
        <w:trPr>
          <w:cnfStyle w:val="100000000000" w:firstRow="1" w:lastRow="0" w:firstColumn="0" w:lastColumn="0" w:oddVBand="0" w:evenVBand="0" w:oddHBand="0" w:evenHBand="0" w:firstRowFirstColumn="0" w:firstRowLastColumn="0" w:lastRowFirstColumn="0" w:lastRowLastColumn="0"/>
          <w:trHeight w:val="300"/>
          <w:tblHeader/>
        </w:trPr>
        <w:tc>
          <w:tcPr>
            <w:tcW w:w="1197" w:type="pct"/>
            <w:hideMark/>
          </w:tcPr>
          <w:p w14:paraId="4A126851" w14:textId="77777777" w:rsidR="00785CA8" w:rsidRPr="00A40544" w:rsidRDefault="00785CA8">
            <w:pPr>
              <w:pStyle w:val="BodyText"/>
              <w:rPr>
                <w:lang w:eastAsia="en-AU"/>
              </w:rPr>
            </w:pPr>
            <w:r w:rsidRPr="00A40544">
              <w:rPr>
                <w:lang w:eastAsia="en-AU"/>
              </w:rPr>
              <w:t>General waste</w:t>
            </w:r>
          </w:p>
        </w:tc>
        <w:tc>
          <w:tcPr>
            <w:tcW w:w="1347" w:type="pct"/>
            <w:hideMark/>
          </w:tcPr>
          <w:p w14:paraId="3F38BAA0" w14:textId="77777777" w:rsidR="00785CA8" w:rsidRPr="00A40544" w:rsidRDefault="00785CA8">
            <w:pPr>
              <w:pStyle w:val="BodyText"/>
              <w:rPr>
                <w:lang w:eastAsia="en-AU"/>
              </w:rPr>
            </w:pPr>
            <w:r w:rsidRPr="00A40544">
              <w:rPr>
                <w:lang w:eastAsia="en-AU"/>
              </w:rPr>
              <w:t>TMR waste streams</w:t>
            </w:r>
          </w:p>
        </w:tc>
        <w:tc>
          <w:tcPr>
            <w:tcW w:w="2456" w:type="pct"/>
            <w:noWrap/>
            <w:hideMark/>
          </w:tcPr>
          <w:p w14:paraId="7E5C65BC" w14:textId="77777777" w:rsidR="00785CA8" w:rsidRPr="00A40544" w:rsidRDefault="00785CA8">
            <w:pPr>
              <w:pStyle w:val="BodyText"/>
              <w:rPr>
                <w:lang w:eastAsia="en-AU"/>
              </w:rPr>
            </w:pPr>
            <w:r w:rsidRPr="00A40544">
              <w:rPr>
                <w:lang w:eastAsia="en-AU"/>
              </w:rPr>
              <w:t>Description</w:t>
            </w:r>
          </w:p>
        </w:tc>
      </w:tr>
      <w:tr w:rsidR="00785CA8" w:rsidRPr="00A40544" w14:paraId="62C34627" w14:textId="77777777">
        <w:trPr>
          <w:trHeight w:val="531"/>
        </w:trPr>
        <w:tc>
          <w:tcPr>
            <w:tcW w:w="1197" w:type="pct"/>
            <w:vMerge w:val="restart"/>
            <w:hideMark/>
          </w:tcPr>
          <w:p w14:paraId="5F1DB935" w14:textId="77777777" w:rsidR="00785CA8" w:rsidRPr="00A40544" w:rsidRDefault="00785CA8">
            <w:pPr>
              <w:pStyle w:val="BodyText"/>
              <w:rPr>
                <w:lang w:eastAsia="en-AU"/>
              </w:rPr>
            </w:pPr>
            <w:r w:rsidRPr="00A40544">
              <w:rPr>
                <w:lang w:eastAsia="en-AU"/>
              </w:rPr>
              <w:t>Office waste</w:t>
            </w:r>
          </w:p>
        </w:tc>
        <w:tc>
          <w:tcPr>
            <w:tcW w:w="1347" w:type="pct"/>
            <w:hideMark/>
          </w:tcPr>
          <w:p w14:paraId="125720B1" w14:textId="77777777" w:rsidR="00785CA8" w:rsidRPr="00A40544" w:rsidRDefault="00785CA8">
            <w:pPr>
              <w:pStyle w:val="BodyText"/>
              <w:rPr>
                <w:lang w:eastAsia="en-AU"/>
              </w:rPr>
            </w:pPr>
            <w:r w:rsidRPr="00A40544">
              <w:rPr>
                <w:lang w:eastAsia="en-AU"/>
              </w:rPr>
              <w:t>Office – recyclables</w:t>
            </w:r>
          </w:p>
        </w:tc>
        <w:tc>
          <w:tcPr>
            <w:tcW w:w="2456" w:type="pct"/>
            <w:hideMark/>
          </w:tcPr>
          <w:p w14:paraId="338DD223" w14:textId="77777777" w:rsidR="00785CA8" w:rsidRPr="00A40544" w:rsidRDefault="00785CA8">
            <w:pPr>
              <w:pStyle w:val="BodyText"/>
              <w:rPr>
                <w:lang w:eastAsia="en-AU"/>
              </w:rPr>
            </w:pPr>
            <w:r w:rsidRPr="00A40544">
              <w:rPr>
                <w:lang w:eastAsia="en-AU"/>
              </w:rPr>
              <w:t>Mixed recyclables including plastic plates, bottles, aluminium cans etc.</w:t>
            </w:r>
          </w:p>
        </w:tc>
      </w:tr>
      <w:tr w:rsidR="00785CA8" w:rsidRPr="00A40544" w14:paraId="7725CD84" w14:textId="77777777">
        <w:trPr>
          <w:trHeight w:val="400"/>
        </w:trPr>
        <w:tc>
          <w:tcPr>
            <w:tcW w:w="1197" w:type="pct"/>
            <w:vMerge/>
            <w:hideMark/>
          </w:tcPr>
          <w:p w14:paraId="78674445" w14:textId="77777777" w:rsidR="00785CA8" w:rsidRPr="00A40544" w:rsidRDefault="00785CA8">
            <w:pPr>
              <w:pStyle w:val="BodyText"/>
              <w:rPr>
                <w:lang w:eastAsia="en-AU"/>
              </w:rPr>
            </w:pPr>
          </w:p>
        </w:tc>
        <w:tc>
          <w:tcPr>
            <w:tcW w:w="1347" w:type="pct"/>
            <w:hideMark/>
          </w:tcPr>
          <w:p w14:paraId="2CB2FFCE" w14:textId="77777777" w:rsidR="00785CA8" w:rsidRPr="00A40544" w:rsidRDefault="00785CA8">
            <w:pPr>
              <w:pStyle w:val="BodyText"/>
              <w:rPr>
                <w:lang w:eastAsia="en-AU"/>
              </w:rPr>
            </w:pPr>
            <w:r w:rsidRPr="00A40544">
              <w:rPr>
                <w:lang w:eastAsia="en-AU"/>
              </w:rPr>
              <w:t>Office – paper</w:t>
            </w:r>
          </w:p>
        </w:tc>
        <w:tc>
          <w:tcPr>
            <w:tcW w:w="2456" w:type="pct"/>
            <w:hideMark/>
          </w:tcPr>
          <w:p w14:paraId="6A0C5BAC" w14:textId="77777777" w:rsidR="00785CA8" w:rsidRPr="00A40544" w:rsidRDefault="00785CA8">
            <w:pPr>
              <w:pStyle w:val="BodyText"/>
              <w:rPr>
                <w:lang w:eastAsia="en-AU"/>
              </w:rPr>
            </w:pPr>
            <w:r w:rsidRPr="00A40544">
              <w:rPr>
                <w:lang w:eastAsia="en-AU"/>
              </w:rPr>
              <w:t>Paper and cardboard recyclable waste.</w:t>
            </w:r>
          </w:p>
        </w:tc>
      </w:tr>
      <w:tr w:rsidR="00785CA8" w:rsidRPr="00A40544" w14:paraId="48FC5871" w14:textId="77777777">
        <w:trPr>
          <w:trHeight w:val="962"/>
        </w:trPr>
        <w:tc>
          <w:tcPr>
            <w:tcW w:w="1197" w:type="pct"/>
            <w:vMerge w:val="restart"/>
            <w:hideMark/>
          </w:tcPr>
          <w:p w14:paraId="004A40B6" w14:textId="77777777" w:rsidR="00785CA8" w:rsidRPr="00A40544" w:rsidRDefault="00785CA8">
            <w:pPr>
              <w:pStyle w:val="BodyText"/>
              <w:rPr>
                <w:lang w:eastAsia="en-AU"/>
              </w:rPr>
            </w:pPr>
            <w:r w:rsidRPr="00A40544">
              <w:rPr>
                <w:lang w:eastAsia="en-AU"/>
              </w:rPr>
              <w:t>Construction and demolition waste</w:t>
            </w:r>
          </w:p>
        </w:tc>
        <w:tc>
          <w:tcPr>
            <w:tcW w:w="1347" w:type="pct"/>
            <w:hideMark/>
          </w:tcPr>
          <w:p w14:paraId="3BA12E0E" w14:textId="77777777" w:rsidR="00785CA8" w:rsidRPr="00A40544" w:rsidRDefault="00785CA8">
            <w:pPr>
              <w:pStyle w:val="BodyText"/>
              <w:rPr>
                <w:lang w:eastAsia="en-AU"/>
              </w:rPr>
            </w:pPr>
            <w:r w:rsidRPr="00A40544">
              <w:rPr>
                <w:lang w:eastAsia="en-AU"/>
              </w:rPr>
              <w:t>Excess earthworks/ embankment/fill</w:t>
            </w:r>
          </w:p>
        </w:tc>
        <w:tc>
          <w:tcPr>
            <w:tcW w:w="2456" w:type="pct"/>
            <w:hideMark/>
          </w:tcPr>
          <w:p w14:paraId="3170A1CF" w14:textId="77777777" w:rsidR="00785CA8" w:rsidRPr="00A40544" w:rsidRDefault="00785CA8">
            <w:pPr>
              <w:pStyle w:val="BodyText"/>
              <w:rPr>
                <w:lang w:eastAsia="en-AU"/>
              </w:rPr>
            </w:pPr>
            <w:r w:rsidRPr="00A40544">
              <w:rPr>
                <w:lang w:eastAsia="en-AU"/>
              </w:rPr>
              <w:t>Any excess earthworks, embankment or fill generated by a project which is then exported outside the project boundary for either reuse, recycle or landfill beyond the project boundary.</w:t>
            </w:r>
          </w:p>
        </w:tc>
      </w:tr>
      <w:tr w:rsidR="00785CA8" w:rsidRPr="00A40544" w14:paraId="777B1726" w14:textId="77777777">
        <w:trPr>
          <w:trHeight w:val="586"/>
        </w:trPr>
        <w:tc>
          <w:tcPr>
            <w:tcW w:w="1197" w:type="pct"/>
            <w:vMerge/>
            <w:hideMark/>
          </w:tcPr>
          <w:p w14:paraId="13D9C384" w14:textId="77777777" w:rsidR="00785CA8" w:rsidRPr="00A40544" w:rsidRDefault="00785CA8">
            <w:pPr>
              <w:pStyle w:val="BodyText"/>
              <w:rPr>
                <w:lang w:eastAsia="en-AU"/>
              </w:rPr>
            </w:pPr>
          </w:p>
        </w:tc>
        <w:tc>
          <w:tcPr>
            <w:tcW w:w="1347" w:type="pct"/>
            <w:hideMark/>
          </w:tcPr>
          <w:p w14:paraId="242E57FA" w14:textId="77777777" w:rsidR="00785CA8" w:rsidRPr="00A40544" w:rsidRDefault="00785CA8">
            <w:pPr>
              <w:pStyle w:val="BodyText"/>
              <w:rPr>
                <w:lang w:eastAsia="en-AU"/>
              </w:rPr>
            </w:pPr>
            <w:r w:rsidRPr="00A40544">
              <w:rPr>
                <w:lang w:eastAsia="en-AU"/>
              </w:rPr>
              <w:t>Other contaminated Earthworks</w:t>
            </w:r>
          </w:p>
        </w:tc>
        <w:tc>
          <w:tcPr>
            <w:tcW w:w="2456" w:type="pct"/>
            <w:hideMark/>
          </w:tcPr>
          <w:p w14:paraId="20F1CE11" w14:textId="77777777" w:rsidR="00785CA8" w:rsidRPr="00A40544" w:rsidRDefault="00785CA8">
            <w:pPr>
              <w:pStyle w:val="BodyText"/>
              <w:rPr>
                <w:lang w:eastAsia="en-AU"/>
              </w:rPr>
            </w:pPr>
            <w:r w:rsidRPr="00A40544">
              <w:rPr>
                <w:lang w:eastAsia="en-AU"/>
              </w:rPr>
              <w:t>Any other contaminated earthworks, but not acid sulphate soils.</w:t>
            </w:r>
          </w:p>
        </w:tc>
      </w:tr>
      <w:tr w:rsidR="00785CA8" w:rsidRPr="00A40544" w14:paraId="4304D433" w14:textId="77777777">
        <w:trPr>
          <w:trHeight w:val="552"/>
        </w:trPr>
        <w:tc>
          <w:tcPr>
            <w:tcW w:w="1197" w:type="pct"/>
            <w:vMerge/>
            <w:hideMark/>
          </w:tcPr>
          <w:p w14:paraId="4833F6C1" w14:textId="77777777" w:rsidR="00785CA8" w:rsidRPr="00A40544" w:rsidRDefault="00785CA8">
            <w:pPr>
              <w:pStyle w:val="BodyText"/>
              <w:rPr>
                <w:lang w:eastAsia="en-AU"/>
              </w:rPr>
            </w:pPr>
          </w:p>
        </w:tc>
        <w:tc>
          <w:tcPr>
            <w:tcW w:w="1347" w:type="pct"/>
            <w:hideMark/>
          </w:tcPr>
          <w:p w14:paraId="0C8E1DF6" w14:textId="77777777" w:rsidR="00785CA8" w:rsidRPr="00A40544" w:rsidRDefault="00785CA8">
            <w:pPr>
              <w:pStyle w:val="BodyText"/>
              <w:rPr>
                <w:lang w:eastAsia="en-AU"/>
              </w:rPr>
            </w:pPr>
            <w:r w:rsidRPr="00A40544">
              <w:rPr>
                <w:lang w:eastAsia="en-AU"/>
              </w:rPr>
              <w:t>Asphalt and profiles (RAP)</w:t>
            </w:r>
          </w:p>
        </w:tc>
        <w:tc>
          <w:tcPr>
            <w:tcW w:w="2456" w:type="pct"/>
            <w:hideMark/>
          </w:tcPr>
          <w:p w14:paraId="432023A9" w14:textId="77777777" w:rsidR="00785CA8" w:rsidRPr="00A40544" w:rsidRDefault="00785CA8">
            <w:pPr>
              <w:pStyle w:val="BodyText"/>
              <w:rPr>
                <w:lang w:eastAsia="en-AU"/>
              </w:rPr>
            </w:pPr>
            <w:r w:rsidRPr="00A40544">
              <w:rPr>
                <w:lang w:eastAsia="en-AU"/>
              </w:rPr>
              <w:t>Asphalt only (not chip seals and other pavements).</w:t>
            </w:r>
          </w:p>
        </w:tc>
      </w:tr>
      <w:tr w:rsidR="00785CA8" w:rsidRPr="00A40544" w14:paraId="0A32BEB9" w14:textId="77777777">
        <w:trPr>
          <w:trHeight w:val="560"/>
        </w:trPr>
        <w:tc>
          <w:tcPr>
            <w:tcW w:w="1197" w:type="pct"/>
            <w:vMerge/>
            <w:hideMark/>
          </w:tcPr>
          <w:p w14:paraId="2B4D7F25" w14:textId="77777777" w:rsidR="00785CA8" w:rsidRPr="00A40544" w:rsidRDefault="00785CA8">
            <w:pPr>
              <w:pStyle w:val="BodyText"/>
              <w:rPr>
                <w:lang w:eastAsia="en-AU"/>
              </w:rPr>
            </w:pPr>
          </w:p>
        </w:tc>
        <w:tc>
          <w:tcPr>
            <w:tcW w:w="1347" w:type="pct"/>
            <w:hideMark/>
          </w:tcPr>
          <w:p w14:paraId="57138761" w14:textId="77777777" w:rsidR="00785CA8" w:rsidRPr="00A40544" w:rsidRDefault="00785CA8">
            <w:pPr>
              <w:pStyle w:val="BodyText"/>
              <w:rPr>
                <w:lang w:eastAsia="en-AU"/>
              </w:rPr>
            </w:pPr>
            <w:r w:rsidRPr="00A40544">
              <w:rPr>
                <w:lang w:eastAsia="en-AU"/>
              </w:rPr>
              <w:t>Other recovered pavement materials</w:t>
            </w:r>
          </w:p>
        </w:tc>
        <w:tc>
          <w:tcPr>
            <w:tcW w:w="2456" w:type="pct"/>
            <w:hideMark/>
          </w:tcPr>
          <w:p w14:paraId="233D8562" w14:textId="77777777" w:rsidR="00785CA8" w:rsidRPr="00A40544" w:rsidRDefault="00785CA8">
            <w:pPr>
              <w:pStyle w:val="BodyText"/>
              <w:rPr>
                <w:lang w:eastAsia="en-AU"/>
              </w:rPr>
            </w:pPr>
            <w:r w:rsidRPr="00A40544">
              <w:rPr>
                <w:lang w:eastAsia="en-AU"/>
              </w:rPr>
              <w:t>Spray seal pavements, stabilised pavements (not asphalt).</w:t>
            </w:r>
          </w:p>
        </w:tc>
      </w:tr>
      <w:tr w:rsidR="00785CA8" w:rsidRPr="00A40544" w14:paraId="73E4D56C" w14:textId="77777777">
        <w:trPr>
          <w:trHeight w:val="554"/>
        </w:trPr>
        <w:tc>
          <w:tcPr>
            <w:tcW w:w="1197" w:type="pct"/>
            <w:vMerge/>
            <w:hideMark/>
          </w:tcPr>
          <w:p w14:paraId="57CB6292" w14:textId="77777777" w:rsidR="00785CA8" w:rsidRPr="00A40544" w:rsidRDefault="00785CA8">
            <w:pPr>
              <w:pStyle w:val="BodyText"/>
              <w:rPr>
                <w:lang w:eastAsia="en-AU"/>
              </w:rPr>
            </w:pPr>
          </w:p>
        </w:tc>
        <w:tc>
          <w:tcPr>
            <w:tcW w:w="1347" w:type="pct"/>
            <w:hideMark/>
          </w:tcPr>
          <w:p w14:paraId="3091710D" w14:textId="77777777" w:rsidR="00785CA8" w:rsidRPr="00A40544" w:rsidRDefault="00785CA8">
            <w:pPr>
              <w:pStyle w:val="BodyText"/>
              <w:rPr>
                <w:lang w:eastAsia="en-AU"/>
              </w:rPr>
            </w:pPr>
            <w:r w:rsidRPr="00A40544">
              <w:rPr>
                <w:lang w:eastAsia="en-AU"/>
              </w:rPr>
              <w:t>Concrete</w:t>
            </w:r>
          </w:p>
        </w:tc>
        <w:tc>
          <w:tcPr>
            <w:tcW w:w="2456" w:type="pct"/>
            <w:hideMark/>
          </w:tcPr>
          <w:p w14:paraId="56AADCC8" w14:textId="77777777" w:rsidR="00785CA8" w:rsidRPr="00A40544" w:rsidRDefault="00785CA8">
            <w:pPr>
              <w:pStyle w:val="BodyText"/>
              <w:rPr>
                <w:lang w:eastAsia="en-AU"/>
              </w:rPr>
            </w:pPr>
            <w:r w:rsidRPr="00A40544">
              <w:rPr>
                <w:lang w:eastAsia="en-AU"/>
              </w:rPr>
              <w:t xml:space="preserve">Structural concrete, shotcrete, hardened grout, concrete washout. </w:t>
            </w:r>
          </w:p>
        </w:tc>
      </w:tr>
      <w:tr w:rsidR="00785CA8" w:rsidRPr="00A40544" w14:paraId="2A5A5C4C" w14:textId="77777777">
        <w:trPr>
          <w:trHeight w:val="288"/>
        </w:trPr>
        <w:tc>
          <w:tcPr>
            <w:tcW w:w="1197" w:type="pct"/>
            <w:vMerge/>
            <w:hideMark/>
          </w:tcPr>
          <w:p w14:paraId="2CDC783D" w14:textId="77777777" w:rsidR="00785CA8" w:rsidRPr="00A40544" w:rsidRDefault="00785CA8">
            <w:pPr>
              <w:pStyle w:val="BodyText"/>
              <w:rPr>
                <w:lang w:eastAsia="en-AU"/>
              </w:rPr>
            </w:pPr>
          </w:p>
        </w:tc>
        <w:tc>
          <w:tcPr>
            <w:tcW w:w="1347" w:type="pct"/>
            <w:hideMark/>
          </w:tcPr>
          <w:p w14:paraId="20FD7422" w14:textId="77777777" w:rsidR="00785CA8" w:rsidRPr="00A40544" w:rsidRDefault="00785CA8">
            <w:pPr>
              <w:pStyle w:val="BodyText"/>
              <w:rPr>
                <w:lang w:eastAsia="en-AU"/>
              </w:rPr>
            </w:pPr>
            <w:r w:rsidRPr="00A40544">
              <w:rPr>
                <w:lang w:eastAsia="en-AU"/>
              </w:rPr>
              <w:t>Metal</w:t>
            </w:r>
          </w:p>
        </w:tc>
        <w:tc>
          <w:tcPr>
            <w:tcW w:w="2456" w:type="pct"/>
            <w:hideMark/>
          </w:tcPr>
          <w:p w14:paraId="365D0A21" w14:textId="77777777" w:rsidR="00785CA8" w:rsidRPr="00A40544" w:rsidRDefault="00785CA8">
            <w:pPr>
              <w:pStyle w:val="BodyText"/>
              <w:rPr>
                <w:lang w:eastAsia="en-AU"/>
              </w:rPr>
            </w:pPr>
            <w:r w:rsidRPr="00A40544">
              <w:rPr>
                <w:lang w:eastAsia="en-AU"/>
              </w:rPr>
              <w:t xml:space="preserve">Signposts, guardrails etc. </w:t>
            </w:r>
          </w:p>
        </w:tc>
      </w:tr>
      <w:tr w:rsidR="00785CA8" w:rsidRPr="00A40544" w14:paraId="0BD3686F" w14:textId="77777777">
        <w:trPr>
          <w:trHeight w:val="836"/>
        </w:trPr>
        <w:tc>
          <w:tcPr>
            <w:tcW w:w="1197" w:type="pct"/>
            <w:vMerge/>
            <w:hideMark/>
          </w:tcPr>
          <w:p w14:paraId="67938DF3" w14:textId="77777777" w:rsidR="00785CA8" w:rsidRPr="00A40544" w:rsidRDefault="00785CA8">
            <w:pPr>
              <w:pStyle w:val="BodyText"/>
              <w:rPr>
                <w:lang w:eastAsia="en-AU"/>
              </w:rPr>
            </w:pPr>
          </w:p>
        </w:tc>
        <w:tc>
          <w:tcPr>
            <w:tcW w:w="1347" w:type="pct"/>
            <w:hideMark/>
          </w:tcPr>
          <w:p w14:paraId="22B981EA" w14:textId="77777777" w:rsidR="00785CA8" w:rsidRPr="00A40544" w:rsidRDefault="00785CA8">
            <w:pPr>
              <w:pStyle w:val="BodyText"/>
              <w:rPr>
                <w:lang w:eastAsia="en-AU"/>
              </w:rPr>
            </w:pPr>
            <w:r w:rsidRPr="00A40544">
              <w:rPr>
                <w:lang w:eastAsia="en-AU"/>
              </w:rPr>
              <w:t>Other construction waste (timber, glass, plastic, bricks)</w:t>
            </w:r>
          </w:p>
        </w:tc>
        <w:tc>
          <w:tcPr>
            <w:tcW w:w="2456" w:type="pct"/>
            <w:hideMark/>
          </w:tcPr>
          <w:p w14:paraId="41B9B14B" w14:textId="77777777" w:rsidR="00785CA8" w:rsidRPr="00A40544" w:rsidRDefault="00785CA8">
            <w:pPr>
              <w:pStyle w:val="BodyText"/>
              <w:rPr>
                <w:lang w:eastAsia="en-AU"/>
              </w:rPr>
            </w:pPr>
            <w:r w:rsidRPr="00A40544">
              <w:rPr>
                <w:lang w:eastAsia="en-AU"/>
              </w:rPr>
              <w:t>Any construction waste not accounted for in other construction waste categories, such as uncontaminated timber, glass, plastic and bricks).</w:t>
            </w:r>
          </w:p>
        </w:tc>
      </w:tr>
      <w:tr w:rsidR="00785CA8" w:rsidRPr="00A40544" w14:paraId="735EAA0F" w14:textId="77777777">
        <w:trPr>
          <w:trHeight w:val="288"/>
        </w:trPr>
        <w:tc>
          <w:tcPr>
            <w:tcW w:w="1197" w:type="pct"/>
            <w:vMerge/>
            <w:hideMark/>
          </w:tcPr>
          <w:p w14:paraId="485A2A2A" w14:textId="77777777" w:rsidR="00785CA8" w:rsidRPr="00A40544" w:rsidRDefault="00785CA8">
            <w:pPr>
              <w:pStyle w:val="BodyText"/>
              <w:rPr>
                <w:lang w:eastAsia="en-AU"/>
              </w:rPr>
            </w:pPr>
          </w:p>
        </w:tc>
        <w:tc>
          <w:tcPr>
            <w:tcW w:w="1347" w:type="pct"/>
            <w:hideMark/>
          </w:tcPr>
          <w:p w14:paraId="46105DCE" w14:textId="77777777" w:rsidR="00785CA8" w:rsidRPr="00A40544" w:rsidRDefault="00785CA8">
            <w:pPr>
              <w:pStyle w:val="BodyText"/>
              <w:rPr>
                <w:lang w:eastAsia="en-AU"/>
              </w:rPr>
            </w:pPr>
            <w:r w:rsidRPr="00A40544">
              <w:rPr>
                <w:lang w:eastAsia="en-AU"/>
              </w:rPr>
              <w:t>Acid Sulphate Soil</w:t>
            </w:r>
          </w:p>
        </w:tc>
        <w:tc>
          <w:tcPr>
            <w:tcW w:w="2456" w:type="pct"/>
            <w:hideMark/>
          </w:tcPr>
          <w:p w14:paraId="7CEB8BC9" w14:textId="77777777" w:rsidR="00785CA8" w:rsidRPr="00A40544" w:rsidRDefault="00785CA8">
            <w:pPr>
              <w:pStyle w:val="BodyText"/>
              <w:rPr>
                <w:lang w:eastAsia="en-AU"/>
              </w:rPr>
            </w:pPr>
            <w:r w:rsidRPr="00A40544">
              <w:rPr>
                <w:lang w:eastAsia="en-AU"/>
              </w:rPr>
              <w:t>Acid Sulphate Soils.</w:t>
            </w:r>
          </w:p>
        </w:tc>
      </w:tr>
      <w:tr w:rsidR="00785CA8" w:rsidRPr="00A40544" w14:paraId="26B410A1" w14:textId="77777777">
        <w:trPr>
          <w:trHeight w:val="300"/>
        </w:trPr>
        <w:tc>
          <w:tcPr>
            <w:tcW w:w="1197" w:type="pct"/>
            <w:vMerge/>
            <w:hideMark/>
          </w:tcPr>
          <w:p w14:paraId="11AEEE06" w14:textId="77777777" w:rsidR="00785CA8" w:rsidRPr="00A40544" w:rsidRDefault="00785CA8">
            <w:pPr>
              <w:pStyle w:val="BodyText"/>
              <w:rPr>
                <w:lang w:eastAsia="en-AU"/>
              </w:rPr>
            </w:pPr>
          </w:p>
        </w:tc>
        <w:tc>
          <w:tcPr>
            <w:tcW w:w="1347" w:type="pct"/>
            <w:hideMark/>
          </w:tcPr>
          <w:p w14:paraId="7EEE174B" w14:textId="77777777" w:rsidR="00785CA8" w:rsidRPr="00A40544" w:rsidRDefault="00785CA8">
            <w:pPr>
              <w:pStyle w:val="BodyText"/>
              <w:rPr>
                <w:lang w:eastAsia="en-AU"/>
              </w:rPr>
            </w:pPr>
            <w:r w:rsidRPr="00A40544">
              <w:rPr>
                <w:lang w:eastAsia="en-AU"/>
              </w:rPr>
              <w:t>General refuse</w:t>
            </w:r>
          </w:p>
        </w:tc>
        <w:tc>
          <w:tcPr>
            <w:tcW w:w="2456" w:type="pct"/>
            <w:hideMark/>
          </w:tcPr>
          <w:p w14:paraId="0F00A484" w14:textId="77777777" w:rsidR="00785CA8" w:rsidRPr="00A40544" w:rsidRDefault="00785CA8">
            <w:pPr>
              <w:pStyle w:val="BodyText"/>
              <w:rPr>
                <w:lang w:eastAsia="en-AU"/>
              </w:rPr>
            </w:pPr>
            <w:r w:rsidRPr="00A40544">
              <w:rPr>
                <w:lang w:eastAsia="en-AU"/>
              </w:rPr>
              <w:t xml:space="preserve">Cardboard, plastic packaging. </w:t>
            </w:r>
          </w:p>
        </w:tc>
      </w:tr>
      <w:tr w:rsidR="00785CA8" w:rsidRPr="00A40544" w14:paraId="0A579F69" w14:textId="77777777">
        <w:trPr>
          <w:trHeight w:val="564"/>
        </w:trPr>
        <w:tc>
          <w:tcPr>
            <w:tcW w:w="1197" w:type="pct"/>
            <w:hideMark/>
          </w:tcPr>
          <w:p w14:paraId="64EEBE90" w14:textId="77777777" w:rsidR="00785CA8" w:rsidRPr="00A40544" w:rsidRDefault="00785CA8">
            <w:pPr>
              <w:pStyle w:val="BodyText"/>
              <w:rPr>
                <w:lang w:eastAsia="en-AU"/>
              </w:rPr>
            </w:pPr>
            <w:r w:rsidRPr="00A40544">
              <w:rPr>
                <w:lang w:eastAsia="en-AU"/>
              </w:rPr>
              <w:t>Green waste (land clearance, parks and gardens)</w:t>
            </w:r>
          </w:p>
        </w:tc>
        <w:tc>
          <w:tcPr>
            <w:tcW w:w="1347" w:type="pct"/>
            <w:hideMark/>
          </w:tcPr>
          <w:p w14:paraId="36117E7E" w14:textId="77777777" w:rsidR="00785CA8" w:rsidRPr="00A40544" w:rsidRDefault="00785CA8">
            <w:pPr>
              <w:pStyle w:val="BodyText"/>
              <w:rPr>
                <w:lang w:eastAsia="en-AU"/>
              </w:rPr>
            </w:pPr>
            <w:r w:rsidRPr="00A40544">
              <w:rPr>
                <w:lang w:eastAsia="en-AU"/>
              </w:rPr>
              <w:t>Vegetation</w:t>
            </w:r>
          </w:p>
        </w:tc>
        <w:tc>
          <w:tcPr>
            <w:tcW w:w="2456" w:type="pct"/>
            <w:hideMark/>
          </w:tcPr>
          <w:p w14:paraId="582E7BFE" w14:textId="77777777" w:rsidR="00785CA8" w:rsidRPr="00A40544" w:rsidRDefault="00785CA8">
            <w:pPr>
              <w:pStyle w:val="BodyText"/>
              <w:rPr>
                <w:lang w:eastAsia="en-AU"/>
              </w:rPr>
            </w:pPr>
            <w:r w:rsidRPr="00A40544">
              <w:rPr>
                <w:lang w:eastAsia="en-AU"/>
              </w:rPr>
              <w:t xml:space="preserve">Timber vegetation, stripped grasses etc. </w:t>
            </w:r>
          </w:p>
        </w:tc>
      </w:tr>
      <w:tr w:rsidR="00785CA8" w:rsidRPr="00A40544" w14:paraId="6759A55E" w14:textId="77777777">
        <w:trPr>
          <w:trHeight w:val="564"/>
        </w:trPr>
        <w:tc>
          <w:tcPr>
            <w:tcW w:w="1197" w:type="pct"/>
            <w:hideMark/>
          </w:tcPr>
          <w:p w14:paraId="5E8B3458" w14:textId="77777777" w:rsidR="00785CA8" w:rsidRPr="00A40544" w:rsidRDefault="00785CA8">
            <w:pPr>
              <w:pStyle w:val="BodyText"/>
              <w:rPr>
                <w:lang w:eastAsia="en-AU"/>
              </w:rPr>
            </w:pPr>
            <w:r w:rsidRPr="00A40544">
              <w:rPr>
                <w:lang w:eastAsia="en-AU"/>
              </w:rPr>
              <w:t>Food waste (kitchen waste)</w:t>
            </w:r>
          </w:p>
        </w:tc>
        <w:tc>
          <w:tcPr>
            <w:tcW w:w="1347" w:type="pct"/>
            <w:hideMark/>
          </w:tcPr>
          <w:p w14:paraId="1D63EC76" w14:textId="77777777" w:rsidR="00785CA8" w:rsidRPr="00A40544" w:rsidRDefault="00785CA8">
            <w:pPr>
              <w:pStyle w:val="BodyText"/>
              <w:rPr>
                <w:lang w:eastAsia="en-AU"/>
              </w:rPr>
            </w:pPr>
            <w:r w:rsidRPr="00A40544">
              <w:rPr>
                <w:lang w:eastAsia="en-AU"/>
              </w:rPr>
              <w:t>Office – General and food waste</w:t>
            </w:r>
          </w:p>
        </w:tc>
        <w:tc>
          <w:tcPr>
            <w:tcW w:w="2456" w:type="pct"/>
            <w:hideMark/>
          </w:tcPr>
          <w:p w14:paraId="1D733234" w14:textId="77777777" w:rsidR="00785CA8" w:rsidRPr="00A40544" w:rsidRDefault="00785CA8">
            <w:pPr>
              <w:pStyle w:val="BodyText"/>
              <w:rPr>
                <w:lang w:eastAsia="en-AU"/>
              </w:rPr>
            </w:pPr>
            <w:r w:rsidRPr="00A40544">
              <w:rPr>
                <w:lang w:eastAsia="en-AU"/>
              </w:rPr>
              <w:t>Putrescibles, kitchen waste, non-recyclable packaging.</w:t>
            </w:r>
          </w:p>
        </w:tc>
      </w:tr>
      <w:tr w:rsidR="00785CA8" w:rsidRPr="00A40544" w14:paraId="14E5CE8E" w14:textId="77777777">
        <w:trPr>
          <w:trHeight w:val="300"/>
        </w:trPr>
        <w:tc>
          <w:tcPr>
            <w:tcW w:w="1197" w:type="pct"/>
            <w:hideMark/>
          </w:tcPr>
          <w:p w14:paraId="7529F4FE" w14:textId="77777777" w:rsidR="00785CA8" w:rsidRPr="00A40544" w:rsidRDefault="00785CA8">
            <w:pPr>
              <w:pStyle w:val="BodyText"/>
              <w:rPr>
                <w:lang w:eastAsia="en-AU"/>
              </w:rPr>
            </w:pPr>
            <w:r w:rsidRPr="00A40544">
              <w:rPr>
                <w:lang w:eastAsia="en-AU"/>
              </w:rPr>
              <w:lastRenderedPageBreak/>
              <w:t>Mechanical/workshop waste</w:t>
            </w:r>
          </w:p>
        </w:tc>
        <w:tc>
          <w:tcPr>
            <w:tcW w:w="1347" w:type="pct"/>
            <w:hideMark/>
          </w:tcPr>
          <w:p w14:paraId="65A8990D" w14:textId="77777777" w:rsidR="00785CA8" w:rsidRPr="00A40544" w:rsidRDefault="00785CA8">
            <w:pPr>
              <w:pStyle w:val="BodyText"/>
              <w:rPr>
                <w:lang w:eastAsia="en-AU"/>
              </w:rPr>
            </w:pPr>
            <w:r w:rsidRPr="00A40544">
              <w:rPr>
                <w:lang w:eastAsia="en-AU"/>
              </w:rPr>
              <w:t>Tyres and rubber</w:t>
            </w:r>
          </w:p>
        </w:tc>
        <w:tc>
          <w:tcPr>
            <w:tcW w:w="2456" w:type="pct"/>
            <w:hideMark/>
          </w:tcPr>
          <w:p w14:paraId="10046D67" w14:textId="77777777" w:rsidR="00785CA8" w:rsidRPr="00A40544" w:rsidRDefault="00785CA8">
            <w:pPr>
              <w:pStyle w:val="BodyText"/>
              <w:rPr>
                <w:lang w:eastAsia="en-AU"/>
              </w:rPr>
            </w:pPr>
            <w:r w:rsidRPr="00A40544">
              <w:rPr>
                <w:lang w:eastAsia="en-AU"/>
              </w:rPr>
              <w:t>Waste tyres.</w:t>
            </w:r>
          </w:p>
        </w:tc>
      </w:tr>
      <w:tr w:rsidR="00785CA8" w:rsidRPr="00A40544" w14:paraId="780D5288" w14:textId="77777777">
        <w:trPr>
          <w:trHeight w:val="288"/>
        </w:trPr>
        <w:tc>
          <w:tcPr>
            <w:tcW w:w="1197" w:type="pct"/>
            <w:hideMark/>
          </w:tcPr>
          <w:p w14:paraId="4F31D1A9" w14:textId="77777777" w:rsidR="00785CA8" w:rsidRPr="00A40544" w:rsidRDefault="00785CA8">
            <w:pPr>
              <w:pStyle w:val="BodyText"/>
              <w:rPr>
                <w:lang w:eastAsia="en-AU"/>
              </w:rPr>
            </w:pPr>
            <w:r w:rsidRPr="00A40544">
              <w:rPr>
                <w:lang w:eastAsia="en-AU"/>
              </w:rPr>
              <w:t>E-waste</w:t>
            </w:r>
          </w:p>
        </w:tc>
        <w:tc>
          <w:tcPr>
            <w:tcW w:w="1347" w:type="pct"/>
            <w:hideMark/>
          </w:tcPr>
          <w:p w14:paraId="45452373" w14:textId="77777777" w:rsidR="00785CA8" w:rsidRPr="00A40544" w:rsidRDefault="00785CA8">
            <w:pPr>
              <w:pStyle w:val="BodyText"/>
              <w:rPr>
                <w:lang w:eastAsia="en-AU"/>
              </w:rPr>
            </w:pPr>
            <w:r w:rsidRPr="00A40544">
              <w:rPr>
                <w:lang w:eastAsia="en-AU"/>
              </w:rPr>
              <w:t>Regulated waste cat 2</w:t>
            </w:r>
          </w:p>
        </w:tc>
        <w:tc>
          <w:tcPr>
            <w:tcW w:w="2456" w:type="pct"/>
            <w:noWrap/>
            <w:hideMark/>
          </w:tcPr>
          <w:p w14:paraId="086DD191" w14:textId="77777777" w:rsidR="00785CA8" w:rsidRPr="00A40544" w:rsidRDefault="00785CA8">
            <w:pPr>
              <w:pStyle w:val="BodyText"/>
              <w:rPr>
                <w:lang w:eastAsia="en-AU"/>
              </w:rPr>
            </w:pPr>
            <w:r w:rsidRPr="00A40544">
              <w:rPr>
                <w:lang w:eastAsia="en-AU"/>
              </w:rPr>
              <w:t>N/A</w:t>
            </w:r>
          </w:p>
        </w:tc>
      </w:tr>
      <w:tr w:rsidR="00785CA8" w:rsidRPr="00A40544" w14:paraId="174E14FF" w14:textId="77777777">
        <w:trPr>
          <w:trHeight w:val="1104"/>
        </w:trPr>
        <w:tc>
          <w:tcPr>
            <w:tcW w:w="1197" w:type="pct"/>
            <w:vMerge w:val="restart"/>
            <w:hideMark/>
          </w:tcPr>
          <w:p w14:paraId="322427B7" w14:textId="77777777" w:rsidR="00785CA8" w:rsidRPr="00A40544" w:rsidRDefault="00785CA8">
            <w:pPr>
              <w:pStyle w:val="BodyText"/>
              <w:rPr>
                <w:lang w:eastAsia="en-AU"/>
              </w:rPr>
            </w:pPr>
            <w:r w:rsidRPr="00A40544">
              <w:rPr>
                <w:lang w:eastAsia="en-AU"/>
              </w:rPr>
              <w:t>Chemical wastes</w:t>
            </w:r>
          </w:p>
        </w:tc>
        <w:tc>
          <w:tcPr>
            <w:tcW w:w="1347" w:type="pct"/>
            <w:hideMark/>
          </w:tcPr>
          <w:p w14:paraId="30145825" w14:textId="77777777" w:rsidR="00785CA8" w:rsidRPr="00A40544" w:rsidRDefault="00785CA8">
            <w:pPr>
              <w:pStyle w:val="BodyText"/>
              <w:rPr>
                <w:lang w:eastAsia="en-AU"/>
              </w:rPr>
            </w:pPr>
            <w:r w:rsidRPr="00A40544">
              <w:rPr>
                <w:lang w:eastAsia="en-AU"/>
              </w:rPr>
              <w:t>Regulated waste cat 1</w:t>
            </w:r>
          </w:p>
        </w:tc>
        <w:tc>
          <w:tcPr>
            <w:tcW w:w="2456" w:type="pct"/>
            <w:hideMark/>
          </w:tcPr>
          <w:p w14:paraId="178653EB" w14:textId="77777777" w:rsidR="00785CA8" w:rsidRPr="00A40544" w:rsidRDefault="00785CA8">
            <w:pPr>
              <w:pStyle w:val="BodyText"/>
              <w:rPr>
                <w:lang w:eastAsia="en-AU"/>
              </w:rPr>
            </w:pPr>
            <w:r w:rsidRPr="00A40544">
              <w:rPr>
                <w:lang w:eastAsia="en-AU"/>
              </w:rPr>
              <w:t>Regulated waste is category 1 regulated waste if it meets the requirements of section 43 of the EP Regulation.</w:t>
            </w:r>
          </w:p>
        </w:tc>
      </w:tr>
      <w:tr w:rsidR="00785CA8" w:rsidRPr="00A40544" w14:paraId="2642855C" w14:textId="77777777">
        <w:trPr>
          <w:trHeight w:val="840"/>
        </w:trPr>
        <w:tc>
          <w:tcPr>
            <w:tcW w:w="1197" w:type="pct"/>
            <w:vMerge/>
            <w:hideMark/>
          </w:tcPr>
          <w:p w14:paraId="29883E13" w14:textId="77777777" w:rsidR="00785CA8" w:rsidRPr="00A40544" w:rsidRDefault="00785CA8">
            <w:pPr>
              <w:pStyle w:val="BodyText"/>
              <w:rPr>
                <w:lang w:eastAsia="en-AU"/>
              </w:rPr>
            </w:pPr>
          </w:p>
        </w:tc>
        <w:tc>
          <w:tcPr>
            <w:tcW w:w="1347" w:type="pct"/>
            <w:hideMark/>
          </w:tcPr>
          <w:p w14:paraId="6AC224A9" w14:textId="77777777" w:rsidR="00785CA8" w:rsidRPr="00A40544" w:rsidRDefault="00785CA8">
            <w:pPr>
              <w:pStyle w:val="BodyText"/>
              <w:rPr>
                <w:lang w:eastAsia="en-AU"/>
              </w:rPr>
            </w:pPr>
            <w:r w:rsidRPr="00A40544">
              <w:rPr>
                <w:lang w:eastAsia="en-AU"/>
              </w:rPr>
              <w:t>Regulated waste cat 2</w:t>
            </w:r>
          </w:p>
        </w:tc>
        <w:tc>
          <w:tcPr>
            <w:tcW w:w="2456" w:type="pct"/>
            <w:hideMark/>
          </w:tcPr>
          <w:p w14:paraId="3505455B" w14:textId="77777777" w:rsidR="00785CA8" w:rsidRPr="00A40544" w:rsidRDefault="00785CA8">
            <w:pPr>
              <w:pStyle w:val="BodyText"/>
              <w:rPr>
                <w:lang w:eastAsia="en-AU"/>
              </w:rPr>
            </w:pPr>
            <w:r w:rsidRPr="00A40544">
              <w:rPr>
                <w:lang w:eastAsia="en-AU"/>
              </w:rPr>
              <w:t>Regulated waste is category 2 regulated waste if it is not category 1 regulated waste.</w:t>
            </w:r>
          </w:p>
        </w:tc>
      </w:tr>
      <w:tr w:rsidR="00785CA8" w:rsidRPr="00A40544" w14:paraId="6FE1C967" w14:textId="77777777">
        <w:trPr>
          <w:trHeight w:val="552"/>
        </w:trPr>
        <w:tc>
          <w:tcPr>
            <w:tcW w:w="1197" w:type="pct"/>
            <w:hideMark/>
          </w:tcPr>
          <w:p w14:paraId="6102D0F8" w14:textId="77777777" w:rsidR="00785CA8" w:rsidRPr="00A40544" w:rsidRDefault="00785CA8">
            <w:pPr>
              <w:pStyle w:val="BodyText"/>
              <w:rPr>
                <w:lang w:eastAsia="en-AU"/>
              </w:rPr>
            </w:pPr>
            <w:r w:rsidRPr="00A40544">
              <w:rPr>
                <w:lang w:eastAsia="en-AU"/>
              </w:rPr>
              <w:t>Sewage</w:t>
            </w:r>
          </w:p>
        </w:tc>
        <w:tc>
          <w:tcPr>
            <w:tcW w:w="1347" w:type="pct"/>
            <w:hideMark/>
          </w:tcPr>
          <w:p w14:paraId="44179CED" w14:textId="77777777" w:rsidR="00785CA8" w:rsidRPr="00A40544" w:rsidRDefault="00785CA8">
            <w:pPr>
              <w:pStyle w:val="BodyText"/>
              <w:rPr>
                <w:lang w:eastAsia="en-AU"/>
              </w:rPr>
            </w:pPr>
            <w:r w:rsidRPr="00A40544">
              <w:rPr>
                <w:lang w:eastAsia="en-AU"/>
              </w:rPr>
              <w:t>Septic general</w:t>
            </w:r>
          </w:p>
        </w:tc>
        <w:tc>
          <w:tcPr>
            <w:tcW w:w="2456" w:type="pct"/>
            <w:hideMark/>
          </w:tcPr>
          <w:p w14:paraId="58EBF9FA" w14:textId="77777777" w:rsidR="00785CA8" w:rsidRPr="00A40544" w:rsidRDefault="00785CA8">
            <w:pPr>
              <w:pStyle w:val="BodyText"/>
              <w:rPr>
                <w:lang w:eastAsia="en-AU"/>
              </w:rPr>
            </w:pPr>
            <w:r w:rsidRPr="00A40544">
              <w:rPr>
                <w:lang w:eastAsia="en-AU"/>
              </w:rPr>
              <w:t>Septic waste generated by projects.</w:t>
            </w:r>
          </w:p>
        </w:tc>
      </w:tr>
      <w:tr w:rsidR="00785CA8" w:rsidRPr="00A40544" w14:paraId="7B37BD1E" w14:textId="77777777">
        <w:trPr>
          <w:trHeight w:val="564"/>
        </w:trPr>
        <w:tc>
          <w:tcPr>
            <w:tcW w:w="1197" w:type="pct"/>
            <w:hideMark/>
          </w:tcPr>
          <w:p w14:paraId="43F86F9A" w14:textId="77777777" w:rsidR="00785CA8" w:rsidRPr="00A40544" w:rsidRDefault="00785CA8">
            <w:pPr>
              <w:pStyle w:val="BodyText"/>
              <w:rPr>
                <w:lang w:eastAsia="en-AU"/>
              </w:rPr>
            </w:pPr>
            <w:r w:rsidRPr="00A40544">
              <w:rPr>
                <w:lang w:eastAsia="en-AU"/>
              </w:rPr>
              <w:t>Litter or illegally dumped waste</w:t>
            </w:r>
          </w:p>
        </w:tc>
        <w:tc>
          <w:tcPr>
            <w:tcW w:w="1347" w:type="pct"/>
            <w:hideMark/>
          </w:tcPr>
          <w:p w14:paraId="2CDE321A" w14:textId="77777777" w:rsidR="00785CA8" w:rsidRPr="00A40544" w:rsidRDefault="00785CA8">
            <w:pPr>
              <w:pStyle w:val="BodyText"/>
              <w:rPr>
                <w:lang w:eastAsia="en-AU"/>
              </w:rPr>
            </w:pPr>
            <w:r w:rsidRPr="00A40544">
              <w:rPr>
                <w:lang w:eastAsia="en-AU"/>
              </w:rPr>
              <w:t>Illegally dumped refuse</w:t>
            </w:r>
          </w:p>
        </w:tc>
        <w:tc>
          <w:tcPr>
            <w:tcW w:w="2456" w:type="pct"/>
            <w:hideMark/>
          </w:tcPr>
          <w:p w14:paraId="6334CA0A" w14:textId="77777777" w:rsidR="00785CA8" w:rsidRPr="00A40544" w:rsidRDefault="00785CA8">
            <w:pPr>
              <w:pStyle w:val="BodyText"/>
              <w:rPr>
                <w:lang w:eastAsia="en-AU"/>
              </w:rPr>
            </w:pPr>
            <w:r w:rsidRPr="00A40544">
              <w:rPr>
                <w:lang w:eastAsia="en-AU"/>
              </w:rPr>
              <w:t>Waste collected from road reserve.</w:t>
            </w:r>
          </w:p>
        </w:tc>
      </w:tr>
    </w:tbl>
    <w:p w14:paraId="47EDAC8F" w14:textId="77777777" w:rsidR="00785CA8" w:rsidRPr="00785CA8" w:rsidRDefault="00785CA8" w:rsidP="00785CA8">
      <w:pPr>
        <w:rPr>
          <w:b/>
          <w:bCs/>
        </w:rPr>
      </w:pPr>
    </w:p>
    <w:p w14:paraId="763B633B" w14:textId="77777777" w:rsidR="00785CA8" w:rsidRPr="00785CA8" w:rsidRDefault="00785CA8" w:rsidP="00785CA8">
      <w:pPr>
        <w:numPr>
          <w:ilvl w:val="0"/>
          <w:numId w:val="44"/>
        </w:numPr>
        <w:rPr>
          <w:b/>
          <w:bCs/>
        </w:rPr>
      </w:pPr>
      <w:r w:rsidRPr="00785CA8">
        <w:rPr>
          <w:b/>
          <w:bCs/>
        </w:rPr>
        <w:t>Please list actions taken by your department/agency to reduce the amount of waste generated during 2024-25.</w:t>
      </w:r>
    </w:p>
    <w:p w14:paraId="25B731C8" w14:textId="1F30889D" w:rsidR="00785CA8" w:rsidRPr="00785CA8" w:rsidRDefault="00A87C6F" w:rsidP="00785CA8">
      <w:pPr>
        <w:spacing w:after="0"/>
        <w:rPr>
          <w:rFonts w:eastAsia="Arial" w:cs="Times New Roman"/>
        </w:rPr>
      </w:pPr>
      <w:r>
        <w:rPr>
          <w:rFonts w:eastAsia="Calibri" w:cs="Times New Roman"/>
        </w:rPr>
        <w:t>TMR took no specific actions in 2024-2025 to reduce waste generated.</w:t>
      </w:r>
    </w:p>
    <w:p w14:paraId="082A19AF" w14:textId="2C31E4F0" w:rsidR="00785CA8" w:rsidRPr="00785CA8" w:rsidRDefault="00785CA8" w:rsidP="00785CA8"/>
    <w:p w14:paraId="52280CEA" w14:textId="77777777" w:rsidR="00785CA8" w:rsidRPr="00785CA8" w:rsidRDefault="00785CA8" w:rsidP="00785CA8">
      <w:pPr>
        <w:numPr>
          <w:ilvl w:val="0"/>
          <w:numId w:val="44"/>
        </w:numPr>
        <w:rPr>
          <w:b/>
          <w:bCs/>
        </w:rPr>
      </w:pPr>
      <w:r w:rsidRPr="00785CA8">
        <w:rPr>
          <w:b/>
          <w:bCs/>
        </w:rPr>
        <w:t>Please discuss actions taken by your department/service to recover, and re-use or recycle waste during 2024-25.</w:t>
      </w:r>
    </w:p>
    <w:p w14:paraId="2259C267" w14:textId="40DE71BB" w:rsidR="00A87C6F" w:rsidRPr="00A87C6F" w:rsidRDefault="00A87C6F" w:rsidP="00A87C6F">
      <w:pPr>
        <w:spacing w:after="0"/>
        <w:rPr>
          <w:rFonts w:eastAsia="Arial" w:cs="Times New Roman"/>
        </w:rPr>
      </w:pPr>
      <w:r w:rsidRPr="00A87C6F">
        <w:rPr>
          <w:rFonts w:eastAsia="Calibri" w:cs="Times New Roman"/>
        </w:rPr>
        <w:t xml:space="preserve">TMR took no specific actions in 2024-2025 to </w:t>
      </w:r>
      <w:r>
        <w:rPr>
          <w:rFonts w:eastAsia="Calibri" w:cs="Times New Roman"/>
        </w:rPr>
        <w:t>recover, and reuse or recycle</w:t>
      </w:r>
      <w:r w:rsidRPr="00A87C6F">
        <w:rPr>
          <w:rFonts w:eastAsia="Calibri" w:cs="Times New Roman"/>
        </w:rPr>
        <w:t xml:space="preserve"> waste generated.</w:t>
      </w:r>
    </w:p>
    <w:p w14:paraId="0B0F40D2" w14:textId="166FB14D" w:rsidR="00785CA8" w:rsidRPr="00785CA8" w:rsidRDefault="00785CA8" w:rsidP="00785CA8"/>
    <w:p w14:paraId="38052491" w14:textId="29AD3AC0" w:rsidR="00785CA8" w:rsidRPr="00A87C6F" w:rsidRDefault="00785CA8" w:rsidP="00785CA8">
      <w:pPr>
        <w:numPr>
          <w:ilvl w:val="0"/>
          <w:numId w:val="44"/>
        </w:numPr>
        <w:rPr>
          <w:b/>
          <w:bCs/>
        </w:rPr>
      </w:pPr>
      <w:r w:rsidRPr="1F409A84">
        <w:rPr>
          <w:b/>
          <w:bCs/>
        </w:rPr>
        <w:t>Please discuss actions taken by your department/agency to increase the use of recycled materials during 2024-25.</w:t>
      </w:r>
    </w:p>
    <w:p w14:paraId="5CA64B1A" w14:textId="75B3A48C" w:rsidR="00785CA8" w:rsidRDefault="00785CA8" w:rsidP="00A87C6F">
      <w:pPr>
        <w:autoSpaceDE w:val="0"/>
        <w:autoSpaceDN w:val="0"/>
        <w:adjustRightInd w:val="0"/>
        <w:spacing w:after="0"/>
        <w:rPr>
          <w:rFonts w:eastAsia="Arial"/>
        </w:rPr>
      </w:pPr>
      <w:r w:rsidRPr="00A87C6F">
        <w:rPr>
          <w:rFonts w:eastAsia="Arial"/>
        </w:rPr>
        <w:t xml:space="preserve">TMR has continued to use the National Asset Centre of Excellence (NACOE) Program, a collaborative research agreement with the Australian Road Research Board, to conduct research and development on use of recycled materials in infrastructure. </w:t>
      </w:r>
    </w:p>
    <w:p w14:paraId="24AE2805" w14:textId="77777777" w:rsidR="00A87C6F" w:rsidRPr="00A87C6F" w:rsidRDefault="00A87C6F" w:rsidP="00A87C6F">
      <w:pPr>
        <w:autoSpaceDE w:val="0"/>
        <w:autoSpaceDN w:val="0"/>
        <w:adjustRightInd w:val="0"/>
        <w:spacing w:after="0"/>
        <w:rPr>
          <w:rFonts w:eastAsia="Arial"/>
        </w:rPr>
      </w:pPr>
    </w:p>
    <w:p w14:paraId="240D2015" w14:textId="31C14DA5" w:rsidR="00785CA8" w:rsidRPr="005540A7" w:rsidRDefault="00785CA8" w:rsidP="00785CA8">
      <w:pPr>
        <w:numPr>
          <w:ilvl w:val="0"/>
          <w:numId w:val="44"/>
        </w:numPr>
        <w:rPr>
          <w:b/>
          <w:bCs/>
        </w:rPr>
      </w:pPr>
      <w:r w:rsidRPr="00785CA8">
        <w:rPr>
          <w:b/>
          <w:bCs/>
        </w:rPr>
        <w:t>Please discuss progress made by your department/agency in relation to its waste and recycling performance indicators during 2024-25.</w:t>
      </w:r>
    </w:p>
    <w:p w14:paraId="16951E1F" w14:textId="5547DCE4" w:rsidR="00785CA8" w:rsidRDefault="00785CA8" w:rsidP="00785CA8">
      <w:pPr>
        <w:spacing w:after="0"/>
        <w:rPr>
          <w:rFonts w:eastAsia="Calibri" w:cs="Times New Roman"/>
        </w:rPr>
      </w:pPr>
      <w:r w:rsidRPr="009C0098">
        <w:rPr>
          <w:rFonts w:eastAsia="Calibri" w:cs="Times New Roman"/>
        </w:rPr>
        <w:t xml:space="preserve">TMR has had a consistently high diversion rate </w:t>
      </w:r>
      <w:r w:rsidR="009C0098" w:rsidRPr="009C0098">
        <w:rPr>
          <w:rFonts w:eastAsia="Calibri" w:cs="Times New Roman"/>
        </w:rPr>
        <w:t>however this has been trending down</w:t>
      </w:r>
      <w:r w:rsidRPr="009C0098">
        <w:rPr>
          <w:rFonts w:eastAsia="Calibri" w:cs="Times New Roman"/>
        </w:rPr>
        <w:t xml:space="preserve">. </w:t>
      </w:r>
      <w:r w:rsidR="009C0098" w:rsidRPr="002A0273">
        <w:rPr>
          <w:rFonts w:eastAsia="Calibri" w:cs="Times New Roman"/>
        </w:rPr>
        <w:t xml:space="preserve">This </w:t>
      </w:r>
      <w:r w:rsidR="002A0273" w:rsidRPr="002A0273">
        <w:rPr>
          <w:rFonts w:eastAsia="Calibri" w:cs="Times New Roman"/>
        </w:rPr>
        <w:t xml:space="preserve">correlates with a fall in the diversion rate in excess </w:t>
      </w:r>
      <w:r w:rsidRPr="002A0273">
        <w:rPr>
          <w:rFonts w:eastAsia="Calibri" w:cs="Times New Roman"/>
        </w:rPr>
        <w:t xml:space="preserve">earthworks / embankment / fill. </w:t>
      </w:r>
      <w:r w:rsidR="002A0273" w:rsidRPr="002A0273">
        <w:rPr>
          <w:rFonts w:eastAsia="Calibri" w:cs="Times New Roman"/>
        </w:rPr>
        <w:t>There is insufficient data to determine the reason for this reduction in the diversion rate for earthworks / embankment / fill.</w:t>
      </w:r>
    </w:p>
    <w:p w14:paraId="1E319035" w14:textId="5054A1A2" w:rsidR="002A0273" w:rsidRPr="00785CA8" w:rsidRDefault="002A0273" w:rsidP="00785CA8">
      <w:pPr>
        <w:spacing w:after="0"/>
        <w:rPr>
          <w:rFonts w:eastAsia="Arial" w:cs="Times New Roman"/>
          <w:highlight w:val="yellow"/>
        </w:rPr>
      </w:pPr>
      <w:r>
        <w:rPr>
          <w:rFonts w:eastAsia="Calibri" w:cs="Times New Roman"/>
        </w:rPr>
        <w:t xml:space="preserve">If this trend in the diversion rate for </w:t>
      </w:r>
      <w:r w:rsidRPr="002A0273">
        <w:rPr>
          <w:rFonts w:eastAsia="Calibri" w:cs="Times New Roman"/>
        </w:rPr>
        <w:t>earthworks / embankment / fill</w:t>
      </w:r>
      <w:r>
        <w:rPr>
          <w:rFonts w:eastAsia="Calibri" w:cs="Times New Roman"/>
        </w:rPr>
        <w:t xml:space="preserve"> continues then it is unlikely that TMR will be able to continue to meet</w:t>
      </w:r>
      <w:r w:rsidR="00337B99">
        <w:rPr>
          <w:rFonts w:eastAsia="Calibri" w:cs="Times New Roman"/>
        </w:rPr>
        <w:t xml:space="preserve"> the committed diversion targets.</w:t>
      </w:r>
    </w:p>
    <w:p w14:paraId="40E648B2" w14:textId="77777777" w:rsidR="00785CA8" w:rsidRPr="00785CA8" w:rsidRDefault="00785CA8" w:rsidP="00785CA8">
      <w:pPr>
        <w:rPr>
          <w:b/>
          <w:bCs/>
        </w:rPr>
      </w:pPr>
    </w:p>
    <w:p w14:paraId="52CE570B" w14:textId="77777777" w:rsidR="00785CA8" w:rsidRPr="00785CA8" w:rsidRDefault="00785CA8" w:rsidP="00785CA8">
      <w:pPr>
        <w:numPr>
          <w:ilvl w:val="0"/>
          <w:numId w:val="44"/>
        </w:numPr>
        <w:rPr>
          <w:b/>
          <w:bCs/>
        </w:rPr>
      </w:pPr>
      <w:r w:rsidRPr="00785CA8">
        <w:rPr>
          <w:b/>
          <w:bCs/>
        </w:rPr>
        <w:t>Please discuss the ways in which your department/agency has contributed towards achieving the goals and targets under Queensland's waste management strategy during 2024-25.</w:t>
      </w:r>
    </w:p>
    <w:p w14:paraId="6ED3FE5B" w14:textId="1E4BC46F" w:rsidR="00785CA8" w:rsidRPr="00A87C6F" w:rsidRDefault="00785CA8" w:rsidP="00785CA8">
      <w:pPr>
        <w:spacing w:after="0"/>
        <w:rPr>
          <w:rFonts w:eastAsia="Arial" w:cs="Times New Roman"/>
        </w:rPr>
      </w:pPr>
      <w:r w:rsidRPr="00A87C6F">
        <w:rPr>
          <w:rFonts w:eastAsia="Calibri" w:cs="Times New Roman"/>
        </w:rPr>
        <w:t xml:space="preserve">The performance against the targets in the Queensland waste management strategy, are shown in </w:t>
      </w:r>
      <w:r w:rsidR="00A87C6F" w:rsidRPr="00A87C6F">
        <w:rPr>
          <w:rFonts w:eastAsia="Calibri" w:cs="Times New Roman"/>
        </w:rPr>
        <w:fldChar w:fldCharType="begin"/>
      </w:r>
      <w:r w:rsidR="00A87C6F" w:rsidRPr="00A87C6F">
        <w:rPr>
          <w:rFonts w:eastAsia="Calibri" w:cs="Times New Roman"/>
        </w:rPr>
        <w:instrText xml:space="preserve"> REF _Ref208216912 \h </w:instrText>
      </w:r>
      <w:r w:rsidR="00A87C6F">
        <w:rPr>
          <w:rFonts w:eastAsia="Calibri" w:cs="Times New Roman"/>
        </w:rPr>
        <w:instrText xml:space="preserve"> \* MERGEFORMAT </w:instrText>
      </w:r>
      <w:r w:rsidR="00A87C6F" w:rsidRPr="00A87C6F">
        <w:rPr>
          <w:rFonts w:eastAsia="Calibri" w:cs="Times New Roman"/>
        </w:rPr>
      </w:r>
      <w:r w:rsidR="00A87C6F" w:rsidRPr="00A87C6F">
        <w:rPr>
          <w:rFonts w:eastAsia="Calibri" w:cs="Times New Roman"/>
        </w:rPr>
        <w:fldChar w:fldCharType="separate"/>
      </w:r>
      <w:r w:rsidR="00A87C6F" w:rsidRPr="00A87C6F">
        <w:t xml:space="preserve">Table </w:t>
      </w:r>
      <w:r w:rsidR="00A87C6F" w:rsidRPr="00A87C6F">
        <w:rPr>
          <w:noProof/>
        </w:rPr>
        <w:t>4</w:t>
      </w:r>
      <w:r w:rsidR="00A87C6F" w:rsidRPr="00A87C6F">
        <w:rPr>
          <w:rFonts w:eastAsia="Calibri" w:cs="Times New Roman"/>
        </w:rPr>
        <w:fldChar w:fldCharType="end"/>
      </w:r>
      <w:r w:rsidRPr="00A87C6F">
        <w:rPr>
          <w:rFonts w:eastAsia="Calibri" w:cs="Times New Roman"/>
        </w:rPr>
        <w:t xml:space="preserve">. There has been a </w:t>
      </w:r>
      <w:r w:rsidR="00A87C6F" w:rsidRPr="00A87C6F">
        <w:rPr>
          <w:rFonts w:eastAsia="Calibri" w:cs="Times New Roman"/>
        </w:rPr>
        <w:t>decrease</w:t>
      </w:r>
      <w:r w:rsidRPr="00A87C6F">
        <w:rPr>
          <w:rFonts w:eastAsia="Calibri" w:cs="Times New Roman"/>
        </w:rPr>
        <w:t xml:space="preserve"> in the diversion rate compared to the last reporting year, </w:t>
      </w:r>
      <w:r w:rsidR="009C0098">
        <w:rPr>
          <w:rFonts w:eastAsia="Calibri" w:cs="Times New Roman"/>
        </w:rPr>
        <w:t>however</w:t>
      </w:r>
      <w:r w:rsidRPr="00A87C6F">
        <w:rPr>
          <w:rFonts w:eastAsia="Calibri" w:cs="Times New Roman"/>
        </w:rPr>
        <w:t xml:space="preserve"> the diversion rate continues to be above the diversion target. TMR has adopted the waste diversion targets for construction and demolition waste as described in </w:t>
      </w:r>
      <w:r w:rsidRPr="00A87C6F">
        <w:rPr>
          <w:rFonts w:eastAsia="Arial" w:cs="Times New Roman"/>
          <w:i/>
          <w:iCs/>
        </w:rPr>
        <w:t>2020 Waste Management and Resource Recovery Strategy</w:t>
      </w:r>
      <w:r w:rsidRPr="00A87C6F">
        <w:rPr>
          <w:rFonts w:eastAsia="Arial" w:cs="Times New Roman"/>
        </w:rPr>
        <w:t>.</w:t>
      </w:r>
    </w:p>
    <w:p w14:paraId="158A117A" w14:textId="77777777" w:rsidR="00A87C6F" w:rsidRPr="00785CA8" w:rsidRDefault="00A87C6F" w:rsidP="00785CA8">
      <w:pPr>
        <w:spacing w:after="0"/>
        <w:rPr>
          <w:rFonts w:eastAsia="Calibri" w:cs="Times New Roman"/>
          <w:highlight w:val="yellow"/>
        </w:rPr>
      </w:pPr>
    </w:p>
    <w:p w14:paraId="55D1E24B" w14:textId="7725CE43" w:rsidR="00785CA8" w:rsidRPr="00A87C6F" w:rsidRDefault="00A87C6F" w:rsidP="00A87C6F">
      <w:pPr>
        <w:pStyle w:val="Caption"/>
        <w:keepNext/>
      </w:pPr>
      <w:bookmarkStart w:id="32" w:name="_Ref208216912"/>
      <w:r>
        <w:t xml:space="preserve">Table </w:t>
      </w:r>
      <w:r>
        <w:fldChar w:fldCharType="begin"/>
      </w:r>
      <w:r>
        <w:instrText xml:space="preserve"> SEQ Table \* ARABIC </w:instrText>
      </w:r>
      <w:r>
        <w:fldChar w:fldCharType="separate"/>
      </w:r>
      <w:r>
        <w:rPr>
          <w:noProof/>
        </w:rPr>
        <w:t>4</w:t>
      </w:r>
      <w:r>
        <w:fldChar w:fldCharType="end"/>
      </w:r>
      <w:bookmarkEnd w:id="32"/>
      <w:r>
        <w:t>:</w:t>
      </w:r>
      <w:r w:rsidRPr="00A87C6F">
        <w:t xml:space="preserve"> Annual trend – diversion rate and diversion target.</w:t>
      </w:r>
    </w:p>
    <w:tbl>
      <w:tblPr>
        <w:tblW w:w="6745" w:type="dxa"/>
        <w:tblLook w:val="04A0" w:firstRow="1" w:lastRow="0" w:firstColumn="1" w:lastColumn="0" w:noHBand="0" w:noVBand="1"/>
      </w:tblPr>
      <w:tblGrid>
        <w:gridCol w:w="1924"/>
        <w:gridCol w:w="1831"/>
        <w:gridCol w:w="2990"/>
      </w:tblGrid>
      <w:tr w:rsidR="00785CA8" w:rsidRPr="00A87C6F" w14:paraId="46CFF49B" w14:textId="77777777">
        <w:trPr>
          <w:trHeight w:val="300"/>
        </w:trPr>
        <w:tc>
          <w:tcPr>
            <w:tcW w:w="1924" w:type="dxa"/>
            <w:tcBorders>
              <w:top w:val="nil"/>
              <w:left w:val="nil"/>
              <w:bottom w:val="nil"/>
              <w:right w:val="single" w:sz="8" w:space="0" w:color="FFFFFF"/>
            </w:tcBorders>
            <w:shd w:val="clear" w:color="000000" w:fill="003E69"/>
            <w:noWrap/>
            <w:vAlign w:val="center"/>
            <w:hideMark/>
          </w:tcPr>
          <w:p w14:paraId="6FE3441D" w14:textId="77777777" w:rsidR="00785CA8" w:rsidRPr="00A87C6F" w:rsidRDefault="00785CA8">
            <w:pPr>
              <w:pStyle w:val="BodyText"/>
              <w:rPr>
                <w:lang w:eastAsia="en-AU"/>
              </w:rPr>
            </w:pPr>
            <w:r w:rsidRPr="00A87C6F">
              <w:rPr>
                <w:lang w:eastAsia="en-AU"/>
              </w:rPr>
              <w:t>Reporting year</w:t>
            </w:r>
          </w:p>
        </w:tc>
        <w:tc>
          <w:tcPr>
            <w:tcW w:w="1831" w:type="dxa"/>
            <w:tcBorders>
              <w:top w:val="nil"/>
              <w:left w:val="nil"/>
              <w:bottom w:val="nil"/>
              <w:right w:val="single" w:sz="8" w:space="0" w:color="FFFFFF"/>
            </w:tcBorders>
            <w:shd w:val="clear" w:color="000000" w:fill="003E69"/>
            <w:noWrap/>
            <w:vAlign w:val="center"/>
            <w:hideMark/>
          </w:tcPr>
          <w:p w14:paraId="7CB909D0" w14:textId="77777777" w:rsidR="00785CA8" w:rsidRPr="00A87C6F" w:rsidRDefault="00785CA8">
            <w:pPr>
              <w:pStyle w:val="BodyText"/>
              <w:rPr>
                <w:lang w:eastAsia="en-AU"/>
              </w:rPr>
            </w:pPr>
            <w:r w:rsidRPr="00A87C6F">
              <w:rPr>
                <w:lang w:eastAsia="en-AU"/>
              </w:rPr>
              <w:t>Diversion rate</w:t>
            </w:r>
          </w:p>
        </w:tc>
        <w:tc>
          <w:tcPr>
            <w:tcW w:w="2990" w:type="dxa"/>
            <w:tcBorders>
              <w:top w:val="nil"/>
              <w:left w:val="nil"/>
              <w:bottom w:val="single" w:sz="8" w:space="0" w:color="003E69"/>
              <w:right w:val="single" w:sz="8" w:space="0" w:color="FFFFFF"/>
            </w:tcBorders>
            <w:shd w:val="clear" w:color="000000" w:fill="003E69"/>
            <w:noWrap/>
            <w:vAlign w:val="center"/>
            <w:hideMark/>
          </w:tcPr>
          <w:p w14:paraId="61BA6560" w14:textId="77777777" w:rsidR="00785CA8" w:rsidRPr="00A87C6F" w:rsidRDefault="00785CA8">
            <w:pPr>
              <w:pStyle w:val="BodyText"/>
              <w:rPr>
                <w:lang w:eastAsia="en-AU"/>
              </w:rPr>
            </w:pPr>
            <w:r w:rsidRPr="00A87C6F">
              <w:rPr>
                <w:lang w:eastAsia="en-AU"/>
              </w:rPr>
              <w:t>Diversion target (WRRS)</w:t>
            </w:r>
          </w:p>
        </w:tc>
      </w:tr>
      <w:tr w:rsidR="00785CA8" w:rsidRPr="00A87C6F" w14:paraId="34E7680D" w14:textId="77777777" w:rsidTr="00E20250">
        <w:trPr>
          <w:trHeight w:val="300"/>
        </w:trPr>
        <w:tc>
          <w:tcPr>
            <w:tcW w:w="1924" w:type="dxa"/>
            <w:tcBorders>
              <w:top w:val="nil"/>
              <w:left w:val="nil"/>
              <w:bottom w:val="single" w:sz="8" w:space="0" w:color="003E69"/>
              <w:right w:val="single" w:sz="8" w:space="0" w:color="FFFFFF"/>
            </w:tcBorders>
            <w:shd w:val="clear" w:color="000000" w:fill="003E69"/>
            <w:noWrap/>
            <w:vAlign w:val="center"/>
            <w:hideMark/>
          </w:tcPr>
          <w:p w14:paraId="32E7CB41" w14:textId="77777777" w:rsidR="00785CA8" w:rsidRPr="00A87C6F" w:rsidRDefault="00785CA8">
            <w:pPr>
              <w:pStyle w:val="BodyText"/>
              <w:rPr>
                <w:lang w:eastAsia="en-AU"/>
              </w:rPr>
            </w:pPr>
            <w:r w:rsidRPr="00A87C6F">
              <w:rPr>
                <w:lang w:eastAsia="en-AU"/>
              </w:rPr>
              <w:t>2017-2018</w:t>
            </w:r>
          </w:p>
        </w:tc>
        <w:tc>
          <w:tcPr>
            <w:tcW w:w="1831" w:type="dxa"/>
            <w:tcBorders>
              <w:top w:val="nil"/>
              <w:left w:val="nil"/>
              <w:bottom w:val="single" w:sz="8" w:space="0" w:color="003E69"/>
              <w:right w:val="single" w:sz="8" w:space="0" w:color="FFFFFF"/>
            </w:tcBorders>
            <w:noWrap/>
            <w:hideMark/>
          </w:tcPr>
          <w:p w14:paraId="016D5A81" w14:textId="77777777" w:rsidR="00785CA8" w:rsidRPr="00A87C6F" w:rsidRDefault="00785CA8">
            <w:pPr>
              <w:pStyle w:val="BodyText"/>
              <w:rPr>
                <w:color w:val="000000"/>
                <w:lang w:eastAsia="en-AU"/>
              </w:rPr>
            </w:pPr>
            <w:r w:rsidRPr="00A87C6F">
              <w:t>83%</w:t>
            </w:r>
          </w:p>
        </w:tc>
        <w:tc>
          <w:tcPr>
            <w:tcW w:w="2990" w:type="dxa"/>
            <w:tcBorders>
              <w:top w:val="nil"/>
              <w:left w:val="nil"/>
              <w:bottom w:val="single" w:sz="8" w:space="0" w:color="003E69"/>
              <w:right w:val="single" w:sz="8" w:space="0" w:color="FFFFFF"/>
            </w:tcBorders>
            <w:noWrap/>
            <w:vAlign w:val="center"/>
            <w:hideMark/>
          </w:tcPr>
          <w:p w14:paraId="5B35AAD4" w14:textId="77777777" w:rsidR="00785CA8" w:rsidRPr="00A87C6F" w:rsidRDefault="00785CA8">
            <w:pPr>
              <w:pStyle w:val="BodyText"/>
              <w:rPr>
                <w:color w:val="000000"/>
                <w:lang w:eastAsia="en-AU"/>
              </w:rPr>
            </w:pPr>
            <w:r w:rsidRPr="00A87C6F">
              <w:rPr>
                <w:color w:val="000000"/>
                <w:lang w:eastAsia="en-AU"/>
              </w:rPr>
              <w:t>50.90%</w:t>
            </w:r>
          </w:p>
        </w:tc>
      </w:tr>
      <w:tr w:rsidR="00785CA8" w:rsidRPr="00A87C6F" w14:paraId="6EFF30EF" w14:textId="77777777" w:rsidTr="00E20250">
        <w:trPr>
          <w:trHeight w:val="300"/>
        </w:trPr>
        <w:tc>
          <w:tcPr>
            <w:tcW w:w="1924" w:type="dxa"/>
            <w:tcBorders>
              <w:top w:val="nil"/>
              <w:left w:val="nil"/>
              <w:bottom w:val="single" w:sz="8" w:space="0" w:color="003E69"/>
              <w:right w:val="single" w:sz="8" w:space="0" w:color="FFFFFF"/>
            </w:tcBorders>
            <w:shd w:val="clear" w:color="000000" w:fill="003E69"/>
            <w:noWrap/>
            <w:vAlign w:val="center"/>
            <w:hideMark/>
          </w:tcPr>
          <w:p w14:paraId="2C8F8248" w14:textId="77777777" w:rsidR="00785CA8" w:rsidRPr="00A87C6F" w:rsidRDefault="00785CA8">
            <w:pPr>
              <w:pStyle w:val="BodyText"/>
              <w:rPr>
                <w:lang w:eastAsia="en-AU"/>
              </w:rPr>
            </w:pPr>
            <w:r w:rsidRPr="00A87C6F">
              <w:rPr>
                <w:lang w:eastAsia="en-AU"/>
              </w:rPr>
              <w:t>2018-2019</w:t>
            </w:r>
          </w:p>
        </w:tc>
        <w:tc>
          <w:tcPr>
            <w:tcW w:w="1831" w:type="dxa"/>
            <w:tcBorders>
              <w:top w:val="nil"/>
              <w:left w:val="nil"/>
              <w:bottom w:val="single" w:sz="8" w:space="0" w:color="003E69"/>
              <w:right w:val="single" w:sz="8" w:space="0" w:color="FFFFFF"/>
            </w:tcBorders>
            <w:noWrap/>
            <w:hideMark/>
          </w:tcPr>
          <w:p w14:paraId="1885C98B" w14:textId="77777777" w:rsidR="00785CA8" w:rsidRPr="00A87C6F" w:rsidRDefault="00785CA8">
            <w:pPr>
              <w:pStyle w:val="BodyText"/>
              <w:rPr>
                <w:color w:val="000000"/>
                <w:lang w:eastAsia="en-AU"/>
              </w:rPr>
            </w:pPr>
            <w:r w:rsidRPr="00A87C6F">
              <w:t>69%</w:t>
            </w:r>
          </w:p>
        </w:tc>
        <w:tc>
          <w:tcPr>
            <w:tcW w:w="2990" w:type="dxa"/>
            <w:tcBorders>
              <w:top w:val="nil"/>
              <w:left w:val="nil"/>
              <w:bottom w:val="single" w:sz="8" w:space="0" w:color="003E69"/>
              <w:right w:val="single" w:sz="8" w:space="0" w:color="FFFFFF"/>
            </w:tcBorders>
            <w:noWrap/>
            <w:vAlign w:val="center"/>
            <w:hideMark/>
          </w:tcPr>
          <w:p w14:paraId="5F91949D" w14:textId="77777777" w:rsidR="00785CA8" w:rsidRPr="00A87C6F" w:rsidRDefault="00785CA8">
            <w:pPr>
              <w:pStyle w:val="BodyText"/>
              <w:rPr>
                <w:color w:val="000000"/>
                <w:lang w:eastAsia="en-AU"/>
              </w:rPr>
            </w:pPr>
            <w:r w:rsidRPr="00A87C6F">
              <w:rPr>
                <w:color w:val="000000"/>
                <w:lang w:eastAsia="en-AU"/>
              </w:rPr>
              <w:t>54.30%</w:t>
            </w:r>
          </w:p>
        </w:tc>
      </w:tr>
      <w:tr w:rsidR="00785CA8" w:rsidRPr="00A87C6F" w14:paraId="0BE565E0" w14:textId="77777777" w:rsidTr="00E20250">
        <w:trPr>
          <w:trHeight w:val="300"/>
        </w:trPr>
        <w:tc>
          <w:tcPr>
            <w:tcW w:w="1924" w:type="dxa"/>
            <w:tcBorders>
              <w:top w:val="nil"/>
              <w:left w:val="nil"/>
              <w:bottom w:val="single" w:sz="8" w:space="0" w:color="003E69"/>
              <w:right w:val="single" w:sz="8" w:space="0" w:color="FFFFFF"/>
            </w:tcBorders>
            <w:shd w:val="clear" w:color="000000" w:fill="003E69"/>
            <w:noWrap/>
            <w:vAlign w:val="center"/>
            <w:hideMark/>
          </w:tcPr>
          <w:p w14:paraId="4F05423A" w14:textId="77777777" w:rsidR="00785CA8" w:rsidRPr="00A87C6F" w:rsidRDefault="00785CA8">
            <w:pPr>
              <w:pStyle w:val="BodyText"/>
              <w:rPr>
                <w:lang w:eastAsia="en-AU"/>
              </w:rPr>
            </w:pPr>
            <w:r w:rsidRPr="00A87C6F">
              <w:rPr>
                <w:lang w:eastAsia="en-AU"/>
              </w:rPr>
              <w:t>2019-2020</w:t>
            </w:r>
          </w:p>
        </w:tc>
        <w:tc>
          <w:tcPr>
            <w:tcW w:w="1831" w:type="dxa"/>
            <w:tcBorders>
              <w:top w:val="nil"/>
              <w:left w:val="nil"/>
              <w:bottom w:val="single" w:sz="8" w:space="0" w:color="003E69"/>
              <w:right w:val="single" w:sz="8" w:space="0" w:color="FFFFFF"/>
            </w:tcBorders>
            <w:noWrap/>
            <w:hideMark/>
          </w:tcPr>
          <w:p w14:paraId="17CA7939" w14:textId="77777777" w:rsidR="00785CA8" w:rsidRPr="00A87C6F" w:rsidRDefault="00785CA8">
            <w:pPr>
              <w:pStyle w:val="BodyText"/>
              <w:rPr>
                <w:color w:val="000000"/>
                <w:lang w:eastAsia="en-AU"/>
              </w:rPr>
            </w:pPr>
            <w:r w:rsidRPr="00A87C6F">
              <w:t>77%</w:t>
            </w:r>
          </w:p>
        </w:tc>
        <w:tc>
          <w:tcPr>
            <w:tcW w:w="2990" w:type="dxa"/>
            <w:tcBorders>
              <w:top w:val="nil"/>
              <w:left w:val="nil"/>
              <w:bottom w:val="single" w:sz="8" w:space="0" w:color="003E69"/>
              <w:right w:val="single" w:sz="8" w:space="0" w:color="FFFFFF"/>
            </w:tcBorders>
            <w:noWrap/>
            <w:vAlign w:val="center"/>
            <w:hideMark/>
          </w:tcPr>
          <w:p w14:paraId="4D99447E" w14:textId="77777777" w:rsidR="00785CA8" w:rsidRPr="00A87C6F" w:rsidRDefault="00785CA8">
            <w:pPr>
              <w:pStyle w:val="BodyText"/>
              <w:rPr>
                <w:color w:val="000000"/>
                <w:lang w:eastAsia="en-AU"/>
              </w:rPr>
            </w:pPr>
            <w:r w:rsidRPr="00A87C6F">
              <w:rPr>
                <w:color w:val="000000"/>
                <w:lang w:eastAsia="en-AU"/>
              </w:rPr>
              <w:t>57.80%</w:t>
            </w:r>
          </w:p>
        </w:tc>
      </w:tr>
      <w:tr w:rsidR="00785CA8" w:rsidRPr="00A87C6F" w14:paraId="43021AC6" w14:textId="77777777" w:rsidTr="00E20250">
        <w:trPr>
          <w:trHeight w:val="300"/>
        </w:trPr>
        <w:tc>
          <w:tcPr>
            <w:tcW w:w="1924" w:type="dxa"/>
            <w:tcBorders>
              <w:top w:val="nil"/>
              <w:left w:val="nil"/>
              <w:bottom w:val="single" w:sz="8" w:space="0" w:color="003E69"/>
              <w:right w:val="single" w:sz="8" w:space="0" w:color="FFFFFF"/>
            </w:tcBorders>
            <w:shd w:val="clear" w:color="000000" w:fill="003E69"/>
            <w:noWrap/>
            <w:vAlign w:val="center"/>
            <w:hideMark/>
          </w:tcPr>
          <w:p w14:paraId="7A81FC84" w14:textId="77777777" w:rsidR="00785CA8" w:rsidRPr="00A87C6F" w:rsidRDefault="00785CA8">
            <w:pPr>
              <w:pStyle w:val="BodyText"/>
              <w:rPr>
                <w:lang w:eastAsia="en-AU"/>
              </w:rPr>
            </w:pPr>
            <w:r w:rsidRPr="00A87C6F">
              <w:rPr>
                <w:lang w:eastAsia="en-AU"/>
              </w:rPr>
              <w:t>2020-2021</w:t>
            </w:r>
          </w:p>
        </w:tc>
        <w:tc>
          <w:tcPr>
            <w:tcW w:w="1831" w:type="dxa"/>
            <w:tcBorders>
              <w:top w:val="nil"/>
              <w:left w:val="nil"/>
              <w:bottom w:val="single" w:sz="8" w:space="0" w:color="003E69"/>
              <w:right w:val="single" w:sz="8" w:space="0" w:color="FFFFFF"/>
            </w:tcBorders>
            <w:noWrap/>
            <w:hideMark/>
          </w:tcPr>
          <w:p w14:paraId="67C1525B" w14:textId="77777777" w:rsidR="00785CA8" w:rsidRPr="00A87C6F" w:rsidRDefault="00785CA8">
            <w:pPr>
              <w:pStyle w:val="BodyText"/>
              <w:rPr>
                <w:color w:val="000000"/>
                <w:lang w:eastAsia="en-AU"/>
              </w:rPr>
            </w:pPr>
            <w:r w:rsidRPr="00A87C6F">
              <w:t>88%</w:t>
            </w:r>
          </w:p>
        </w:tc>
        <w:tc>
          <w:tcPr>
            <w:tcW w:w="2990" w:type="dxa"/>
            <w:tcBorders>
              <w:top w:val="nil"/>
              <w:left w:val="nil"/>
              <w:bottom w:val="single" w:sz="8" w:space="0" w:color="003E69"/>
              <w:right w:val="single" w:sz="8" w:space="0" w:color="FFFFFF"/>
            </w:tcBorders>
            <w:noWrap/>
            <w:vAlign w:val="center"/>
            <w:hideMark/>
          </w:tcPr>
          <w:p w14:paraId="7E815761" w14:textId="77777777" w:rsidR="00785CA8" w:rsidRPr="00A87C6F" w:rsidRDefault="00785CA8">
            <w:pPr>
              <w:pStyle w:val="BodyText"/>
              <w:rPr>
                <w:color w:val="000000"/>
                <w:lang w:eastAsia="en-AU"/>
              </w:rPr>
            </w:pPr>
            <w:r w:rsidRPr="00A87C6F">
              <w:rPr>
                <w:color w:val="000000"/>
                <w:lang w:eastAsia="en-AU"/>
              </w:rPr>
              <w:t>61.20%</w:t>
            </w:r>
          </w:p>
        </w:tc>
      </w:tr>
      <w:tr w:rsidR="00785CA8" w:rsidRPr="00A87C6F" w14:paraId="3FE99FC2" w14:textId="77777777" w:rsidTr="00E20250">
        <w:trPr>
          <w:trHeight w:val="300"/>
        </w:trPr>
        <w:tc>
          <w:tcPr>
            <w:tcW w:w="1924" w:type="dxa"/>
            <w:tcBorders>
              <w:top w:val="nil"/>
              <w:left w:val="nil"/>
              <w:bottom w:val="single" w:sz="8" w:space="0" w:color="003E69"/>
              <w:right w:val="single" w:sz="8" w:space="0" w:color="FFFFFF"/>
            </w:tcBorders>
            <w:shd w:val="clear" w:color="000000" w:fill="003E69"/>
            <w:noWrap/>
            <w:vAlign w:val="center"/>
            <w:hideMark/>
          </w:tcPr>
          <w:p w14:paraId="42CA058E" w14:textId="77777777" w:rsidR="00785CA8" w:rsidRPr="00A87C6F" w:rsidRDefault="00785CA8">
            <w:pPr>
              <w:pStyle w:val="BodyText"/>
              <w:rPr>
                <w:lang w:eastAsia="en-AU"/>
              </w:rPr>
            </w:pPr>
            <w:r w:rsidRPr="00A87C6F">
              <w:rPr>
                <w:lang w:eastAsia="en-AU"/>
              </w:rPr>
              <w:t>2021-2022</w:t>
            </w:r>
          </w:p>
        </w:tc>
        <w:tc>
          <w:tcPr>
            <w:tcW w:w="1831" w:type="dxa"/>
            <w:tcBorders>
              <w:top w:val="nil"/>
              <w:left w:val="nil"/>
              <w:bottom w:val="single" w:sz="8" w:space="0" w:color="003E69"/>
              <w:right w:val="single" w:sz="8" w:space="0" w:color="FFFFFF"/>
            </w:tcBorders>
            <w:noWrap/>
            <w:hideMark/>
          </w:tcPr>
          <w:p w14:paraId="5B43FA71" w14:textId="77777777" w:rsidR="00785CA8" w:rsidRPr="00A87C6F" w:rsidRDefault="00785CA8">
            <w:pPr>
              <w:pStyle w:val="BodyText"/>
              <w:rPr>
                <w:color w:val="000000"/>
                <w:lang w:eastAsia="en-AU"/>
              </w:rPr>
            </w:pPr>
            <w:r w:rsidRPr="00A87C6F">
              <w:t>91%</w:t>
            </w:r>
          </w:p>
        </w:tc>
        <w:tc>
          <w:tcPr>
            <w:tcW w:w="2990" w:type="dxa"/>
            <w:tcBorders>
              <w:top w:val="nil"/>
              <w:left w:val="nil"/>
              <w:bottom w:val="single" w:sz="8" w:space="0" w:color="003E69"/>
              <w:right w:val="single" w:sz="8" w:space="0" w:color="FFFFFF"/>
            </w:tcBorders>
            <w:noWrap/>
            <w:vAlign w:val="center"/>
            <w:hideMark/>
          </w:tcPr>
          <w:p w14:paraId="59EBA36E" w14:textId="77777777" w:rsidR="00785CA8" w:rsidRPr="00A87C6F" w:rsidRDefault="00785CA8">
            <w:pPr>
              <w:pStyle w:val="BodyText"/>
              <w:rPr>
                <w:color w:val="000000"/>
                <w:lang w:eastAsia="en-AU"/>
              </w:rPr>
            </w:pPr>
            <w:r w:rsidRPr="00A87C6F">
              <w:rPr>
                <w:color w:val="000000"/>
                <w:lang w:eastAsia="en-AU"/>
              </w:rPr>
              <w:t>64.70%</w:t>
            </w:r>
          </w:p>
        </w:tc>
      </w:tr>
      <w:tr w:rsidR="00785CA8" w:rsidRPr="00785CA8" w14:paraId="0ABBA109" w14:textId="77777777" w:rsidTr="009C0098">
        <w:trPr>
          <w:trHeight w:val="300"/>
        </w:trPr>
        <w:tc>
          <w:tcPr>
            <w:tcW w:w="1924" w:type="dxa"/>
            <w:tcBorders>
              <w:top w:val="nil"/>
              <w:left w:val="nil"/>
              <w:bottom w:val="single" w:sz="8" w:space="0" w:color="003E69"/>
              <w:right w:val="single" w:sz="8" w:space="0" w:color="FFFFFF"/>
            </w:tcBorders>
            <w:shd w:val="clear" w:color="000000" w:fill="003E69"/>
            <w:noWrap/>
            <w:vAlign w:val="center"/>
            <w:hideMark/>
          </w:tcPr>
          <w:p w14:paraId="00A2A56E" w14:textId="77777777" w:rsidR="00785CA8" w:rsidRPr="00A87C6F" w:rsidRDefault="00785CA8">
            <w:pPr>
              <w:pStyle w:val="BodyText"/>
              <w:rPr>
                <w:lang w:eastAsia="en-AU"/>
              </w:rPr>
            </w:pPr>
            <w:r w:rsidRPr="00A87C6F">
              <w:rPr>
                <w:lang w:eastAsia="en-AU"/>
              </w:rPr>
              <w:t>2022-2023</w:t>
            </w:r>
          </w:p>
        </w:tc>
        <w:tc>
          <w:tcPr>
            <w:tcW w:w="1831" w:type="dxa"/>
            <w:tcBorders>
              <w:top w:val="nil"/>
              <w:left w:val="nil"/>
              <w:bottom w:val="single" w:sz="8" w:space="0" w:color="003E69"/>
              <w:right w:val="single" w:sz="8" w:space="0" w:color="FFFFFF"/>
            </w:tcBorders>
            <w:noWrap/>
            <w:hideMark/>
          </w:tcPr>
          <w:p w14:paraId="7AB1192A" w14:textId="77777777" w:rsidR="00785CA8" w:rsidRPr="00A87C6F" w:rsidRDefault="00785CA8">
            <w:pPr>
              <w:pStyle w:val="BodyText"/>
              <w:rPr>
                <w:color w:val="000000"/>
                <w:lang w:eastAsia="en-AU"/>
              </w:rPr>
            </w:pPr>
            <w:r w:rsidRPr="00A87C6F">
              <w:t>86%</w:t>
            </w:r>
          </w:p>
        </w:tc>
        <w:tc>
          <w:tcPr>
            <w:tcW w:w="2990" w:type="dxa"/>
            <w:tcBorders>
              <w:top w:val="nil"/>
              <w:left w:val="nil"/>
              <w:bottom w:val="single" w:sz="8" w:space="0" w:color="003E69"/>
              <w:right w:val="single" w:sz="8" w:space="0" w:color="FFFFFF"/>
            </w:tcBorders>
            <w:noWrap/>
            <w:vAlign w:val="center"/>
            <w:hideMark/>
          </w:tcPr>
          <w:p w14:paraId="771F66E7" w14:textId="77777777" w:rsidR="00785CA8" w:rsidRPr="00A87C6F" w:rsidRDefault="00785CA8">
            <w:pPr>
              <w:pStyle w:val="BodyText"/>
              <w:rPr>
                <w:color w:val="000000"/>
                <w:lang w:eastAsia="en-AU"/>
              </w:rPr>
            </w:pPr>
            <w:r w:rsidRPr="00A87C6F">
              <w:rPr>
                <w:color w:val="000000"/>
                <w:lang w:eastAsia="en-AU"/>
              </w:rPr>
              <w:t>68.10%</w:t>
            </w:r>
          </w:p>
        </w:tc>
      </w:tr>
      <w:tr w:rsidR="00785CA8" w:rsidRPr="00785CA8" w14:paraId="0F7C1A9A" w14:textId="77777777" w:rsidTr="009C0098">
        <w:trPr>
          <w:trHeight w:val="300"/>
        </w:trPr>
        <w:tc>
          <w:tcPr>
            <w:tcW w:w="1924" w:type="dxa"/>
            <w:tcBorders>
              <w:top w:val="nil"/>
              <w:left w:val="nil"/>
              <w:bottom w:val="nil"/>
              <w:right w:val="nil"/>
            </w:tcBorders>
            <w:shd w:val="clear" w:color="000000" w:fill="003E69"/>
            <w:vAlign w:val="center"/>
            <w:hideMark/>
          </w:tcPr>
          <w:p w14:paraId="5B1D8626" w14:textId="77777777" w:rsidR="00785CA8" w:rsidRPr="00A87C6F" w:rsidRDefault="00785CA8">
            <w:pPr>
              <w:pStyle w:val="BodyText"/>
              <w:rPr>
                <w:lang w:eastAsia="en-AU"/>
              </w:rPr>
            </w:pPr>
            <w:r w:rsidRPr="00A87C6F">
              <w:rPr>
                <w:lang w:eastAsia="en-AU"/>
              </w:rPr>
              <w:t>2023-2024</w:t>
            </w:r>
          </w:p>
        </w:tc>
        <w:tc>
          <w:tcPr>
            <w:tcW w:w="1831" w:type="dxa"/>
            <w:tcBorders>
              <w:top w:val="single" w:sz="8" w:space="0" w:color="003E69"/>
              <w:left w:val="nil"/>
              <w:bottom w:val="single" w:sz="4" w:space="0" w:color="auto"/>
              <w:right w:val="nil"/>
            </w:tcBorders>
            <w:hideMark/>
          </w:tcPr>
          <w:p w14:paraId="16B03C45" w14:textId="77777777" w:rsidR="00785CA8" w:rsidRPr="009C0098" w:rsidRDefault="00785CA8">
            <w:pPr>
              <w:pStyle w:val="BodyText"/>
              <w:rPr>
                <w:lang w:eastAsia="en-AU"/>
              </w:rPr>
            </w:pPr>
            <w:r w:rsidRPr="00A87C6F">
              <w:rPr>
                <w:lang w:eastAsia="en-AU"/>
              </w:rPr>
              <w:t>87%</w:t>
            </w:r>
          </w:p>
        </w:tc>
        <w:tc>
          <w:tcPr>
            <w:tcW w:w="2990" w:type="dxa"/>
            <w:tcBorders>
              <w:top w:val="single" w:sz="8" w:space="0" w:color="003E69"/>
              <w:left w:val="nil"/>
              <w:bottom w:val="single" w:sz="4" w:space="0" w:color="auto"/>
              <w:right w:val="nil"/>
            </w:tcBorders>
            <w:vAlign w:val="center"/>
            <w:hideMark/>
          </w:tcPr>
          <w:p w14:paraId="0204DC17" w14:textId="77777777" w:rsidR="00785CA8" w:rsidRPr="009C0098" w:rsidRDefault="00785CA8">
            <w:pPr>
              <w:pStyle w:val="BodyText"/>
              <w:rPr>
                <w:lang w:eastAsia="en-AU"/>
              </w:rPr>
            </w:pPr>
            <w:r w:rsidRPr="009C0098">
              <w:rPr>
                <w:lang w:eastAsia="en-AU"/>
              </w:rPr>
              <w:t>71.60%</w:t>
            </w:r>
          </w:p>
        </w:tc>
      </w:tr>
      <w:tr w:rsidR="00EB6F71" w:rsidRPr="00785CA8" w14:paraId="05BCC023" w14:textId="77777777" w:rsidTr="009C0098">
        <w:trPr>
          <w:trHeight w:val="300"/>
        </w:trPr>
        <w:tc>
          <w:tcPr>
            <w:tcW w:w="1924" w:type="dxa"/>
            <w:tcBorders>
              <w:top w:val="nil"/>
              <w:left w:val="nil"/>
              <w:bottom w:val="single" w:sz="8" w:space="0" w:color="003E69"/>
              <w:right w:val="nil"/>
            </w:tcBorders>
            <w:shd w:val="clear" w:color="000000" w:fill="003E69"/>
            <w:vAlign w:val="center"/>
          </w:tcPr>
          <w:p w14:paraId="54DBDBC3" w14:textId="79B607F1" w:rsidR="00EB6F71" w:rsidRPr="00A87C6F" w:rsidRDefault="00EB6F71">
            <w:pPr>
              <w:pStyle w:val="BodyText"/>
              <w:rPr>
                <w:lang w:eastAsia="en-AU"/>
              </w:rPr>
            </w:pPr>
            <w:r>
              <w:rPr>
                <w:lang w:eastAsia="en-AU"/>
              </w:rPr>
              <w:t>2024-2025</w:t>
            </w:r>
          </w:p>
        </w:tc>
        <w:tc>
          <w:tcPr>
            <w:tcW w:w="1831" w:type="dxa"/>
            <w:tcBorders>
              <w:top w:val="single" w:sz="4" w:space="0" w:color="auto"/>
              <w:left w:val="nil"/>
              <w:bottom w:val="single" w:sz="8" w:space="0" w:color="003E69"/>
              <w:right w:val="nil"/>
            </w:tcBorders>
          </w:tcPr>
          <w:p w14:paraId="118AA08F" w14:textId="10D3387D" w:rsidR="00EB6F71" w:rsidRPr="00A87C6F" w:rsidRDefault="00EB6F71">
            <w:pPr>
              <w:pStyle w:val="BodyText"/>
            </w:pPr>
            <w:r>
              <w:t>80%</w:t>
            </w:r>
          </w:p>
        </w:tc>
        <w:tc>
          <w:tcPr>
            <w:tcW w:w="2990" w:type="dxa"/>
            <w:tcBorders>
              <w:top w:val="single" w:sz="4" w:space="0" w:color="auto"/>
              <w:left w:val="nil"/>
              <w:bottom w:val="single" w:sz="8" w:space="0" w:color="003E69"/>
              <w:right w:val="nil"/>
            </w:tcBorders>
            <w:vAlign w:val="center"/>
          </w:tcPr>
          <w:p w14:paraId="0E3E43D3" w14:textId="2865D328" w:rsidR="00EB6F71" w:rsidRPr="00A87C6F" w:rsidRDefault="00EB6F71">
            <w:pPr>
              <w:pStyle w:val="BodyText"/>
              <w:rPr>
                <w:color w:val="000000"/>
                <w:lang w:eastAsia="en-AU"/>
              </w:rPr>
            </w:pPr>
            <w:r>
              <w:rPr>
                <w:color w:val="000000"/>
                <w:lang w:eastAsia="en-AU"/>
              </w:rPr>
              <w:t>75.0%</w:t>
            </w:r>
          </w:p>
        </w:tc>
      </w:tr>
    </w:tbl>
    <w:p w14:paraId="27153AEC" w14:textId="77777777" w:rsidR="00785CA8" w:rsidRPr="00785CA8" w:rsidRDefault="00785CA8" w:rsidP="00785CA8">
      <w:pPr>
        <w:spacing w:after="0"/>
        <w:rPr>
          <w:rFonts w:eastAsia="Calibri" w:cs="Times New Roman"/>
          <w:highlight w:val="yellow"/>
        </w:rPr>
      </w:pPr>
    </w:p>
    <w:p w14:paraId="74824A52" w14:textId="77777777" w:rsidR="00785CA8" w:rsidRPr="00EB6F71" w:rsidRDefault="00785CA8" w:rsidP="00785CA8">
      <w:pPr>
        <w:spacing w:after="0"/>
        <w:rPr>
          <w:rFonts w:eastAsia="Calibri" w:cs="Times New Roman"/>
        </w:rPr>
      </w:pPr>
      <w:r w:rsidRPr="00EB6F71">
        <w:rPr>
          <w:rFonts w:eastAsia="Calibri" w:cs="Times New Roman"/>
        </w:rPr>
        <w:lastRenderedPageBreak/>
        <w:t>A diversion rate of more than 80 per cent has been achieved for the following waste streams:</w:t>
      </w:r>
    </w:p>
    <w:p w14:paraId="456A1CC8" w14:textId="78998BCB" w:rsidR="00785CA8" w:rsidRPr="00EB6F71" w:rsidRDefault="00EB6F71" w:rsidP="00785CA8">
      <w:pPr>
        <w:numPr>
          <w:ilvl w:val="0"/>
          <w:numId w:val="46"/>
        </w:numPr>
        <w:suppressAutoHyphens w:val="0"/>
        <w:spacing w:before="0" w:after="0"/>
        <w:rPr>
          <w:rFonts w:eastAsia="Calibri" w:cs="Times New Roman"/>
        </w:rPr>
      </w:pPr>
      <w:r w:rsidRPr="00EB6F71">
        <w:rPr>
          <w:rFonts w:eastAsia="Calibri" w:cs="Times New Roman"/>
        </w:rPr>
        <w:t>Acid sulphate soil</w:t>
      </w:r>
    </w:p>
    <w:p w14:paraId="12DEFB34" w14:textId="73A40A0E" w:rsidR="00785CA8" w:rsidRPr="00EB6F71" w:rsidRDefault="00EB6F71" w:rsidP="00785CA8">
      <w:pPr>
        <w:numPr>
          <w:ilvl w:val="0"/>
          <w:numId w:val="46"/>
        </w:numPr>
        <w:suppressAutoHyphens w:val="0"/>
        <w:spacing w:before="0" w:after="0"/>
        <w:rPr>
          <w:rFonts w:eastAsia="Calibri" w:cs="Times New Roman"/>
        </w:rPr>
      </w:pPr>
      <w:r w:rsidRPr="00EB6F71">
        <w:rPr>
          <w:rFonts w:eastAsia="Calibri" w:cs="Times New Roman"/>
        </w:rPr>
        <w:t>Regulated waste category 2</w:t>
      </w:r>
    </w:p>
    <w:p w14:paraId="0653276E" w14:textId="1CB19698" w:rsidR="00EB6F71" w:rsidRPr="00EB6F71" w:rsidRDefault="00EB6F71" w:rsidP="00785CA8">
      <w:pPr>
        <w:numPr>
          <w:ilvl w:val="0"/>
          <w:numId w:val="46"/>
        </w:numPr>
        <w:suppressAutoHyphens w:val="0"/>
        <w:spacing w:before="0" w:after="0"/>
        <w:rPr>
          <w:rFonts w:eastAsia="Calibri" w:cs="Times New Roman"/>
        </w:rPr>
      </w:pPr>
      <w:r w:rsidRPr="00EB6F71">
        <w:rPr>
          <w:rFonts w:eastAsia="Calibri" w:cs="Times New Roman"/>
        </w:rPr>
        <w:t>Asphalt and profiles (RAP)</w:t>
      </w:r>
    </w:p>
    <w:p w14:paraId="4B5E934A" w14:textId="6E3CFFE0" w:rsidR="00EB6F71" w:rsidRPr="00EB6F71" w:rsidRDefault="00EB6F71" w:rsidP="00785CA8">
      <w:pPr>
        <w:numPr>
          <w:ilvl w:val="0"/>
          <w:numId w:val="46"/>
        </w:numPr>
        <w:suppressAutoHyphens w:val="0"/>
        <w:spacing w:before="0" w:after="0"/>
        <w:rPr>
          <w:rFonts w:eastAsia="Calibri" w:cs="Times New Roman"/>
        </w:rPr>
      </w:pPr>
      <w:r w:rsidRPr="00EB6F71">
        <w:rPr>
          <w:rFonts w:eastAsia="Calibri" w:cs="Times New Roman"/>
        </w:rPr>
        <w:t>Other recovered pavement materials</w:t>
      </w:r>
    </w:p>
    <w:p w14:paraId="0F57A581" w14:textId="3B8445E5" w:rsidR="00785CA8" w:rsidRPr="00EB6F71" w:rsidRDefault="00EB6F71" w:rsidP="00785CA8">
      <w:pPr>
        <w:numPr>
          <w:ilvl w:val="0"/>
          <w:numId w:val="46"/>
        </w:numPr>
        <w:suppressAutoHyphens w:val="0"/>
        <w:spacing w:before="0" w:after="0"/>
        <w:rPr>
          <w:rFonts w:eastAsia="Calibri" w:cs="Times New Roman"/>
        </w:rPr>
      </w:pPr>
      <w:r w:rsidRPr="00EB6F71">
        <w:rPr>
          <w:rFonts w:eastAsia="Calibri" w:cs="Times New Roman"/>
        </w:rPr>
        <w:t>C</w:t>
      </w:r>
      <w:r w:rsidR="00785CA8" w:rsidRPr="00EB6F71">
        <w:rPr>
          <w:rFonts w:eastAsia="Calibri" w:cs="Times New Roman"/>
        </w:rPr>
        <w:t>oncrete</w:t>
      </w:r>
    </w:p>
    <w:p w14:paraId="14822926" w14:textId="6459CC60" w:rsidR="00785CA8" w:rsidRPr="00EB6F71" w:rsidRDefault="00EB6F71" w:rsidP="00785CA8">
      <w:pPr>
        <w:numPr>
          <w:ilvl w:val="0"/>
          <w:numId w:val="46"/>
        </w:numPr>
        <w:suppressAutoHyphens w:val="0"/>
        <w:spacing w:before="0" w:after="0"/>
        <w:rPr>
          <w:rFonts w:eastAsia="Calibri" w:cs="Times New Roman"/>
        </w:rPr>
      </w:pPr>
      <w:r w:rsidRPr="00EB6F71">
        <w:rPr>
          <w:rFonts w:eastAsia="Calibri" w:cs="Times New Roman"/>
        </w:rPr>
        <w:t>Office - paper</w:t>
      </w:r>
    </w:p>
    <w:p w14:paraId="607154B2" w14:textId="77777777" w:rsidR="00785CA8" w:rsidRPr="00785CA8" w:rsidRDefault="00785CA8" w:rsidP="00785CA8">
      <w:pPr>
        <w:spacing w:after="0"/>
        <w:rPr>
          <w:rFonts w:eastAsia="Calibri" w:cs="Times New Roman"/>
          <w:highlight w:val="yellow"/>
        </w:rPr>
      </w:pPr>
    </w:p>
    <w:p w14:paraId="76CB0BD9" w14:textId="1A1F79CC" w:rsidR="00785CA8" w:rsidRPr="0039389D" w:rsidRDefault="00785CA8" w:rsidP="00785CA8">
      <w:pPr>
        <w:spacing w:after="0"/>
        <w:rPr>
          <w:rFonts w:eastAsia="Arial" w:cs="Times New Roman"/>
        </w:rPr>
      </w:pPr>
      <w:r w:rsidRPr="009C0098">
        <w:rPr>
          <w:rFonts w:eastAsia="Arial" w:cs="Times New Roman"/>
        </w:rPr>
        <w:t>The total waste generated by TMR in 202</w:t>
      </w:r>
      <w:r w:rsidR="00EB6F71" w:rsidRPr="009C0098">
        <w:rPr>
          <w:rFonts w:eastAsia="Arial" w:cs="Times New Roman"/>
        </w:rPr>
        <w:t>4</w:t>
      </w:r>
      <w:r w:rsidRPr="009C0098">
        <w:rPr>
          <w:rFonts w:eastAsia="Arial" w:cs="Times New Roman"/>
        </w:rPr>
        <w:t>–202</w:t>
      </w:r>
      <w:r w:rsidR="00EB6F71" w:rsidRPr="009C0098">
        <w:rPr>
          <w:rFonts w:eastAsia="Arial" w:cs="Times New Roman"/>
        </w:rPr>
        <w:t>5</w:t>
      </w:r>
      <w:r w:rsidRPr="009C0098">
        <w:rPr>
          <w:rFonts w:eastAsia="Arial" w:cs="Times New Roman"/>
        </w:rPr>
        <w:t xml:space="preserve"> is 1,</w:t>
      </w:r>
      <w:r w:rsidR="00EB6F71" w:rsidRPr="009C0098">
        <w:rPr>
          <w:rFonts w:eastAsia="Arial" w:cs="Times New Roman"/>
        </w:rPr>
        <w:t>535</w:t>
      </w:r>
      <w:r w:rsidRPr="009C0098">
        <w:rPr>
          <w:rFonts w:eastAsia="Arial" w:cs="Times New Roman"/>
        </w:rPr>
        <w:t>,</w:t>
      </w:r>
      <w:r w:rsidR="00EB6F71" w:rsidRPr="009C0098">
        <w:rPr>
          <w:rFonts w:eastAsia="Arial" w:cs="Times New Roman"/>
        </w:rPr>
        <w:t>330</w:t>
      </w:r>
      <w:r w:rsidRPr="009C0098">
        <w:rPr>
          <w:rFonts w:eastAsia="Arial" w:cs="Times New Roman"/>
        </w:rPr>
        <w:t xml:space="preserve"> tonnes, of which 8</w:t>
      </w:r>
      <w:r w:rsidR="009C0098" w:rsidRPr="009C0098">
        <w:rPr>
          <w:rFonts w:eastAsia="Arial" w:cs="Times New Roman"/>
        </w:rPr>
        <w:t>0</w:t>
      </w:r>
      <w:r w:rsidRPr="009C0098">
        <w:rPr>
          <w:rFonts w:eastAsia="Arial" w:cs="Times New Roman"/>
        </w:rPr>
        <w:t xml:space="preserve"> per cent was diverted (reused or recycled) and remaining </w:t>
      </w:r>
      <w:r w:rsidR="009C0098" w:rsidRPr="009C0098">
        <w:rPr>
          <w:rFonts w:eastAsia="Arial" w:cs="Times New Roman"/>
        </w:rPr>
        <w:t>20</w:t>
      </w:r>
      <w:r w:rsidRPr="009C0098">
        <w:rPr>
          <w:rFonts w:eastAsia="Arial" w:cs="Times New Roman"/>
        </w:rPr>
        <w:t xml:space="preserve"> per cent was disposed to landfill.</w:t>
      </w:r>
      <w:r w:rsidRPr="0039389D">
        <w:rPr>
          <w:rFonts w:eastAsia="Arial" w:cs="Times New Roman"/>
        </w:rPr>
        <w:t xml:space="preserve"> </w:t>
      </w:r>
    </w:p>
    <w:p w14:paraId="470872AA" w14:textId="18AA27D5" w:rsidR="00785CA8" w:rsidRPr="00785CA8" w:rsidRDefault="00785CA8" w:rsidP="00785CA8">
      <w:pPr>
        <w:rPr>
          <w:b/>
          <w:bCs/>
        </w:rPr>
      </w:pPr>
    </w:p>
    <w:p w14:paraId="2A23D114" w14:textId="77777777" w:rsidR="00785CA8" w:rsidRPr="00785CA8" w:rsidRDefault="00785CA8" w:rsidP="00785CA8">
      <w:pPr>
        <w:numPr>
          <w:ilvl w:val="0"/>
          <w:numId w:val="44"/>
        </w:numPr>
        <w:rPr>
          <w:b/>
          <w:bCs/>
        </w:rPr>
      </w:pPr>
      <w:r w:rsidRPr="00785CA8">
        <w:rPr>
          <w:b/>
          <w:bCs/>
        </w:rPr>
        <w:t>Please list the amounts and types of litter or illegally dumped waste that were collected by your department/agency during 2024-25.</w:t>
      </w:r>
    </w:p>
    <w:p w14:paraId="087C835F" w14:textId="77777777" w:rsidR="00785CA8" w:rsidRPr="009C0098" w:rsidRDefault="00785CA8" w:rsidP="00785CA8">
      <w:pPr>
        <w:spacing w:after="0"/>
        <w:rPr>
          <w:rFonts w:eastAsia="Arial" w:cs="Times New Roman"/>
        </w:rPr>
      </w:pPr>
      <w:r w:rsidRPr="009C0098">
        <w:rPr>
          <w:rFonts w:eastAsia="Arial" w:cs="Times New Roman"/>
        </w:rPr>
        <w:t xml:space="preserve">TMR regularly removes litter and illegally dumped items from the state-controlled road network. Included in this report are the following: </w:t>
      </w:r>
    </w:p>
    <w:p w14:paraId="2BC894DA" w14:textId="77777777" w:rsidR="00785CA8" w:rsidRPr="009C0098" w:rsidRDefault="00785CA8" w:rsidP="00785CA8">
      <w:pPr>
        <w:spacing w:after="0"/>
        <w:rPr>
          <w:rFonts w:eastAsia="Arial" w:cs="Times New Roman"/>
        </w:rPr>
      </w:pPr>
    </w:p>
    <w:p w14:paraId="490331A8" w14:textId="77777777" w:rsidR="00785CA8" w:rsidRPr="009C0098" w:rsidRDefault="00785CA8" w:rsidP="00785CA8">
      <w:pPr>
        <w:numPr>
          <w:ilvl w:val="0"/>
          <w:numId w:val="46"/>
        </w:numPr>
        <w:suppressAutoHyphens w:val="0"/>
        <w:spacing w:before="0" w:after="0"/>
        <w:rPr>
          <w:rFonts w:eastAsia="Calibri" w:cs="Times New Roman"/>
        </w:rPr>
      </w:pPr>
      <w:r w:rsidRPr="009C0098">
        <w:rPr>
          <w:rFonts w:eastAsia="Calibri" w:cs="Times New Roman"/>
        </w:rPr>
        <w:t xml:space="preserve">The cost and amounts of rubbish collected from bins along the road, litter dumped along the road, and other waste that may be dumped adjacent to the road or on other land managed by TMR. </w:t>
      </w:r>
    </w:p>
    <w:p w14:paraId="1A94D84B" w14:textId="77777777" w:rsidR="00785CA8" w:rsidRPr="009C0098" w:rsidRDefault="00785CA8" w:rsidP="00785CA8">
      <w:pPr>
        <w:numPr>
          <w:ilvl w:val="0"/>
          <w:numId w:val="46"/>
        </w:numPr>
        <w:suppressAutoHyphens w:val="0"/>
        <w:spacing w:before="0" w:after="0"/>
        <w:rPr>
          <w:rFonts w:eastAsia="Calibri" w:cs="Times New Roman"/>
        </w:rPr>
      </w:pPr>
      <w:r w:rsidRPr="009C0098">
        <w:rPr>
          <w:rFonts w:eastAsia="Calibri" w:cs="Times New Roman"/>
        </w:rPr>
        <w:t>Estimated weight of vessels removed from Queensland waterways by Maritime Safety Queensland or its compliance partners as part of the War on Wrecks (WoW) Program. Estimates are based on the length of the vessel. The costs have not been included as this information is not collected.</w:t>
      </w:r>
    </w:p>
    <w:p w14:paraId="5F9BEC4E" w14:textId="77777777" w:rsidR="00785CA8" w:rsidRPr="00785CA8" w:rsidRDefault="00785CA8" w:rsidP="00785CA8"/>
    <w:p w14:paraId="7C1D6DE3" w14:textId="77777777" w:rsidR="00785CA8" w:rsidRDefault="00785CA8" w:rsidP="00785CA8">
      <w:pPr>
        <w:keepNext/>
        <w:tabs>
          <w:tab w:val="left" w:pos="1134"/>
        </w:tabs>
        <w:spacing w:before="240" w:after="120" w:line="260" w:lineRule="atLeast"/>
        <w:ind w:left="1134" w:hanging="1134"/>
        <w:rPr>
          <w:rFonts w:eastAsia="Times New Roman" w:cs="Times New Roman"/>
          <w:b/>
          <w:i/>
          <w:iCs/>
          <w:color w:val="002060"/>
          <w:szCs w:val="24"/>
          <w:lang w:eastAsia="en-AU"/>
        </w:rPr>
      </w:pPr>
      <w:r w:rsidRPr="00256CC6">
        <w:rPr>
          <w:rFonts w:eastAsia="Times New Roman" w:cs="Times New Roman"/>
          <w:b/>
          <w:i/>
          <w:iCs/>
          <w:color w:val="002060"/>
          <w:szCs w:val="24"/>
          <w:lang w:eastAsia="en-AU"/>
        </w:rPr>
        <w:t>Table 7</w:t>
      </w:r>
      <w:r w:rsidRPr="00256CC6">
        <w:rPr>
          <w:rFonts w:eastAsia="Times New Roman" w:cs="Times New Roman"/>
          <w:b/>
          <w:i/>
          <w:iCs/>
          <w:noProof/>
          <w:color w:val="002060"/>
          <w:szCs w:val="24"/>
          <w:lang w:eastAsia="en-AU"/>
        </w:rPr>
        <w:t>:</w:t>
      </w:r>
      <w:r w:rsidRPr="00256CC6">
        <w:rPr>
          <w:rFonts w:eastAsia="Times New Roman" w:cs="Times New Roman"/>
          <w:b/>
          <w:i/>
          <w:iCs/>
          <w:color w:val="002060"/>
          <w:szCs w:val="24"/>
          <w:lang w:eastAsia="en-AU"/>
        </w:rPr>
        <w:t xml:space="preserve"> Annual trend – litter and illegally dumped waste.</w:t>
      </w:r>
    </w:p>
    <w:tbl>
      <w:tblPr>
        <w:tblW w:w="5372" w:type="dxa"/>
        <w:tblLook w:val="04A0" w:firstRow="1" w:lastRow="0" w:firstColumn="1" w:lastColumn="0" w:noHBand="0" w:noVBand="1"/>
      </w:tblPr>
      <w:tblGrid>
        <w:gridCol w:w="1951"/>
        <w:gridCol w:w="1551"/>
        <w:gridCol w:w="1870"/>
      </w:tblGrid>
      <w:tr w:rsidR="00785CA8" w:rsidRPr="00256CC6" w14:paraId="6C78D02A" w14:textId="77777777">
        <w:trPr>
          <w:cantSplit/>
          <w:trHeight w:val="300"/>
        </w:trPr>
        <w:tc>
          <w:tcPr>
            <w:tcW w:w="1951" w:type="dxa"/>
            <w:tcBorders>
              <w:top w:val="nil"/>
              <w:left w:val="nil"/>
              <w:bottom w:val="nil"/>
              <w:right w:val="single" w:sz="8" w:space="0" w:color="FFFFFF"/>
            </w:tcBorders>
            <w:shd w:val="clear" w:color="000000" w:fill="003E69"/>
            <w:noWrap/>
            <w:hideMark/>
          </w:tcPr>
          <w:p w14:paraId="100DAB15" w14:textId="77777777" w:rsidR="00785CA8" w:rsidRPr="00256CC6" w:rsidRDefault="00785CA8">
            <w:pPr>
              <w:pStyle w:val="BodyText"/>
              <w:rPr>
                <w:szCs w:val="24"/>
                <w:lang w:eastAsia="en-AU"/>
              </w:rPr>
            </w:pPr>
            <w:r w:rsidRPr="00256CC6">
              <w:rPr>
                <w:szCs w:val="24"/>
                <w:lang w:eastAsia="en-AU"/>
              </w:rPr>
              <w:t> </w:t>
            </w:r>
            <w:r>
              <w:rPr>
                <w:szCs w:val="24"/>
                <w:lang w:eastAsia="en-AU"/>
              </w:rPr>
              <w:t>Financial Year</w:t>
            </w:r>
          </w:p>
        </w:tc>
        <w:tc>
          <w:tcPr>
            <w:tcW w:w="1551" w:type="dxa"/>
            <w:tcBorders>
              <w:top w:val="nil"/>
              <w:left w:val="nil"/>
              <w:bottom w:val="nil"/>
              <w:right w:val="single" w:sz="8" w:space="0" w:color="FFFFFF"/>
            </w:tcBorders>
            <w:shd w:val="clear" w:color="000000" w:fill="003E69"/>
            <w:noWrap/>
            <w:vAlign w:val="center"/>
            <w:hideMark/>
          </w:tcPr>
          <w:p w14:paraId="776903CA" w14:textId="77777777" w:rsidR="00785CA8" w:rsidRPr="00256CC6" w:rsidRDefault="00785CA8">
            <w:pPr>
              <w:pStyle w:val="BodyText"/>
              <w:rPr>
                <w:color w:val="FFFFFF"/>
                <w:szCs w:val="24"/>
                <w:lang w:eastAsia="en-AU"/>
              </w:rPr>
            </w:pPr>
            <w:r w:rsidRPr="00256CC6">
              <w:rPr>
                <w:color w:val="FFFFFF"/>
                <w:szCs w:val="24"/>
                <w:lang w:eastAsia="en-AU"/>
              </w:rPr>
              <w:t>Cost ($)</w:t>
            </w:r>
          </w:p>
        </w:tc>
        <w:tc>
          <w:tcPr>
            <w:tcW w:w="1870" w:type="dxa"/>
            <w:tcBorders>
              <w:top w:val="nil"/>
              <w:left w:val="nil"/>
              <w:bottom w:val="single" w:sz="8" w:space="0" w:color="003E69"/>
              <w:right w:val="single" w:sz="8" w:space="0" w:color="FFFFFF"/>
            </w:tcBorders>
            <w:shd w:val="clear" w:color="000000" w:fill="003E69"/>
            <w:noWrap/>
            <w:vAlign w:val="center"/>
            <w:hideMark/>
          </w:tcPr>
          <w:p w14:paraId="12C3614F" w14:textId="77777777" w:rsidR="00785CA8" w:rsidRPr="00256CC6" w:rsidRDefault="00785CA8">
            <w:pPr>
              <w:pStyle w:val="BodyText"/>
              <w:rPr>
                <w:color w:val="FFFFFF"/>
                <w:szCs w:val="24"/>
                <w:lang w:eastAsia="en-AU"/>
              </w:rPr>
            </w:pPr>
            <w:r w:rsidRPr="00256CC6">
              <w:rPr>
                <w:color w:val="FFFFFF"/>
                <w:szCs w:val="24"/>
                <w:lang w:eastAsia="en-AU"/>
              </w:rPr>
              <w:t>Mass (tonnes)</w:t>
            </w:r>
          </w:p>
        </w:tc>
      </w:tr>
      <w:tr w:rsidR="00785CA8" w:rsidRPr="00256CC6" w14:paraId="7326AD5D" w14:textId="77777777" w:rsidTr="00E20250">
        <w:trPr>
          <w:trHeight w:val="300"/>
        </w:trPr>
        <w:tc>
          <w:tcPr>
            <w:tcW w:w="1951" w:type="dxa"/>
            <w:tcBorders>
              <w:top w:val="nil"/>
              <w:left w:val="nil"/>
              <w:bottom w:val="single" w:sz="8" w:space="0" w:color="003E69"/>
              <w:right w:val="single" w:sz="8" w:space="0" w:color="FFFFFF"/>
            </w:tcBorders>
            <w:shd w:val="clear" w:color="000000" w:fill="003E69"/>
            <w:noWrap/>
            <w:vAlign w:val="center"/>
            <w:hideMark/>
          </w:tcPr>
          <w:p w14:paraId="71D6CB7F" w14:textId="77777777" w:rsidR="00785CA8" w:rsidRPr="00256CC6" w:rsidRDefault="00785CA8">
            <w:pPr>
              <w:pStyle w:val="BodyText"/>
              <w:rPr>
                <w:color w:val="FFFFFF"/>
                <w:szCs w:val="24"/>
                <w:lang w:eastAsia="en-AU"/>
              </w:rPr>
            </w:pPr>
            <w:r w:rsidRPr="00256CC6">
              <w:rPr>
                <w:color w:val="FFFFFF"/>
                <w:szCs w:val="24"/>
                <w:lang w:eastAsia="en-AU"/>
              </w:rPr>
              <w:t>2017-2018</w:t>
            </w:r>
          </w:p>
        </w:tc>
        <w:tc>
          <w:tcPr>
            <w:tcW w:w="1551" w:type="dxa"/>
            <w:tcBorders>
              <w:top w:val="nil"/>
              <w:left w:val="nil"/>
              <w:bottom w:val="single" w:sz="8" w:space="0" w:color="003E69"/>
              <w:right w:val="single" w:sz="8" w:space="0" w:color="FFFFFF"/>
            </w:tcBorders>
            <w:noWrap/>
            <w:vAlign w:val="center"/>
            <w:hideMark/>
          </w:tcPr>
          <w:p w14:paraId="5849CB3C" w14:textId="77777777" w:rsidR="00785CA8" w:rsidRPr="00256CC6" w:rsidRDefault="00785CA8">
            <w:pPr>
              <w:pStyle w:val="BodyText"/>
              <w:rPr>
                <w:szCs w:val="24"/>
                <w:lang w:eastAsia="en-AU"/>
              </w:rPr>
            </w:pPr>
            <w:r w:rsidRPr="00256CC6">
              <w:rPr>
                <w:szCs w:val="24"/>
                <w:lang w:eastAsia="en-AU"/>
              </w:rPr>
              <w:t>$5,670,602</w:t>
            </w:r>
          </w:p>
        </w:tc>
        <w:tc>
          <w:tcPr>
            <w:tcW w:w="1870" w:type="dxa"/>
            <w:tcBorders>
              <w:top w:val="nil"/>
              <w:left w:val="nil"/>
              <w:bottom w:val="single" w:sz="8" w:space="0" w:color="003E69"/>
              <w:right w:val="single" w:sz="8" w:space="0" w:color="FFFFFF"/>
            </w:tcBorders>
            <w:noWrap/>
            <w:vAlign w:val="center"/>
            <w:hideMark/>
          </w:tcPr>
          <w:p w14:paraId="22069FA1" w14:textId="77777777" w:rsidR="00785CA8" w:rsidRPr="00256CC6" w:rsidRDefault="00785CA8">
            <w:pPr>
              <w:pStyle w:val="BodyText"/>
              <w:rPr>
                <w:szCs w:val="24"/>
                <w:lang w:eastAsia="en-AU"/>
              </w:rPr>
            </w:pPr>
            <w:r w:rsidRPr="00256CC6">
              <w:rPr>
                <w:szCs w:val="24"/>
                <w:lang w:eastAsia="en-AU"/>
              </w:rPr>
              <w:t>1,743</w:t>
            </w:r>
          </w:p>
        </w:tc>
      </w:tr>
      <w:tr w:rsidR="00785CA8" w:rsidRPr="00256CC6" w14:paraId="5814E492" w14:textId="77777777" w:rsidTr="00E20250">
        <w:trPr>
          <w:trHeight w:val="300"/>
        </w:trPr>
        <w:tc>
          <w:tcPr>
            <w:tcW w:w="1951" w:type="dxa"/>
            <w:tcBorders>
              <w:top w:val="nil"/>
              <w:left w:val="nil"/>
              <w:bottom w:val="single" w:sz="8" w:space="0" w:color="003E69"/>
              <w:right w:val="single" w:sz="8" w:space="0" w:color="FFFFFF"/>
            </w:tcBorders>
            <w:shd w:val="clear" w:color="000000" w:fill="003E69"/>
            <w:noWrap/>
            <w:vAlign w:val="center"/>
            <w:hideMark/>
          </w:tcPr>
          <w:p w14:paraId="2DD5CCBC" w14:textId="77777777" w:rsidR="00785CA8" w:rsidRPr="00256CC6" w:rsidRDefault="00785CA8">
            <w:pPr>
              <w:pStyle w:val="BodyText"/>
              <w:rPr>
                <w:color w:val="FFFFFF"/>
                <w:szCs w:val="24"/>
                <w:lang w:eastAsia="en-AU"/>
              </w:rPr>
            </w:pPr>
            <w:r w:rsidRPr="00256CC6">
              <w:rPr>
                <w:color w:val="FFFFFF"/>
                <w:szCs w:val="24"/>
                <w:lang w:eastAsia="en-AU"/>
              </w:rPr>
              <w:t>2018-2019</w:t>
            </w:r>
          </w:p>
        </w:tc>
        <w:tc>
          <w:tcPr>
            <w:tcW w:w="1551" w:type="dxa"/>
            <w:tcBorders>
              <w:top w:val="nil"/>
              <w:left w:val="nil"/>
              <w:bottom w:val="single" w:sz="8" w:space="0" w:color="003E69"/>
              <w:right w:val="single" w:sz="8" w:space="0" w:color="FFFFFF"/>
            </w:tcBorders>
            <w:noWrap/>
            <w:vAlign w:val="center"/>
            <w:hideMark/>
          </w:tcPr>
          <w:p w14:paraId="7E1C1D30" w14:textId="77777777" w:rsidR="00785CA8" w:rsidRPr="00256CC6" w:rsidRDefault="00785CA8">
            <w:pPr>
              <w:pStyle w:val="BodyText"/>
              <w:rPr>
                <w:szCs w:val="24"/>
                <w:lang w:eastAsia="en-AU"/>
              </w:rPr>
            </w:pPr>
            <w:r w:rsidRPr="00256CC6">
              <w:rPr>
                <w:szCs w:val="24"/>
                <w:lang w:eastAsia="en-AU"/>
              </w:rPr>
              <w:t>$5,770,248</w:t>
            </w:r>
          </w:p>
        </w:tc>
        <w:tc>
          <w:tcPr>
            <w:tcW w:w="1870" w:type="dxa"/>
            <w:tcBorders>
              <w:top w:val="nil"/>
              <w:left w:val="nil"/>
              <w:bottom w:val="single" w:sz="8" w:space="0" w:color="003E69"/>
              <w:right w:val="single" w:sz="8" w:space="0" w:color="FFFFFF"/>
            </w:tcBorders>
            <w:noWrap/>
            <w:vAlign w:val="center"/>
            <w:hideMark/>
          </w:tcPr>
          <w:p w14:paraId="1798B2ED" w14:textId="77777777" w:rsidR="00785CA8" w:rsidRPr="00256CC6" w:rsidRDefault="00785CA8">
            <w:pPr>
              <w:pStyle w:val="BodyText"/>
              <w:rPr>
                <w:szCs w:val="24"/>
                <w:lang w:eastAsia="en-AU"/>
              </w:rPr>
            </w:pPr>
            <w:r w:rsidRPr="00256CC6">
              <w:rPr>
                <w:szCs w:val="24"/>
                <w:lang w:eastAsia="en-AU"/>
              </w:rPr>
              <w:t>1,697</w:t>
            </w:r>
          </w:p>
        </w:tc>
      </w:tr>
      <w:tr w:rsidR="00785CA8" w:rsidRPr="00256CC6" w14:paraId="3D244378" w14:textId="77777777" w:rsidTr="00E20250">
        <w:trPr>
          <w:trHeight w:val="300"/>
        </w:trPr>
        <w:tc>
          <w:tcPr>
            <w:tcW w:w="1951" w:type="dxa"/>
            <w:tcBorders>
              <w:top w:val="nil"/>
              <w:left w:val="nil"/>
              <w:bottom w:val="single" w:sz="8" w:space="0" w:color="003E69"/>
              <w:right w:val="single" w:sz="8" w:space="0" w:color="FFFFFF"/>
            </w:tcBorders>
            <w:shd w:val="clear" w:color="000000" w:fill="003E69"/>
            <w:noWrap/>
            <w:vAlign w:val="center"/>
            <w:hideMark/>
          </w:tcPr>
          <w:p w14:paraId="349190E7" w14:textId="77777777" w:rsidR="00785CA8" w:rsidRPr="00256CC6" w:rsidRDefault="00785CA8">
            <w:pPr>
              <w:pStyle w:val="BodyText"/>
              <w:rPr>
                <w:color w:val="FFFFFF"/>
                <w:szCs w:val="24"/>
                <w:lang w:eastAsia="en-AU"/>
              </w:rPr>
            </w:pPr>
            <w:r w:rsidRPr="00256CC6">
              <w:rPr>
                <w:color w:val="FFFFFF"/>
                <w:szCs w:val="24"/>
                <w:lang w:eastAsia="en-AU"/>
              </w:rPr>
              <w:t>2019-2020</w:t>
            </w:r>
          </w:p>
        </w:tc>
        <w:tc>
          <w:tcPr>
            <w:tcW w:w="1551" w:type="dxa"/>
            <w:tcBorders>
              <w:top w:val="nil"/>
              <w:left w:val="nil"/>
              <w:bottom w:val="single" w:sz="8" w:space="0" w:color="003E69"/>
              <w:right w:val="single" w:sz="8" w:space="0" w:color="FFFFFF"/>
            </w:tcBorders>
            <w:noWrap/>
            <w:vAlign w:val="center"/>
            <w:hideMark/>
          </w:tcPr>
          <w:p w14:paraId="4F70BBEB" w14:textId="77777777" w:rsidR="00785CA8" w:rsidRPr="00256CC6" w:rsidRDefault="00785CA8">
            <w:pPr>
              <w:pStyle w:val="BodyText"/>
              <w:rPr>
                <w:szCs w:val="24"/>
                <w:lang w:eastAsia="en-AU"/>
              </w:rPr>
            </w:pPr>
            <w:r w:rsidRPr="00256CC6">
              <w:rPr>
                <w:szCs w:val="24"/>
                <w:lang w:eastAsia="en-AU"/>
              </w:rPr>
              <w:t>$4,636,566</w:t>
            </w:r>
          </w:p>
        </w:tc>
        <w:tc>
          <w:tcPr>
            <w:tcW w:w="1870" w:type="dxa"/>
            <w:tcBorders>
              <w:top w:val="nil"/>
              <w:left w:val="nil"/>
              <w:bottom w:val="single" w:sz="8" w:space="0" w:color="003E69"/>
              <w:right w:val="single" w:sz="8" w:space="0" w:color="FFFFFF"/>
            </w:tcBorders>
            <w:noWrap/>
            <w:vAlign w:val="center"/>
            <w:hideMark/>
          </w:tcPr>
          <w:p w14:paraId="32E60395" w14:textId="77777777" w:rsidR="00785CA8" w:rsidRPr="00256CC6" w:rsidRDefault="00785CA8">
            <w:pPr>
              <w:pStyle w:val="BodyText"/>
              <w:rPr>
                <w:szCs w:val="24"/>
                <w:lang w:eastAsia="en-AU"/>
              </w:rPr>
            </w:pPr>
            <w:r w:rsidRPr="00256CC6">
              <w:rPr>
                <w:szCs w:val="24"/>
                <w:lang w:eastAsia="en-AU"/>
              </w:rPr>
              <w:t>1,538</w:t>
            </w:r>
          </w:p>
        </w:tc>
      </w:tr>
      <w:tr w:rsidR="00785CA8" w:rsidRPr="00256CC6" w14:paraId="791F91C9" w14:textId="77777777" w:rsidTr="00E20250">
        <w:trPr>
          <w:trHeight w:val="300"/>
        </w:trPr>
        <w:tc>
          <w:tcPr>
            <w:tcW w:w="1951" w:type="dxa"/>
            <w:tcBorders>
              <w:top w:val="nil"/>
              <w:left w:val="nil"/>
              <w:bottom w:val="single" w:sz="8" w:space="0" w:color="003E69"/>
              <w:right w:val="single" w:sz="8" w:space="0" w:color="FFFFFF"/>
            </w:tcBorders>
            <w:shd w:val="clear" w:color="000000" w:fill="003E69"/>
            <w:noWrap/>
            <w:vAlign w:val="center"/>
            <w:hideMark/>
          </w:tcPr>
          <w:p w14:paraId="333D325A" w14:textId="77777777" w:rsidR="00785CA8" w:rsidRPr="00256CC6" w:rsidRDefault="00785CA8">
            <w:pPr>
              <w:pStyle w:val="BodyText"/>
              <w:rPr>
                <w:color w:val="FFFFFF"/>
                <w:szCs w:val="24"/>
                <w:lang w:eastAsia="en-AU"/>
              </w:rPr>
            </w:pPr>
            <w:r w:rsidRPr="00256CC6">
              <w:rPr>
                <w:color w:val="FFFFFF"/>
                <w:szCs w:val="24"/>
                <w:lang w:eastAsia="en-AU"/>
              </w:rPr>
              <w:t>2020-2021</w:t>
            </w:r>
          </w:p>
        </w:tc>
        <w:tc>
          <w:tcPr>
            <w:tcW w:w="1551" w:type="dxa"/>
            <w:tcBorders>
              <w:top w:val="nil"/>
              <w:left w:val="nil"/>
              <w:bottom w:val="single" w:sz="8" w:space="0" w:color="003E69"/>
              <w:right w:val="single" w:sz="8" w:space="0" w:color="FFFFFF"/>
            </w:tcBorders>
            <w:noWrap/>
            <w:vAlign w:val="center"/>
            <w:hideMark/>
          </w:tcPr>
          <w:p w14:paraId="4DC185C7" w14:textId="77777777" w:rsidR="00785CA8" w:rsidRPr="00256CC6" w:rsidRDefault="00785CA8">
            <w:pPr>
              <w:pStyle w:val="BodyText"/>
              <w:rPr>
                <w:szCs w:val="24"/>
                <w:lang w:eastAsia="en-AU"/>
              </w:rPr>
            </w:pPr>
            <w:r w:rsidRPr="00256CC6">
              <w:rPr>
                <w:szCs w:val="24"/>
                <w:lang w:eastAsia="en-AU"/>
              </w:rPr>
              <w:t>$4,116,861</w:t>
            </w:r>
          </w:p>
        </w:tc>
        <w:tc>
          <w:tcPr>
            <w:tcW w:w="1870" w:type="dxa"/>
            <w:tcBorders>
              <w:top w:val="nil"/>
              <w:left w:val="nil"/>
              <w:bottom w:val="single" w:sz="8" w:space="0" w:color="003E69"/>
              <w:right w:val="single" w:sz="8" w:space="0" w:color="FFFFFF"/>
            </w:tcBorders>
            <w:noWrap/>
            <w:vAlign w:val="center"/>
            <w:hideMark/>
          </w:tcPr>
          <w:p w14:paraId="14361064" w14:textId="77777777" w:rsidR="00785CA8" w:rsidRPr="00256CC6" w:rsidRDefault="00785CA8">
            <w:pPr>
              <w:pStyle w:val="BodyText"/>
              <w:rPr>
                <w:szCs w:val="24"/>
                <w:lang w:eastAsia="en-AU"/>
              </w:rPr>
            </w:pPr>
            <w:r w:rsidRPr="00256CC6">
              <w:rPr>
                <w:szCs w:val="24"/>
                <w:lang w:eastAsia="en-AU"/>
              </w:rPr>
              <w:t>2,387</w:t>
            </w:r>
          </w:p>
        </w:tc>
      </w:tr>
      <w:tr w:rsidR="00785CA8" w:rsidRPr="00256CC6" w14:paraId="738E445D" w14:textId="77777777" w:rsidTr="00E20250">
        <w:trPr>
          <w:trHeight w:val="300"/>
        </w:trPr>
        <w:tc>
          <w:tcPr>
            <w:tcW w:w="1951" w:type="dxa"/>
            <w:tcBorders>
              <w:top w:val="nil"/>
              <w:left w:val="nil"/>
              <w:bottom w:val="single" w:sz="8" w:space="0" w:color="003E69"/>
              <w:right w:val="single" w:sz="8" w:space="0" w:color="FFFFFF"/>
            </w:tcBorders>
            <w:shd w:val="clear" w:color="000000" w:fill="003E69"/>
            <w:vAlign w:val="center"/>
            <w:hideMark/>
          </w:tcPr>
          <w:p w14:paraId="4B28B478" w14:textId="77777777" w:rsidR="00785CA8" w:rsidRPr="00256CC6" w:rsidRDefault="00785CA8">
            <w:pPr>
              <w:pStyle w:val="BodyText"/>
              <w:rPr>
                <w:color w:val="FFFFFF"/>
                <w:szCs w:val="24"/>
                <w:lang w:eastAsia="en-AU"/>
              </w:rPr>
            </w:pPr>
            <w:r w:rsidRPr="00256CC6">
              <w:rPr>
                <w:color w:val="FFFFFF"/>
                <w:szCs w:val="24"/>
                <w:lang w:eastAsia="en-AU"/>
              </w:rPr>
              <w:t>2021-2022</w:t>
            </w:r>
          </w:p>
        </w:tc>
        <w:tc>
          <w:tcPr>
            <w:tcW w:w="1551" w:type="dxa"/>
            <w:tcBorders>
              <w:top w:val="nil"/>
              <w:left w:val="nil"/>
              <w:bottom w:val="single" w:sz="8" w:space="0" w:color="003E69"/>
              <w:right w:val="single" w:sz="8" w:space="0" w:color="FFFFFF"/>
            </w:tcBorders>
            <w:vAlign w:val="center"/>
            <w:hideMark/>
          </w:tcPr>
          <w:p w14:paraId="73A04186" w14:textId="77777777" w:rsidR="00785CA8" w:rsidRPr="00256CC6" w:rsidRDefault="00785CA8">
            <w:pPr>
              <w:pStyle w:val="BodyText"/>
              <w:rPr>
                <w:szCs w:val="24"/>
                <w:lang w:eastAsia="en-AU"/>
              </w:rPr>
            </w:pPr>
            <w:r w:rsidRPr="00256CC6">
              <w:rPr>
                <w:szCs w:val="24"/>
                <w:lang w:eastAsia="en-AU"/>
              </w:rPr>
              <w:t>$4,479,020</w:t>
            </w:r>
          </w:p>
        </w:tc>
        <w:tc>
          <w:tcPr>
            <w:tcW w:w="1870" w:type="dxa"/>
            <w:tcBorders>
              <w:top w:val="nil"/>
              <w:left w:val="nil"/>
              <w:bottom w:val="single" w:sz="8" w:space="0" w:color="003E69"/>
              <w:right w:val="single" w:sz="8" w:space="0" w:color="FFFFFF"/>
            </w:tcBorders>
            <w:vAlign w:val="center"/>
            <w:hideMark/>
          </w:tcPr>
          <w:p w14:paraId="65FE9B07" w14:textId="77777777" w:rsidR="00785CA8" w:rsidRPr="00256CC6" w:rsidRDefault="00785CA8">
            <w:pPr>
              <w:pStyle w:val="BodyText"/>
              <w:rPr>
                <w:szCs w:val="24"/>
                <w:lang w:eastAsia="en-AU"/>
              </w:rPr>
            </w:pPr>
            <w:r w:rsidRPr="00256CC6">
              <w:rPr>
                <w:szCs w:val="24"/>
                <w:lang w:eastAsia="en-AU"/>
              </w:rPr>
              <w:t>2,702</w:t>
            </w:r>
          </w:p>
        </w:tc>
      </w:tr>
      <w:tr w:rsidR="00785CA8" w:rsidRPr="00256CC6" w14:paraId="465D6770" w14:textId="77777777" w:rsidTr="009C0098">
        <w:trPr>
          <w:trHeight w:val="300"/>
        </w:trPr>
        <w:tc>
          <w:tcPr>
            <w:tcW w:w="1951" w:type="dxa"/>
            <w:tcBorders>
              <w:top w:val="nil"/>
              <w:left w:val="nil"/>
              <w:bottom w:val="single" w:sz="8" w:space="0" w:color="003E69"/>
              <w:right w:val="single" w:sz="8" w:space="0" w:color="FFFFFF"/>
            </w:tcBorders>
            <w:shd w:val="clear" w:color="000000" w:fill="003E69"/>
            <w:vAlign w:val="center"/>
            <w:hideMark/>
          </w:tcPr>
          <w:p w14:paraId="33E1A869" w14:textId="77777777" w:rsidR="00785CA8" w:rsidRPr="00256CC6" w:rsidRDefault="00785CA8">
            <w:pPr>
              <w:pStyle w:val="BodyText"/>
              <w:rPr>
                <w:color w:val="FFFFFF"/>
                <w:szCs w:val="24"/>
                <w:lang w:eastAsia="en-AU"/>
              </w:rPr>
            </w:pPr>
            <w:r w:rsidRPr="00256CC6">
              <w:rPr>
                <w:color w:val="FFFFFF"/>
                <w:szCs w:val="24"/>
                <w:lang w:eastAsia="en-AU"/>
              </w:rPr>
              <w:lastRenderedPageBreak/>
              <w:t>2022-2023</w:t>
            </w:r>
          </w:p>
        </w:tc>
        <w:tc>
          <w:tcPr>
            <w:tcW w:w="1551" w:type="dxa"/>
            <w:tcBorders>
              <w:top w:val="nil"/>
              <w:left w:val="nil"/>
              <w:bottom w:val="single" w:sz="8" w:space="0" w:color="003E69"/>
              <w:right w:val="single" w:sz="8" w:space="0" w:color="FFFFFF"/>
            </w:tcBorders>
            <w:vAlign w:val="center"/>
            <w:hideMark/>
          </w:tcPr>
          <w:p w14:paraId="73068B19" w14:textId="77777777" w:rsidR="00785CA8" w:rsidRPr="00256CC6" w:rsidRDefault="00785CA8">
            <w:pPr>
              <w:pStyle w:val="BodyText"/>
              <w:rPr>
                <w:szCs w:val="24"/>
                <w:lang w:eastAsia="en-AU"/>
              </w:rPr>
            </w:pPr>
            <w:r w:rsidRPr="00256CC6">
              <w:rPr>
                <w:szCs w:val="24"/>
                <w:lang w:eastAsia="en-AU"/>
              </w:rPr>
              <w:t>$4,456,698</w:t>
            </w:r>
          </w:p>
        </w:tc>
        <w:tc>
          <w:tcPr>
            <w:tcW w:w="1870" w:type="dxa"/>
            <w:tcBorders>
              <w:top w:val="nil"/>
              <w:left w:val="nil"/>
              <w:bottom w:val="single" w:sz="8" w:space="0" w:color="003E69"/>
              <w:right w:val="single" w:sz="8" w:space="0" w:color="FFFFFF"/>
            </w:tcBorders>
            <w:vAlign w:val="center"/>
            <w:hideMark/>
          </w:tcPr>
          <w:p w14:paraId="5D133ECF" w14:textId="77777777" w:rsidR="00785CA8" w:rsidRPr="00256CC6" w:rsidRDefault="00785CA8">
            <w:pPr>
              <w:pStyle w:val="BodyText"/>
              <w:rPr>
                <w:szCs w:val="24"/>
                <w:lang w:eastAsia="en-AU"/>
              </w:rPr>
            </w:pPr>
            <w:r w:rsidRPr="00256CC6">
              <w:rPr>
                <w:szCs w:val="24"/>
                <w:lang w:eastAsia="en-AU"/>
              </w:rPr>
              <w:t>2,235</w:t>
            </w:r>
          </w:p>
        </w:tc>
      </w:tr>
      <w:tr w:rsidR="00785CA8" w:rsidRPr="00256CC6" w14:paraId="1095BDAC" w14:textId="77777777" w:rsidTr="009C0098">
        <w:trPr>
          <w:trHeight w:val="300"/>
        </w:trPr>
        <w:tc>
          <w:tcPr>
            <w:tcW w:w="1951" w:type="dxa"/>
            <w:tcBorders>
              <w:top w:val="nil"/>
              <w:left w:val="nil"/>
              <w:bottom w:val="nil"/>
              <w:right w:val="nil"/>
            </w:tcBorders>
            <w:shd w:val="clear" w:color="000000" w:fill="003E69"/>
            <w:vAlign w:val="center"/>
            <w:hideMark/>
          </w:tcPr>
          <w:p w14:paraId="0855FE2C" w14:textId="77777777" w:rsidR="00785CA8" w:rsidRPr="00256CC6" w:rsidRDefault="00785CA8">
            <w:pPr>
              <w:pStyle w:val="BodyText"/>
              <w:rPr>
                <w:color w:val="FFFFFF"/>
                <w:szCs w:val="24"/>
                <w:lang w:eastAsia="en-AU"/>
              </w:rPr>
            </w:pPr>
            <w:r w:rsidRPr="00256CC6">
              <w:rPr>
                <w:color w:val="FFFFFF"/>
                <w:szCs w:val="24"/>
                <w:lang w:eastAsia="en-AU"/>
              </w:rPr>
              <w:t>2023-2024</w:t>
            </w:r>
          </w:p>
        </w:tc>
        <w:tc>
          <w:tcPr>
            <w:tcW w:w="1551" w:type="dxa"/>
            <w:tcBorders>
              <w:top w:val="single" w:sz="8" w:space="0" w:color="003E69"/>
              <w:left w:val="nil"/>
              <w:bottom w:val="single" w:sz="4" w:space="0" w:color="auto"/>
              <w:right w:val="nil"/>
            </w:tcBorders>
            <w:vAlign w:val="center"/>
            <w:hideMark/>
          </w:tcPr>
          <w:p w14:paraId="6604803A" w14:textId="66A1C763" w:rsidR="00785CA8" w:rsidRPr="00256CC6" w:rsidRDefault="00785CA8">
            <w:pPr>
              <w:pStyle w:val="BodyText"/>
              <w:rPr>
                <w:szCs w:val="24"/>
                <w:lang w:eastAsia="en-AU"/>
              </w:rPr>
            </w:pPr>
            <w:r>
              <w:rPr>
                <w:szCs w:val="24"/>
                <w:lang w:eastAsia="en-AU"/>
              </w:rPr>
              <w:t>$5,337,544</w:t>
            </w:r>
          </w:p>
        </w:tc>
        <w:tc>
          <w:tcPr>
            <w:tcW w:w="1870" w:type="dxa"/>
            <w:tcBorders>
              <w:top w:val="single" w:sz="8" w:space="0" w:color="003E69"/>
              <w:left w:val="nil"/>
              <w:bottom w:val="single" w:sz="4" w:space="0" w:color="auto"/>
              <w:right w:val="nil"/>
            </w:tcBorders>
            <w:vAlign w:val="center"/>
            <w:hideMark/>
          </w:tcPr>
          <w:p w14:paraId="55B80B48" w14:textId="09F358B2" w:rsidR="00785CA8" w:rsidRPr="00256CC6" w:rsidRDefault="00785CA8">
            <w:pPr>
              <w:pStyle w:val="BodyText"/>
              <w:rPr>
                <w:szCs w:val="24"/>
                <w:lang w:eastAsia="en-AU"/>
              </w:rPr>
            </w:pPr>
            <w:r>
              <w:rPr>
                <w:szCs w:val="24"/>
                <w:lang w:eastAsia="en-AU"/>
              </w:rPr>
              <w:t>3,705</w:t>
            </w:r>
          </w:p>
        </w:tc>
      </w:tr>
      <w:tr w:rsidR="009C0098" w:rsidRPr="00256CC6" w14:paraId="46B7014B" w14:textId="77777777" w:rsidTr="009C0098">
        <w:trPr>
          <w:trHeight w:val="300"/>
        </w:trPr>
        <w:tc>
          <w:tcPr>
            <w:tcW w:w="1951" w:type="dxa"/>
            <w:tcBorders>
              <w:top w:val="nil"/>
              <w:left w:val="nil"/>
              <w:bottom w:val="single" w:sz="8" w:space="0" w:color="003E69"/>
              <w:right w:val="nil"/>
            </w:tcBorders>
            <w:shd w:val="clear" w:color="000000" w:fill="003E69"/>
            <w:vAlign w:val="center"/>
          </w:tcPr>
          <w:p w14:paraId="50F4E492" w14:textId="6DAB7B30" w:rsidR="009C0098" w:rsidRPr="00256CC6" w:rsidRDefault="009C0098">
            <w:pPr>
              <w:pStyle w:val="BodyText"/>
              <w:rPr>
                <w:color w:val="FFFFFF"/>
                <w:szCs w:val="24"/>
                <w:lang w:eastAsia="en-AU"/>
              </w:rPr>
            </w:pPr>
            <w:r>
              <w:rPr>
                <w:color w:val="FFFFFF"/>
                <w:szCs w:val="24"/>
                <w:lang w:eastAsia="en-AU"/>
              </w:rPr>
              <w:t>2024-2025</w:t>
            </w:r>
          </w:p>
        </w:tc>
        <w:tc>
          <w:tcPr>
            <w:tcW w:w="1551" w:type="dxa"/>
            <w:tcBorders>
              <w:top w:val="single" w:sz="4" w:space="0" w:color="auto"/>
              <w:left w:val="nil"/>
              <w:bottom w:val="single" w:sz="8" w:space="0" w:color="003E69"/>
              <w:right w:val="nil"/>
            </w:tcBorders>
            <w:vAlign w:val="center"/>
          </w:tcPr>
          <w:p w14:paraId="5DF184C3" w14:textId="67C387FB" w:rsidR="009C0098" w:rsidRPr="00256CC6" w:rsidRDefault="009C0098">
            <w:pPr>
              <w:pStyle w:val="BodyText"/>
              <w:rPr>
                <w:szCs w:val="24"/>
                <w:lang w:eastAsia="en-AU"/>
              </w:rPr>
            </w:pPr>
            <w:r>
              <w:rPr>
                <w:szCs w:val="24"/>
                <w:lang w:eastAsia="en-AU"/>
              </w:rPr>
              <w:t>$5,130,466</w:t>
            </w:r>
          </w:p>
        </w:tc>
        <w:tc>
          <w:tcPr>
            <w:tcW w:w="1870" w:type="dxa"/>
            <w:tcBorders>
              <w:top w:val="single" w:sz="4" w:space="0" w:color="auto"/>
              <w:left w:val="nil"/>
              <w:bottom w:val="single" w:sz="8" w:space="0" w:color="003E69"/>
              <w:right w:val="nil"/>
            </w:tcBorders>
            <w:vAlign w:val="center"/>
          </w:tcPr>
          <w:p w14:paraId="157F10DF" w14:textId="5EC36B2C" w:rsidR="009C0098" w:rsidRPr="00256CC6" w:rsidRDefault="009C0098">
            <w:pPr>
              <w:pStyle w:val="BodyText"/>
              <w:rPr>
                <w:szCs w:val="24"/>
                <w:lang w:eastAsia="en-AU"/>
              </w:rPr>
            </w:pPr>
            <w:r>
              <w:rPr>
                <w:szCs w:val="24"/>
                <w:lang w:eastAsia="en-AU"/>
              </w:rPr>
              <w:t>5,387</w:t>
            </w:r>
          </w:p>
        </w:tc>
      </w:tr>
    </w:tbl>
    <w:p w14:paraId="1C76C38B" w14:textId="16C4C4F8" w:rsidR="000219A9" w:rsidRPr="000219A9" w:rsidRDefault="000219A9" w:rsidP="000219A9"/>
    <w:sectPr w:rsidR="000219A9" w:rsidRPr="000219A9" w:rsidSect="008113E9">
      <w:headerReference w:type="default" r:id="rId43"/>
      <w:pgSz w:w="11906" w:h="16838" w:code="9"/>
      <w:pgMar w:top="1135" w:right="1418" w:bottom="1843"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8A7A4" w14:textId="77777777" w:rsidR="004864ED" w:rsidRDefault="004864ED" w:rsidP="00A9280E">
      <w:pPr>
        <w:spacing w:line="240" w:lineRule="auto"/>
      </w:pPr>
      <w:r>
        <w:separator/>
      </w:r>
    </w:p>
  </w:endnote>
  <w:endnote w:type="continuationSeparator" w:id="0">
    <w:p w14:paraId="6411E149" w14:textId="77777777" w:rsidR="004864ED" w:rsidRDefault="004864ED" w:rsidP="00A9280E">
      <w:pPr>
        <w:spacing w:line="240" w:lineRule="auto"/>
      </w:pPr>
      <w:r>
        <w:continuationSeparator/>
      </w:r>
    </w:p>
  </w:endnote>
  <w:endnote w:type="continuationNotice" w:id="1">
    <w:p w14:paraId="203A9694" w14:textId="77777777" w:rsidR="004864ED" w:rsidRDefault="004864E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7F614" w14:textId="20D7156B" w:rsidR="00B94111" w:rsidRPr="000126D6" w:rsidRDefault="000126D6" w:rsidP="000126D6">
    <w:pPr>
      <w:pStyle w:val="Footer"/>
    </w:pPr>
    <w:r w:rsidRPr="000126D6">
      <w:rPr>
        <w:noProof/>
      </w:rPr>
      <mc:AlternateContent>
        <mc:Choice Requires="wps">
          <w:drawing>
            <wp:anchor distT="0" distB="0" distL="114300" distR="114300" simplePos="0" relativeHeight="251658240" behindDoc="0" locked="0" layoutInCell="1" allowOverlap="1" wp14:anchorId="525C75A3" wp14:editId="4019CC2D">
              <wp:simplePos x="0" y="0"/>
              <wp:positionH relativeFrom="column">
                <wp:posOffset>635</wp:posOffset>
              </wp:positionH>
              <wp:positionV relativeFrom="paragraph">
                <wp:posOffset>-86534</wp:posOffset>
              </wp:positionV>
              <wp:extent cx="5756564"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6564" cy="0"/>
                      </a:xfrm>
                      <a:prstGeom prst="line">
                        <a:avLst/>
                      </a:prstGeom>
                      <a:ln w="6350">
                        <a:solidFill>
                          <a:schemeClr val="tx1">
                            <a:lumMod val="25000"/>
                            <a:lumOff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dec="http://schemas.microsoft.com/office/drawing/2017/decorative" xmlns:a="http://schemas.openxmlformats.org/drawingml/2006/main">
          <w:pict>
            <v:line id="Straight Connector 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c6c6c6 [829]" strokeweight=".5pt" from=".05pt,-6.8pt" to="453.3pt,-6.8pt" w14:anchorId="192109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">
              <v:stroke joinstyle="miter"/>
            </v:line>
          </w:pict>
        </mc:Fallback>
      </mc:AlternateContent>
    </w:r>
    <w:r w:rsidR="00A20260">
      <w:rPr>
        <w:rStyle w:val="Header2Char"/>
      </w:rPr>
      <w:t>Waste 2 Resource annual status report 2024-2025</w:t>
    </w:r>
    <w:r w:rsidR="000623DB">
      <w:ptab w:relativeTo="margin" w:alignment="right" w:leader="none"/>
    </w:r>
    <w:r w:rsidR="000623DB">
      <w:fldChar w:fldCharType="begin"/>
    </w:r>
    <w:r w:rsidR="000623DB">
      <w:instrText xml:space="preserve"> PAGE  \* Arabic  \* MERGEFORMAT </w:instrText>
    </w:r>
    <w:r w:rsidR="000623DB">
      <w:fldChar w:fldCharType="separate"/>
    </w:r>
    <w:r w:rsidR="000623DB">
      <w:rPr>
        <w:noProof/>
      </w:rPr>
      <w:t>0</w:t>
    </w:r>
    <w:r w:rsidR="000623D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2A4E6243" w14:paraId="02EAAF7F" w14:textId="77777777" w:rsidTr="2A4E6243">
      <w:trPr>
        <w:trHeight w:val="300"/>
      </w:trPr>
      <w:tc>
        <w:tcPr>
          <w:tcW w:w="3020" w:type="dxa"/>
        </w:tcPr>
        <w:p w14:paraId="5379419E" w14:textId="3266B4C8" w:rsidR="2A4E6243" w:rsidRDefault="2A4E6243" w:rsidP="2A4E6243">
          <w:pPr>
            <w:pStyle w:val="Header"/>
            <w:ind w:left="-115"/>
          </w:pPr>
        </w:p>
      </w:tc>
      <w:tc>
        <w:tcPr>
          <w:tcW w:w="3020" w:type="dxa"/>
        </w:tcPr>
        <w:p w14:paraId="04F27651" w14:textId="4047D1B4" w:rsidR="2A4E6243" w:rsidRDefault="2A4E6243" w:rsidP="2A4E6243">
          <w:pPr>
            <w:pStyle w:val="Header"/>
            <w:jc w:val="center"/>
          </w:pPr>
        </w:p>
      </w:tc>
      <w:tc>
        <w:tcPr>
          <w:tcW w:w="3020" w:type="dxa"/>
        </w:tcPr>
        <w:p w14:paraId="533627AD" w14:textId="327E7A49" w:rsidR="2A4E6243" w:rsidRDefault="2A4E6243" w:rsidP="2A4E6243">
          <w:pPr>
            <w:pStyle w:val="Header"/>
            <w:ind w:right="-115"/>
            <w:jc w:val="right"/>
          </w:pPr>
        </w:p>
      </w:tc>
    </w:tr>
  </w:tbl>
  <w:p w14:paraId="26AE439A" w14:textId="0E19E8E2" w:rsidR="2A4E6243" w:rsidRDefault="2A4E6243" w:rsidP="2A4E62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09758" w14:textId="773A6C58" w:rsidR="008113E9" w:rsidRPr="008113E9" w:rsidRDefault="008113E9" w:rsidP="008113E9">
    <w:pPr>
      <w:pStyle w:val="Footer"/>
    </w:pPr>
    <w:r w:rsidRPr="000126D6">
      <w:rPr>
        <w:noProof/>
      </w:rPr>
      <mc:AlternateContent>
        <mc:Choice Requires="wps">
          <w:drawing>
            <wp:anchor distT="0" distB="0" distL="114300" distR="114300" simplePos="0" relativeHeight="251658242" behindDoc="0" locked="0" layoutInCell="1" allowOverlap="1" wp14:anchorId="7BE84F06" wp14:editId="1A2C8980">
              <wp:simplePos x="0" y="0"/>
              <wp:positionH relativeFrom="column">
                <wp:posOffset>635</wp:posOffset>
              </wp:positionH>
              <wp:positionV relativeFrom="paragraph">
                <wp:posOffset>-86534</wp:posOffset>
              </wp:positionV>
              <wp:extent cx="5756564" cy="0"/>
              <wp:effectExtent l="0" t="0" r="0" b="0"/>
              <wp:wrapNone/>
              <wp:docPr id="1087462810" name="Straight Connector 10874628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6564" cy="0"/>
                      </a:xfrm>
                      <a:prstGeom prst="line">
                        <a:avLst/>
                      </a:prstGeom>
                      <a:ln w="6350">
                        <a:solidFill>
                          <a:schemeClr val="tx1">
                            <a:lumMod val="25000"/>
                            <a:lumOff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dec="http://schemas.microsoft.com/office/drawing/2017/decorative" xmlns:a="http://schemas.openxmlformats.org/drawingml/2006/main">
          <w:pict>
            <v:line id="Straight Connector 1087462810" style="position:absolute;z-index:251663360;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c6c6c6 [829]" strokeweight=".5pt" from=".05pt,-6.8pt" to="453.3pt,-6.8pt" w14:anchorId="4C9517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">
              <v:stroke joinstyle="miter"/>
            </v:line>
          </w:pict>
        </mc:Fallback>
      </mc:AlternateContent>
    </w:r>
    <w:r w:rsidR="00A20260">
      <w:rPr>
        <w:rStyle w:val="Header2Char"/>
      </w:rPr>
      <w:t>Waste 2 Resource annual status report 2024-2025</w:t>
    </w:r>
    <w:r>
      <w:ptab w:relativeTo="margin" w:alignment="right" w:leader="none"/>
    </w:r>
    <w:r>
      <w:fldChar w:fldCharType="begin"/>
    </w:r>
    <w:r>
      <w:instrText xml:space="preserve"> PAGE  \* Arabic  \* MERGEFORMAT </w:instrText>
    </w:r>
    <w:r>
      <w:fldChar w:fldCharType="separate"/>
    </w:r>
    <w:r>
      <w:t>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2D168" w14:textId="77777777" w:rsidR="004864ED" w:rsidRDefault="004864ED" w:rsidP="00A9280E">
      <w:pPr>
        <w:spacing w:line="240" w:lineRule="auto"/>
      </w:pPr>
      <w:r>
        <w:separator/>
      </w:r>
    </w:p>
  </w:footnote>
  <w:footnote w:type="continuationSeparator" w:id="0">
    <w:p w14:paraId="40803CE3" w14:textId="77777777" w:rsidR="004864ED" w:rsidRDefault="004864ED" w:rsidP="00A9280E">
      <w:pPr>
        <w:spacing w:line="240" w:lineRule="auto"/>
      </w:pPr>
      <w:r>
        <w:continuationSeparator/>
      </w:r>
    </w:p>
  </w:footnote>
  <w:footnote w:type="continuationNotice" w:id="1">
    <w:p w14:paraId="0586FE94" w14:textId="77777777" w:rsidR="004864ED" w:rsidRDefault="004864E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2A4E6243" w14:paraId="0424B86B" w14:textId="77777777" w:rsidTr="2A4E6243">
      <w:trPr>
        <w:trHeight w:val="300"/>
      </w:trPr>
      <w:tc>
        <w:tcPr>
          <w:tcW w:w="3020" w:type="dxa"/>
        </w:tcPr>
        <w:p w14:paraId="5ADFEBEA" w14:textId="62F75E78" w:rsidR="2A4E6243" w:rsidRDefault="2A4E6243" w:rsidP="2A4E6243">
          <w:pPr>
            <w:pStyle w:val="Header"/>
            <w:ind w:left="-115"/>
          </w:pPr>
        </w:p>
      </w:tc>
      <w:tc>
        <w:tcPr>
          <w:tcW w:w="3020" w:type="dxa"/>
        </w:tcPr>
        <w:p w14:paraId="3EFD9CBC" w14:textId="0061007F" w:rsidR="2A4E6243" w:rsidRDefault="2A4E6243" w:rsidP="2A4E6243">
          <w:pPr>
            <w:pStyle w:val="Header"/>
            <w:jc w:val="center"/>
          </w:pPr>
        </w:p>
      </w:tc>
      <w:tc>
        <w:tcPr>
          <w:tcW w:w="3020" w:type="dxa"/>
        </w:tcPr>
        <w:p w14:paraId="7F9782D7" w14:textId="742EA23F" w:rsidR="2A4E6243" w:rsidRDefault="2A4E6243" w:rsidP="2A4E6243">
          <w:pPr>
            <w:pStyle w:val="Header"/>
            <w:ind w:right="-115"/>
            <w:jc w:val="right"/>
          </w:pPr>
        </w:p>
      </w:tc>
    </w:tr>
  </w:tbl>
  <w:p w14:paraId="6A1A65A5" w14:textId="23D7C60B" w:rsidR="2A4E6243" w:rsidRDefault="2A4E6243" w:rsidP="2A4E62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E74EE" w14:textId="77777777" w:rsidR="00A35033" w:rsidRDefault="00A35033">
    <w:pPr>
      <w:pStyle w:val="Header"/>
    </w:pPr>
    <w:r>
      <w:rPr>
        <w:noProof/>
      </w:rPr>
      <w:drawing>
        <wp:anchor distT="0" distB="0" distL="114300" distR="114300" simplePos="0" relativeHeight="251658241" behindDoc="1" locked="1" layoutInCell="1" allowOverlap="1" wp14:anchorId="38BAABA5" wp14:editId="6C57B5DA">
          <wp:simplePos x="0" y="0"/>
          <wp:positionH relativeFrom="margin">
            <wp:posOffset>-899160</wp:posOffset>
          </wp:positionH>
          <wp:positionV relativeFrom="margin">
            <wp:posOffset>-7649210</wp:posOffset>
          </wp:positionV>
          <wp:extent cx="7557770" cy="10687050"/>
          <wp:effectExtent l="0" t="0" r="5080" b="0"/>
          <wp:wrapNone/>
          <wp:docPr id="2058462795" name="Picture 20584627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92105" name="Picture 118199210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7770" cy="106870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2A4E6243" w14:paraId="69659E59" w14:textId="77777777" w:rsidTr="2A4E6243">
      <w:trPr>
        <w:trHeight w:val="300"/>
      </w:trPr>
      <w:tc>
        <w:tcPr>
          <w:tcW w:w="3020" w:type="dxa"/>
        </w:tcPr>
        <w:p w14:paraId="7FEE28BB" w14:textId="0EF7A531" w:rsidR="2A4E6243" w:rsidRDefault="2A4E6243" w:rsidP="2A4E6243">
          <w:pPr>
            <w:pStyle w:val="Header"/>
            <w:ind w:left="-115"/>
          </w:pPr>
        </w:p>
      </w:tc>
      <w:tc>
        <w:tcPr>
          <w:tcW w:w="3020" w:type="dxa"/>
        </w:tcPr>
        <w:p w14:paraId="1062E7DB" w14:textId="0C5B0CE0" w:rsidR="2A4E6243" w:rsidRDefault="2A4E6243" w:rsidP="2A4E6243">
          <w:pPr>
            <w:pStyle w:val="Header"/>
            <w:jc w:val="center"/>
          </w:pPr>
        </w:p>
      </w:tc>
      <w:tc>
        <w:tcPr>
          <w:tcW w:w="3020" w:type="dxa"/>
        </w:tcPr>
        <w:p w14:paraId="2846D8E3" w14:textId="373C8196" w:rsidR="2A4E6243" w:rsidRDefault="2A4E6243" w:rsidP="2A4E6243">
          <w:pPr>
            <w:pStyle w:val="Header"/>
            <w:ind w:right="-115"/>
            <w:jc w:val="right"/>
          </w:pPr>
        </w:p>
      </w:tc>
    </w:tr>
  </w:tbl>
  <w:p w14:paraId="6EC096A9" w14:textId="7B2EF959" w:rsidR="2A4E6243" w:rsidRDefault="2A4E6243" w:rsidP="2A4E62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F7A98" w14:textId="77777777" w:rsidR="008113E9" w:rsidRDefault="008113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2A4E6243" w14:paraId="62B6EBD4" w14:textId="77777777" w:rsidTr="2A4E6243">
      <w:trPr>
        <w:trHeight w:val="300"/>
      </w:trPr>
      <w:tc>
        <w:tcPr>
          <w:tcW w:w="3020" w:type="dxa"/>
        </w:tcPr>
        <w:p w14:paraId="7BA7A9D5" w14:textId="067E823F" w:rsidR="2A4E6243" w:rsidRDefault="2A4E6243" w:rsidP="2A4E6243">
          <w:pPr>
            <w:pStyle w:val="Header"/>
            <w:ind w:left="-115"/>
          </w:pPr>
        </w:p>
      </w:tc>
      <w:tc>
        <w:tcPr>
          <w:tcW w:w="3020" w:type="dxa"/>
        </w:tcPr>
        <w:p w14:paraId="7F6F3314" w14:textId="1FE69428" w:rsidR="2A4E6243" w:rsidRDefault="2A4E6243" w:rsidP="2A4E6243">
          <w:pPr>
            <w:pStyle w:val="Header"/>
            <w:jc w:val="center"/>
          </w:pPr>
        </w:p>
      </w:tc>
      <w:tc>
        <w:tcPr>
          <w:tcW w:w="3020" w:type="dxa"/>
        </w:tcPr>
        <w:p w14:paraId="5DDB5924" w14:textId="3521EF76" w:rsidR="2A4E6243" w:rsidRDefault="2A4E6243" w:rsidP="2A4E6243">
          <w:pPr>
            <w:pStyle w:val="Header"/>
            <w:ind w:right="-115"/>
            <w:jc w:val="right"/>
          </w:pPr>
        </w:p>
      </w:tc>
    </w:tr>
  </w:tbl>
  <w:p w14:paraId="4F7B32C3" w14:textId="34FDE2C1" w:rsidR="2A4E6243" w:rsidRDefault="2A4E6243" w:rsidP="2A4E624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2941D" w14:textId="77777777" w:rsidR="008113E9" w:rsidRDefault="008113E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2A4E6243" w14:paraId="51BBF05B" w14:textId="77777777" w:rsidTr="2A4E6243">
      <w:trPr>
        <w:trHeight w:val="300"/>
      </w:trPr>
      <w:tc>
        <w:tcPr>
          <w:tcW w:w="3020" w:type="dxa"/>
        </w:tcPr>
        <w:p w14:paraId="7A826FC6" w14:textId="5A801FE3" w:rsidR="2A4E6243" w:rsidRDefault="2A4E6243" w:rsidP="2A4E6243">
          <w:pPr>
            <w:pStyle w:val="Header"/>
            <w:ind w:left="-115"/>
          </w:pPr>
        </w:p>
      </w:tc>
      <w:tc>
        <w:tcPr>
          <w:tcW w:w="3020" w:type="dxa"/>
        </w:tcPr>
        <w:p w14:paraId="7C0AF4A8" w14:textId="1DFBFB27" w:rsidR="2A4E6243" w:rsidRDefault="2A4E6243" w:rsidP="2A4E6243">
          <w:pPr>
            <w:pStyle w:val="Header"/>
            <w:jc w:val="center"/>
          </w:pPr>
        </w:p>
      </w:tc>
      <w:tc>
        <w:tcPr>
          <w:tcW w:w="3020" w:type="dxa"/>
        </w:tcPr>
        <w:p w14:paraId="5F175995" w14:textId="33F918C9" w:rsidR="2A4E6243" w:rsidRDefault="2A4E6243" w:rsidP="2A4E6243">
          <w:pPr>
            <w:pStyle w:val="Header"/>
            <w:ind w:right="-115"/>
            <w:jc w:val="right"/>
          </w:pPr>
        </w:p>
      </w:tc>
    </w:tr>
  </w:tbl>
  <w:p w14:paraId="59D2574F" w14:textId="413EE7AB" w:rsidR="2A4E6243" w:rsidRDefault="2A4E6243" w:rsidP="2A4E62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8F6EEBF4"/>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DC4840AE"/>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02E8F31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9E47CC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BE0B5AC"/>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F4C8C0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2D685A8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E2267C0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3253E7"/>
    <w:multiLevelType w:val="multilevel"/>
    <w:tmpl w:val="0E32F68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39B03A7"/>
    <w:multiLevelType w:val="multilevel"/>
    <w:tmpl w:val="7EFE3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41E12B4"/>
    <w:multiLevelType w:val="multilevel"/>
    <w:tmpl w:val="858CC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0A21E3"/>
    <w:multiLevelType w:val="multilevel"/>
    <w:tmpl w:val="58CE3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652DF5"/>
    <w:multiLevelType w:val="multilevel"/>
    <w:tmpl w:val="A1D29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81232F"/>
    <w:multiLevelType w:val="hybridMultilevel"/>
    <w:tmpl w:val="E5B85CB6"/>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8307B1"/>
    <w:multiLevelType w:val="hybridMultilevel"/>
    <w:tmpl w:val="7E34102E"/>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1C04DC"/>
    <w:multiLevelType w:val="multilevel"/>
    <w:tmpl w:val="4692A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6F494D"/>
    <w:multiLevelType w:val="multilevel"/>
    <w:tmpl w:val="AAB0A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FC45C3"/>
    <w:multiLevelType w:val="hybridMultilevel"/>
    <w:tmpl w:val="08C00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D905D82"/>
    <w:multiLevelType w:val="multilevel"/>
    <w:tmpl w:val="3A10D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BCA490"/>
    <w:multiLevelType w:val="hybridMultilevel"/>
    <w:tmpl w:val="FFFFFFFF"/>
    <w:lvl w:ilvl="0" w:tplc="1736DE42">
      <w:start w:val="1"/>
      <w:numFmt w:val="bullet"/>
      <w:lvlText w:val="·"/>
      <w:lvlJc w:val="left"/>
      <w:pPr>
        <w:ind w:left="720" w:hanging="360"/>
      </w:pPr>
      <w:rPr>
        <w:rFonts w:ascii="Symbol" w:hAnsi="Symbol" w:hint="default"/>
      </w:rPr>
    </w:lvl>
    <w:lvl w:ilvl="1" w:tplc="416405BE">
      <w:start w:val="1"/>
      <w:numFmt w:val="bullet"/>
      <w:lvlText w:val="o"/>
      <w:lvlJc w:val="left"/>
      <w:pPr>
        <w:ind w:left="1440" w:hanging="360"/>
      </w:pPr>
      <w:rPr>
        <w:rFonts w:ascii="Courier New" w:hAnsi="Courier New" w:hint="default"/>
      </w:rPr>
    </w:lvl>
    <w:lvl w:ilvl="2" w:tplc="AD80AE92">
      <w:start w:val="1"/>
      <w:numFmt w:val="bullet"/>
      <w:lvlText w:val=""/>
      <w:lvlJc w:val="left"/>
      <w:pPr>
        <w:ind w:left="2160" w:hanging="360"/>
      </w:pPr>
      <w:rPr>
        <w:rFonts w:ascii="Wingdings" w:hAnsi="Wingdings" w:hint="default"/>
      </w:rPr>
    </w:lvl>
    <w:lvl w:ilvl="3" w:tplc="A2BA6D1C">
      <w:start w:val="1"/>
      <w:numFmt w:val="bullet"/>
      <w:lvlText w:val=""/>
      <w:lvlJc w:val="left"/>
      <w:pPr>
        <w:ind w:left="2880" w:hanging="360"/>
      </w:pPr>
      <w:rPr>
        <w:rFonts w:ascii="Symbol" w:hAnsi="Symbol" w:hint="default"/>
      </w:rPr>
    </w:lvl>
    <w:lvl w:ilvl="4" w:tplc="28942728">
      <w:start w:val="1"/>
      <w:numFmt w:val="bullet"/>
      <w:lvlText w:val="o"/>
      <w:lvlJc w:val="left"/>
      <w:pPr>
        <w:ind w:left="3600" w:hanging="360"/>
      </w:pPr>
      <w:rPr>
        <w:rFonts w:ascii="Courier New" w:hAnsi="Courier New" w:hint="default"/>
      </w:rPr>
    </w:lvl>
    <w:lvl w:ilvl="5" w:tplc="8990FFE2">
      <w:start w:val="1"/>
      <w:numFmt w:val="bullet"/>
      <w:lvlText w:val=""/>
      <w:lvlJc w:val="left"/>
      <w:pPr>
        <w:ind w:left="4320" w:hanging="360"/>
      </w:pPr>
      <w:rPr>
        <w:rFonts w:ascii="Wingdings" w:hAnsi="Wingdings" w:hint="default"/>
      </w:rPr>
    </w:lvl>
    <w:lvl w:ilvl="6" w:tplc="10A6FD32">
      <w:start w:val="1"/>
      <w:numFmt w:val="bullet"/>
      <w:lvlText w:val=""/>
      <w:lvlJc w:val="left"/>
      <w:pPr>
        <w:ind w:left="5040" w:hanging="360"/>
      </w:pPr>
      <w:rPr>
        <w:rFonts w:ascii="Symbol" w:hAnsi="Symbol" w:hint="default"/>
      </w:rPr>
    </w:lvl>
    <w:lvl w:ilvl="7" w:tplc="0AFA5BB2">
      <w:start w:val="1"/>
      <w:numFmt w:val="bullet"/>
      <w:lvlText w:val="o"/>
      <w:lvlJc w:val="left"/>
      <w:pPr>
        <w:ind w:left="5760" w:hanging="360"/>
      </w:pPr>
      <w:rPr>
        <w:rFonts w:ascii="Courier New" w:hAnsi="Courier New" w:hint="default"/>
      </w:rPr>
    </w:lvl>
    <w:lvl w:ilvl="8" w:tplc="1BD4D6B6">
      <w:start w:val="1"/>
      <w:numFmt w:val="bullet"/>
      <w:lvlText w:val=""/>
      <w:lvlJc w:val="left"/>
      <w:pPr>
        <w:ind w:left="6480" w:hanging="360"/>
      </w:pPr>
      <w:rPr>
        <w:rFonts w:ascii="Wingdings" w:hAnsi="Wingdings" w:hint="default"/>
      </w:rPr>
    </w:lvl>
  </w:abstractNum>
  <w:abstractNum w:abstractNumId="20" w15:restartNumberingAfterBreak="0">
    <w:nsid w:val="264677B7"/>
    <w:multiLevelType w:val="hybridMultilevel"/>
    <w:tmpl w:val="F23C9600"/>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9BE1ADC"/>
    <w:multiLevelType w:val="multilevel"/>
    <w:tmpl w:val="3FA4D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181811"/>
    <w:multiLevelType w:val="multilevel"/>
    <w:tmpl w:val="E104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4E32F9"/>
    <w:multiLevelType w:val="hybridMultilevel"/>
    <w:tmpl w:val="852C52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4B7094F"/>
    <w:multiLevelType w:val="hybridMultilevel"/>
    <w:tmpl w:val="865CE0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0943E6F"/>
    <w:multiLevelType w:val="hybridMultilevel"/>
    <w:tmpl w:val="8512A1F8"/>
    <w:lvl w:ilvl="0" w:tplc="12161BE6">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0CD3713"/>
    <w:multiLevelType w:val="multilevel"/>
    <w:tmpl w:val="0BAAF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576F22"/>
    <w:multiLevelType w:val="hybridMultilevel"/>
    <w:tmpl w:val="743241B6"/>
    <w:lvl w:ilvl="0" w:tplc="85CAF872">
      <w:numFmt w:val="bullet"/>
      <w:lvlText w:val="•"/>
      <w:lvlJc w:val="left"/>
      <w:pPr>
        <w:ind w:left="1650" w:hanging="57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43776202"/>
    <w:multiLevelType w:val="hybridMultilevel"/>
    <w:tmpl w:val="70C81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47910CC"/>
    <w:multiLevelType w:val="hybridMultilevel"/>
    <w:tmpl w:val="135CF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7EC5EDA"/>
    <w:multiLevelType w:val="hybridMultilevel"/>
    <w:tmpl w:val="8586D2F2"/>
    <w:lvl w:ilvl="0" w:tplc="0DC81C44">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81B7F6D"/>
    <w:multiLevelType w:val="hybridMultilevel"/>
    <w:tmpl w:val="A30A3BB4"/>
    <w:lvl w:ilvl="0" w:tplc="5D34EF40">
      <w:start w:val="1"/>
      <w:numFmt w:val="decimal"/>
      <w:lvlText w:val="%1."/>
      <w:lvlJc w:val="left"/>
      <w:pPr>
        <w:ind w:left="1290" w:hanging="57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49674589"/>
    <w:multiLevelType w:val="hybridMultilevel"/>
    <w:tmpl w:val="D842F7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2461A18"/>
    <w:multiLevelType w:val="hybridMultilevel"/>
    <w:tmpl w:val="A824EDC6"/>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1">
      <w:start w:val="1"/>
      <w:numFmt w:val="bullet"/>
      <w:lvlText w:val=""/>
      <w:lvlJc w:val="left"/>
      <w:pPr>
        <w:ind w:left="2520" w:hanging="360"/>
      </w:pPr>
      <w:rPr>
        <w:rFonts w:ascii="Symbol" w:hAnsi="Symbol"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D7C17E8"/>
    <w:multiLevelType w:val="hybridMultilevel"/>
    <w:tmpl w:val="7270A71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5" w15:restartNumberingAfterBreak="0">
    <w:nsid w:val="616353E3"/>
    <w:multiLevelType w:val="hybridMultilevel"/>
    <w:tmpl w:val="C390201C"/>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D246ED"/>
    <w:multiLevelType w:val="multilevel"/>
    <w:tmpl w:val="C9D46C44"/>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37" w15:restartNumberingAfterBreak="0">
    <w:nsid w:val="67655653"/>
    <w:multiLevelType w:val="singleLevel"/>
    <w:tmpl w:val="F626B85E"/>
    <w:name w:val="Bullet List 3"/>
    <w:lvl w:ilvl="0">
      <w:start w:val="1"/>
      <w:numFmt w:val="bullet"/>
      <w:pStyle w:val="ListBullet3"/>
      <w:lvlText w:val="○"/>
      <w:lvlJc w:val="left"/>
      <w:pPr>
        <w:ind w:left="1000" w:hanging="360"/>
      </w:pPr>
      <w:rPr>
        <w:rFonts w:ascii="Arial" w:hAnsi="Arial" w:hint="default"/>
      </w:rPr>
    </w:lvl>
  </w:abstractNum>
  <w:abstractNum w:abstractNumId="38" w15:restartNumberingAfterBreak="0">
    <w:nsid w:val="68F82F33"/>
    <w:multiLevelType w:val="hybridMultilevel"/>
    <w:tmpl w:val="F0D60A08"/>
    <w:lvl w:ilvl="0" w:tplc="5D34EF40">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E61285D"/>
    <w:multiLevelType w:val="singleLevel"/>
    <w:tmpl w:val="DADE1A62"/>
    <w:name w:val="Bullet List 1"/>
    <w:lvl w:ilvl="0">
      <w:start w:val="1"/>
      <w:numFmt w:val="bullet"/>
      <w:lvlRestart w:val="0"/>
      <w:lvlText w:val=""/>
      <w:lvlJc w:val="left"/>
      <w:pPr>
        <w:tabs>
          <w:tab w:val="num" w:pos="567"/>
        </w:tabs>
        <w:ind w:left="567" w:hanging="567"/>
      </w:pPr>
      <w:rPr>
        <w:rFonts w:ascii="Symbol" w:hAnsi="Symbol" w:hint="default"/>
      </w:rPr>
    </w:lvl>
  </w:abstractNum>
  <w:abstractNum w:abstractNumId="40" w15:restartNumberingAfterBreak="0">
    <w:nsid w:val="7F68036E"/>
    <w:multiLevelType w:val="hybridMultilevel"/>
    <w:tmpl w:val="6AC8E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B7528C"/>
    <w:multiLevelType w:val="singleLevel"/>
    <w:tmpl w:val="A8E2679A"/>
    <w:lvl w:ilvl="0">
      <w:start w:val="1"/>
      <w:numFmt w:val="bullet"/>
      <w:pStyle w:val="ListBullet2"/>
      <w:lvlText w:val="̶"/>
      <w:lvlJc w:val="left"/>
      <w:pPr>
        <w:ind w:left="720" w:hanging="360"/>
      </w:pPr>
      <w:rPr>
        <w:rFonts w:ascii="Arial" w:hAnsi="Arial" w:hint="default"/>
      </w:rPr>
    </w:lvl>
  </w:abstractNum>
  <w:num w:numId="1" w16cid:durableId="1537810841">
    <w:abstractNumId w:val="6"/>
  </w:num>
  <w:num w:numId="2" w16cid:durableId="611714971">
    <w:abstractNumId w:val="36"/>
  </w:num>
  <w:num w:numId="3" w16cid:durableId="2089233339">
    <w:abstractNumId w:val="1"/>
  </w:num>
  <w:num w:numId="4" w16cid:durableId="1064139033">
    <w:abstractNumId w:val="0"/>
  </w:num>
  <w:num w:numId="5" w16cid:durableId="1131676040">
    <w:abstractNumId w:val="7"/>
  </w:num>
  <w:num w:numId="6" w16cid:durableId="1792286315">
    <w:abstractNumId w:val="39"/>
  </w:num>
  <w:num w:numId="7" w16cid:durableId="1137340397">
    <w:abstractNumId w:val="5"/>
  </w:num>
  <w:num w:numId="8" w16cid:durableId="1764453121">
    <w:abstractNumId w:val="41"/>
  </w:num>
  <w:num w:numId="9" w16cid:durableId="1637031433">
    <w:abstractNumId w:val="4"/>
  </w:num>
  <w:num w:numId="10" w16cid:durableId="1647666585">
    <w:abstractNumId w:val="37"/>
  </w:num>
  <w:num w:numId="11" w16cid:durableId="1284655479">
    <w:abstractNumId w:val="28"/>
  </w:num>
  <w:num w:numId="12" w16cid:durableId="243073785">
    <w:abstractNumId w:val="35"/>
  </w:num>
  <w:num w:numId="13" w16cid:durableId="1688557858">
    <w:abstractNumId w:val="13"/>
  </w:num>
  <w:num w:numId="14" w16cid:durableId="868493949">
    <w:abstractNumId w:val="14"/>
  </w:num>
  <w:num w:numId="15" w16cid:durableId="1187258435">
    <w:abstractNumId w:val="32"/>
  </w:num>
  <w:num w:numId="16" w16cid:durableId="904074665">
    <w:abstractNumId w:val="25"/>
  </w:num>
  <w:num w:numId="17" w16cid:durableId="87309825">
    <w:abstractNumId w:val="27"/>
  </w:num>
  <w:num w:numId="18" w16cid:durableId="1541166783">
    <w:abstractNumId w:val="20"/>
  </w:num>
  <w:num w:numId="19" w16cid:durableId="1299456824">
    <w:abstractNumId w:val="22"/>
  </w:num>
  <w:num w:numId="20" w16cid:durableId="118844587">
    <w:abstractNumId w:val="11"/>
  </w:num>
  <w:num w:numId="21" w16cid:durableId="888106675">
    <w:abstractNumId w:val="18"/>
  </w:num>
  <w:num w:numId="22" w16cid:durableId="1921984302">
    <w:abstractNumId w:val="30"/>
  </w:num>
  <w:num w:numId="23" w16cid:durableId="1661228942">
    <w:abstractNumId w:val="7"/>
  </w:num>
  <w:num w:numId="24" w16cid:durableId="242568461">
    <w:abstractNumId w:val="21"/>
  </w:num>
  <w:num w:numId="25" w16cid:durableId="654720570">
    <w:abstractNumId w:val="10"/>
  </w:num>
  <w:num w:numId="26" w16cid:durableId="1335957949">
    <w:abstractNumId w:val="15"/>
  </w:num>
  <w:num w:numId="27" w16cid:durableId="1431004813">
    <w:abstractNumId w:val="16"/>
  </w:num>
  <w:num w:numId="28" w16cid:durableId="1996836406">
    <w:abstractNumId w:val="26"/>
  </w:num>
  <w:num w:numId="29" w16cid:durableId="1209220137">
    <w:abstractNumId w:val="12"/>
  </w:num>
  <w:num w:numId="30" w16cid:durableId="1843007621">
    <w:abstractNumId w:val="7"/>
  </w:num>
  <w:num w:numId="31" w16cid:durableId="636298608">
    <w:abstractNumId w:val="6"/>
  </w:num>
  <w:num w:numId="32" w16cid:durableId="990671108">
    <w:abstractNumId w:val="1"/>
  </w:num>
  <w:num w:numId="33" w16cid:durableId="1253390904">
    <w:abstractNumId w:val="0"/>
  </w:num>
  <w:num w:numId="34" w16cid:durableId="714813647">
    <w:abstractNumId w:val="3"/>
  </w:num>
  <w:num w:numId="35" w16cid:durableId="1560090524">
    <w:abstractNumId w:val="2"/>
  </w:num>
  <w:num w:numId="36" w16cid:durableId="837580191">
    <w:abstractNumId w:val="6"/>
  </w:num>
  <w:num w:numId="37" w16cid:durableId="9158972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11861575">
    <w:abstractNumId w:val="40"/>
  </w:num>
  <w:num w:numId="39" w16cid:durableId="1261836100">
    <w:abstractNumId w:val="33"/>
  </w:num>
  <w:num w:numId="40" w16cid:durableId="1520779936">
    <w:abstractNumId w:val="23"/>
  </w:num>
  <w:num w:numId="41" w16cid:durableId="249697999">
    <w:abstractNumId w:val="24"/>
  </w:num>
  <w:num w:numId="42" w16cid:durableId="1908880875">
    <w:abstractNumId w:val="38"/>
  </w:num>
  <w:num w:numId="43" w16cid:durableId="1731492046">
    <w:abstractNumId w:val="31"/>
  </w:num>
  <w:num w:numId="44" w16cid:durableId="137638966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60489287">
    <w:abstractNumId w:val="29"/>
  </w:num>
  <w:num w:numId="46" w16cid:durableId="1554078693">
    <w:abstractNumId w:val="17"/>
  </w:num>
  <w:num w:numId="47" w16cid:durableId="1544445517">
    <w:abstractNumId w:val="8"/>
  </w:num>
  <w:num w:numId="48" w16cid:durableId="930628250">
    <w:abstractNumId w:val="19"/>
  </w:num>
  <w:num w:numId="49" w16cid:durableId="21471574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proofState w:spelling="clean" w:grammar="clean"/>
  <w:stylePaneFormatFilter w:val="9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1"/>
  <w:stylePaneSortMethod w:val="0004"/>
  <w:documentProtection w:edit="readOnly" w:formatting="1" w:enforcement="1" w:cryptProviderType="rsaAES" w:cryptAlgorithmClass="hash" w:cryptAlgorithmType="typeAny" w:cryptAlgorithmSid="14" w:cryptSpinCount="100000" w:hash="CgeI8kH2TIWUpM93medJcJ6lVw3gy8vzHY2FJe/5FBfT5T+QPLwqTHHe7umebiIIJJYrR8f/3tpklBrHbkCbKg==" w:salt="iF/8gB0x3JWhwM+8vssheA=="/>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D39"/>
    <w:rsid w:val="000126D6"/>
    <w:rsid w:val="00012CAD"/>
    <w:rsid w:val="0001356D"/>
    <w:rsid w:val="000219A9"/>
    <w:rsid w:val="0002319B"/>
    <w:rsid w:val="00024C73"/>
    <w:rsid w:val="00040D81"/>
    <w:rsid w:val="00044C2C"/>
    <w:rsid w:val="00055A40"/>
    <w:rsid w:val="00057B17"/>
    <w:rsid w:val="000613D0"/>
    <w:rsid w:val="000623DB"/>
    <w:rsid w:val="00063EC5"/>
    <w:rsid w:val="00067CCE"/>
    <w:rsid w:val="00067D59"/>
    <w:rsid w:val="00073B95"/>
    <w:rsid w:val="000852B6"/>
    <w:rsid w:val="00085CF5"/>
    <w:rsid w:val="000919D4"/>
    <w:rsid w:val="000A149E"/>
    <w:rsid w:val="000A21FE"/>
    <w:rsid w:val="000B17F1"/>
    <w:rsid w:val="000B4428"/>
    <w:rsid w:val="000B62D3"/>
    <w:rsid w:val="000C4ABA"/>
    <w:rsid w:val="000D16BB"/>
    <w:rsid w:val="000E1954"/>
    <w:rsid w:val="000E505C"/>
    <w:rsid w:val="000E53FB"/>
    <w:rsid w:val="000F6DB0"/>
    <w:rsid w:val="00101A73"/>
    <w:rsid w:val="001043EA"/>
    <w:rsid w:val="001149E7"/>
    <w:rsid w:val="00140CB2"/>
    <w:rsid w:val="00153A90"/>
    <w:rsid w:val="00154AB7"/>
    <w:rsid w:val="0016617E"/>
    <w:rsid w:val="001679AB"/>
    <w:rsid w:val="001706C1"/>
    <w:rsid w:val="00171882"/>
    <w:rsid w:val="00172F20"/>
    <w:rsid w:val="0018390F"/>
    <w:rsid w:val="0018783A"/>
    <w:rsid w:val="00190D28"/>
    <w:rsid w:val="001A3FDE"/>
    <w:rsid w:val="001C6338"/>
    <w:rsid w:val="001D17A2"/>
    <w:rsid w:val="001D579F"/>
    <w:rsid w:val="001E0234"/>
    <w:rsid w:val="001E2214"/>
    <w:rsid w:val="001E3F0A"/>
    <w:rsid w:val="001E664A"/>
    <w:rsid w:val="001F3F89"/>
    <w:rsid w:val="00204A19"/>
    <w:rsid w:val="002107F2"/>
    <w:rsid w:val="00216C9B"/>
    <w:rsid w:val="002203EC"/>
    <w:rsid w:val="00231CE2"/>
    <w:rsid w:val="00242092"/>
    <w:rsid w:val="00251AA3"/>
    <w:rsid w:val="002563A7"/>
    <w:rsid w:val="00262FDA"/>
    <w:rsid w:val="00263139"/>
    <w:rsid w:val="00267FDF"/>
    <w:rsid w:val="002771DF"/>
    <w:rsid w:val="00281FEA"/>
    <w:rsid w:val="002909B5"/>
    <w:rsid w:val="00290AD8"/>
    <w:rsid w:val="00290CF8"/>
    <w:rsid w:val="002934E3"/>
    <w:rsid w:val="00293985"/>
    <w:rsid w:val="002A0273"/>
    <w:rsid w:val="002A17DB"/>
    <w:rsid w:val="002A7912"/>
    <w:rsid w:val="002B53BA"/>
    <w:rsid w:val="002D071C"/>
    <w:rsid w:val="002D21C1"/>
    <w:rsid w:val="002D2AC5"/>
    <w:rsid w:val="002D34A2"/>
    <w:rsid w:val="002D489B"/>
    <w:rsid w:val="002D6B1B"/>
    <w:rsid w:val="002D7D2F"/>
    <w:rsid w:val="002E73E8"/>
    <w:rsid w:val="002F2965"/>
    <w:rsid w:val="002F2FF2"/>
    <w:rsid w:val="002F60C1"/>
    <w:rsid w:val="003054BF"/>
    <w:rsid w:val="00314EB4"/>
    <w:rsid w:val="00320375"/>
    <w:rsid w:val="00321BB9"/>
    <w:rsid w:val="00330284"/>
    <w:rsid w:val="00337B99"/>
    <w:rsid w:val="0034090D"/>
    <w:rsid w:val="00343F94"/>
    <w:rsid w:val="00345DB1"/>
    <w:rsid w:val="003533A6"/>
    <w:rsid w:val="003563E6"/>
    <w:rsid w:val="00361BC8"/>
    <w:rsid w:val="00366A85"/>
    <w:rsid w:val="00373498"/>
    <w:rsid w:val="003919A0"/>
    <w:rsid w:val="00394461"/>
    <w:rsid w:val="003A2E8F"/>
    <w:rsid w:val="003A407E"/>
    <w:rsid w:val="003B4322"/>
    <w:rsid w:val="003C73AE"/>
    <w:rsid w:val="003D3DDE"/>
    <w:rsid w:val="003E0083"/>
    <w:rsid w:val="003F021E"/>
    <w:rsid w:val="00414164"/>
    <w:rsid w:val="00416D81"/>
    <w:rsid w:val="0042018F"/>
    <w:rsid w:val="004207B9"/>
    <w:rsid w:val="00435625"/>
    <w:rsid w:val="00443093"/>
    <w:rsid w:val="00444D2D"/>
    <w:rsid w:val="004473C8"/>
    <w:rsid w:val="00477E38"/>
    <w:rsid w:val="004816D7"/>
    <w:rsid w:val="00482035"/>
    <w:rsid w:val="00483002"/>
    <w:rsid w:val="00483587"/>
    <w:rsid w:val="00485A2E"/>
    <w:rsid w:val="004864ED"/>
    <w:rsid w:val="00486E3B"/>
    <w:rsid w:val="00490429"/>
    <w:rsid w:val="00492B82"/>
    <w:rsid w:val="00492FF4"/>
    <w:rsid w:val="004B1945"/>
    <w:rsid w:val="004B27E0"/>
    <w:rsid w:val="004B5948"/>
    <w:rsid w:val="004C3267"/>
    <w:rsid w:val="004C4CB3"/>
    <w:rsid w:val="004C6FAE"/>
    <w:rsid w:val="004D56A9"/>
    <w:rsid w:val="004E7E9C"/>
    <w:rsid w:val="004F0A7F"/>
    <w:rsid w:val="004F108A"/>
    <w:rsid w:val="00503AD7"/>
    <w:rsid w:val="005075D9"/>
    <w:rsid w:val="00511F74"/>
    <w:rsid w:val="005241D3"/>
    <w:rsid w:val="00531AAA"/>
    <w:rsid w:val="00532EF1"/>
    <w:rsid w:val="005356D0"/>
    <w:rsid w:val="005360E7"/>
    <w:rsid w:val="0053623E"/>
    <w:rsid w:val="00540C50"/>
    <w:rsid w:val="00545452"/>
    <w:rsid w:val="00546311"/>
    <w:rsid w:val="005540A7"/>
    <w:rsid w:val="00554223"/>
    <w:rsid w:val="005555D7"/>
    <w:rsid w:val="00560347"/>
    <w:rsid w:val="0056231A"/>
    <w:rsid w:val="00563140"/>
    <w:rsid w:val="00567279"/>
    <w:rsid w:val="00572ECD"/>
    <w:rsid w:val="0057777A"/>
    <w:rsid w:val="00582EBC"/>
    <w:rsid w:val="005914BA"/>
    <w:rsid w:val="005959C1"/>
    <w:rsid w:val="00596985"/>
    <w:rsid w:val="005A56EF"/>
    <w:rsid w:val="005B366A"/>
    <w:rsid w:val="005B39E8"/>
    <w:rsid w:val="005B4843"/>
    <w:rsid w:val="005B5D84"/>
    <w:rsid w:val="005B5DD8"/>
    <w:rsid w:val="005C435D"/>
    <w:rsid w:val="005D11E4"/>
    <w:rsid w:val="005D30C5"/>
    <w:rsid w:val="005D380C"/>
    <w:rsid w:val="005F07A0"/>
    <w:rsid w:val="00601688"/>
    <w:rsid w:val="00623302"/>
    <w:rsid w:val="006359CC"/>
    <w:rsid w:val="00650A5D"/>
    <w:rsid w:val="00652614"/>
    <w:rsid w:val="0067263C"/>
    <w:rsid w:val="0067596A"/>
    <w:rsid w:val="0068573B"/>
    <w:rsid w:val="006902D2"/>
    <w:rsid w:val="00692EE8"/>
    <w:rsid w:val="00695BB5"/>
    <w:rsid w:val="006A257D"/>
    <w:rsid w:val="006D20F1"/>
    <w:rsid w:val="006D2178"/>
    <w:rsid w:val="006D5D92"/>
    <w:rsid w:val="006E4323"/>
    <w:rsid w:val="006E6183"/>
    <w:rsid w:val="006F4291"/>
    <w:rsid w:val="006F44A2"/>
    <w:rsid w:val="006F7B3D"/>
    <w:rsid w:val="00715DBD"/>
    <w:rsid w:val="00723604"/>
    <w:rsid w:val="00737BE9"/>
    <w:rsid w:val="00737DCA"/>
    <w:rsid w:val="00737F73"/>
    <w:rsid w:val="00747BA3"/>
    <w:rsid w:val="00761568"/>
    <w:rsid w:val="00771B30"/>
    <w:rsid w:val="007777F6"/>
    <w:rsid w:val="007812E1"/>
    <w:rsid w:val="00783DC6"/>
    <w:rsid w:val="00785CA8"/>
    <w:rsid w:val="00794CEF"/>
    <w:rsid w:val="007A4F36"/>
    <w:rsid w:val="007A6B20"/>
    <w:rsid w:val="007B1D1E"/>
    <w:rsid w:val="007B4252"/>
    <w:rsid w:val="007B55B4"/>
    <w:rsid w:val="007B5787"/>
    <w:rsid w:val="007B7641"/>
    <w:rsid w:val="007C28F4"/>
    <w:rsid w:val="007D650A"/>
    <w:rsid w:val="007E0CD4"/>
    <w:rsid w:val="007E446C"/>
    <w:rsid w:val="007E45D3"/>
    <w:rsid w:val="007E5D9B"/>
    <w:rsid w:val="007E6613"/>
    <w:rsid w:val="007F00CE"/>
    <w:rsid w:val="007F0E6D"/>
    <w:rsid w:val="007F7402"/>
    <w:rsid w:val="00805CF7"/>
    <w:rsid w:val="008113E9"/>
    <w:rsid w:val="00812BEF"/>
    <w:rsid w:val="00817400"/>
    <w:rsid w:val="00831DDA"/>
    <w:rsid w:val="00832E05"/>
    <w:rsid w:val="0084404D"/>
    <w:rsid w:val="00850F61"/>
    <w:rsid w:val="00873D82"/>
    <w:rsid w:val="0088793C"/>
    <w:rsid w:val="008912C1"/>
    <w:rsid w:val="008938DB"/>
    <w:rsid w:val="008A05EE"/>
    <w:rsid w:val="008A42A5"/>
    <w:rsid w:val="008A7368"/>
    <w:rsid w:val="008C0F00"/>
    <w:rsid w:val="008C2E64"/>
    <w:rsid w:val="008C34CD"/>
    <w:rsid w:val="008D375B"/>
    <w:rsid w:val="008D4272"/>
    <w:rsid w:val="008D45CD"/>
    <w:rsid w:val="008D4FBA"/>
    <w:rsid w:val="008E01EF"/>
    <w:rsid w:val="008E08B2"/>
    <w:rsid w:val="008F1000"/>
    <w:rsid w:val="008F15FD"/>
    <w:rsid w:val="008F6CC3"/>
    <w:rsid w:val="008F6D01"/>
    <w:rsid w:val="008F79AE"/>
    <w:rsid w:val="00900DEE"/>
    <w:rsid w:val="00901C64"/>
    <w:rsid w:val="009049DD"/>
    <w:rsid w:val="00910872"/>
    <w:rsid w:val="0091280C"/>
    <w:rsid w:val="00920914"/>
    <w:rsid w:val="00921DAB"/>
    <w:rsid w:val="00923EA4"/>
    <w:rsid w:val="00924579"/>
    <w:rsid w:val="0093401F"/>
    <w:rsid w:val="00936D2C"/>
    <w:rsid w:val="0094184C"/>
    <w:rsid w:val="00945073"/>
    <w:rsid w:val="00954A74"/>
    <w:rsid w:val="00954EB3"/>
    <w:rsid w:val="00955CFE"/>
    <w:rsid w:val="00957287"/>
    <w:rsid w:val="00961466"/>
    <w:rsid w:val="00966CEB"/>
    <w:rsid w:val="00974265"/>
    <w:rsid w:val="009823BA"/>
    <w:rsid w:val="00984F2A"/>
    <w:rsid w:val="009868A8"/>
    <w:rsid w:val="00997276"/>
    <w:rsid w:val="0099763C"/>
    <w:rsid w:val="009A127C"/>
    <w:rsid w:val="009A496D"/>
    <w:rsid w:val="009A4AED"/>
    <w:rsid w:val="009B024D"/>
    <w:rsid w:val="009B479F"/>
    <w:rsid w:val="009B7A9E"/>
    <w:rsid w:val="009C0098"/>
    <w:rsid w:val="009C476A"/>
    <w:rsid w:val="009D3325"/>
    <w:rsid w:val="009D7C67"/>
    <w:rsid w:val="009D7D39"/>
    <w:rsid w:val="009E5987"/>
    <w:rsid w:val="009F0A25"/>
    <w:rsid w:val="009F2428"/>
    <w:rsid w:val="009F3CFC"/>
    <w:rsid w:val="009F4DEF"/>
    <w:rsid w:val="00A04CB7"/>
    <w:rsid w:val="00A06700"/>
    <w:rsid w:val="00A1097A"/>
    <w:rsid w:val="00A13321"/>
    <w:rsid w:val="00A20260"/>
    <w:rsid w:val="00A250D6"/>
    <w:rsid w:val="00A303E0"/>
    <w:rsid w:val="00A35033"/>
    <w:rsid w:val="00A364B9"/>
    <w:rsid w:val="00A410E0"/>
    <w:rsid w:val="00A45271"/>
    <w:rsid w:val="00A51CDC"/>
    <w:rsid w:val="00A60688"/>
    <w:rsid w:val="00A63DCB"/>
    <w:rsid w:val="00A6578A"/>
    <w:rsid w:val="00A67647"/>
    <w:rsid w:val="00A67B95"/>
    <w:rsid w:val="00A747CA"/>
    <w:rsid w:val="00A77553"/>
    <w:rsid w:val="00A8236B"/>
    <w:rsid w:val="00A828D8"/>
    <w:rsid w:val="00A85E38"/>
    <w:rsid w:val="00A87C6F"/>
    <w:rsid w:val="00A901EE"/>
    <w:rsid w:val="00A9280E"/>
    <w:rsid w:val="00AC309B"/>
    <w:rsid w:val="00AC5074"/>
    <w:rsid w:val="00AC61DE"/>
    <w:rsid w:val="00AD1558"/>
    <w:rsid w:val="00AD6D4E"/>
    <w:rsid w:val="00AE2692"/>
    <w:rsid w:val="00AE635F"/>
    <w:rsid w:val="00AF2B91"/>
    <w:rsid w:val="00B01571"/>
    <w:rsid w:val="00B02107"/>
    <w:rsid w:val="00B05096"/>
    <w:rsid w:val="00B0588B"/>
    <w:rsid w:val="00B10372"/>
    <w:rsid w:val="00B1179E"/>
    <w:rsid w:val="00B15F3B"/>
    <w:rsid w:val="00B16BFD"/>
    <w:rsid w:val="00B306E2"/>
    <w:rsid w:val="00B44652"/>
    <w:rsid w:val="00B44A61"/>
    <w:rsid w:val="00B46CA8"/>
    <w:rsid w:val="00B47769"/>
    <w:rsid w:val="00B54845"/>
    <w:rsid w:val="00B55780"/>
    <w:rsid w:val="00B56ABB"/>
    <w:rsid w:val="00B65437"/>
    <w:rsid w:val="00B66403"/>
    <w:rsid w:val="00B70360"/>
    <w:rsid w:val="00B73BB8"/>
    <w:rsid w:val="00B94111"/>
    <w:rsid w:val="00BB0399"/>
    <w:rsid w:val="00BB1F42"/>
    <w:rsid w:val="00BB29BA"/>
    <w:rsid w:val="00BB35E9"/>
    <w:rsid w:val="00BB669D"/>
    <w:rsid w:val="00BC1C7D"/>
    <w:rsid w:val="00BC5068"/>
    <w:rsid w:val="00BE0BE9"/>
    <w:rsid w:val="00BE1756"/>
    <w:rsid w:val="00BF4738"/>
    <w:rsid w:val="00BF615B"/>
    <w:rsid w:val="00BF6164"/>
    <w:rsid w:val="00C0623C"/>
    <w:rsid w:val="00C12AC8"/>
    <w:rsid w:val="00C26415"/>
    <w:rsid w:val="00C3147C"/>
    <w:rsid w:val="00C31695"/>
    <w:rsid w:val="00C358A6"/>
    <w:rsid w:val="00C371CC"/>
    <w:rsid w:val="00C37DC0"/>
    <w:rsid w:val="00C42431"/>
    <w:rsid w:val="00C427DE"/>
    <w:rsid w:val="00C52D7D"/>
    <w:rsid w:val="00C61610"/>
    <w:rsid w:val="00C6493C"/>
    <w:rsid w:val="00C70E0C"/>
    <w:rsid w:val="00C81404"/>
    <w:rsid w:val="00C85784"/>
    <w:rsid w:val="00CA1181"/>
    <w:rsid w:val="00CB03AE"/>
    <w:rsid w:val="00CB0607"/>
    <w:rsid w:val="00CB5194"/>
    <w:rsid w:val="00CB6F7C"/>
    <w:rsid w:val="00CC0C3B"/>
    <w:rsid w:val="00CC40DC"/>
    <w:rsid w:val="00CC58D5"/>
    <w:rsid w:val="00CD2A41"/>
    <w:rsid w:val="00CD3DB7"/>
    <w:rsid w:val="00CE0CFA"/>
    <w:rsid w:val="00CF57D8"/>
    <w:rsid w:val="00D242AE"/>
    <w:rsid w:val="00D27BF5"/>
    <w:rsid w:val="00D30522"/>
    <w:rsid w:val="00D310FD"/>
    <w:rsid w:val="00D34E36"/>
    <w:rsid w:val="00D37356"/>
    <w:rsid w:val="00D45E84"/>
    <w:rsid w:val="00D461D9"/>
    <w:rsid w:val="00D511FF"/>
    <w:rsid w:val="00D52875"/>
    <w:rsid w:val="00D62542"/>
    <w:rsid w:val="00D676F7"/>
    <w:rsid w:val="00D73A30"/>
    <w:rsid w:val="00D77F76"/>
    <w:rsid w:val="00D8103A"/>
    <w:rsid w:val="00D840FD"/>
    <w:rsid w:val="00D8547B"/>
    <w:rsid w:val="00D91F41"/>
    <w:rsid w:val="00DA35AD"/>
    <w:rsid w:val="00DA4996"/>
    <w:rsid w:val="00DB1B2D"/>
    <w:rsid w:val="00DB782F"/>
    <w:rsid w:val="00DC0880"/>
    <w:rsid w:val="00DC7CAF"/>
    <w:rsid w:val="00DD2413"/>
    <w:rsid w:val="00DD7258"/>
    <w:rsid w:val="00DE0712"/>
    <w:rsid w:val="00DE4F4E"/>
    <w:rsid w:val="00DF29E6"/>
    <w:rsid w:val="00DF4558"/>
    <w:rsid w:val="00DF4B4B"/>
    <w:rsid w:val="00E04D4A"/>
    <w:rsid w:val="00E11443"/>
    <w:rsid w:val="00E20250"/>
    <w:rsid w:val="00E27446"/>
    <w:rsid w:val="00E35790"/>
    <w:rsid w:val="00E371C7"/>
    <w:rsid w:val="00E40381"/>
    <w:rsid w:val="00E4305A"/>
    <w:rsid w:val="00E43405"/>
    <w:rsid w:val="00E434E1"/>
    <w:rsid w:val="00E712EE"/>
    <w:rsid w:val="00E773B5"/>
    <w:rsid w:val="00E94CF8"/>
    <w:rsid w:val="00EA0BFE"/>
    <w:rsid w:val="00EB1057"/>
    <w:rsid w:val="00EB21D5"/>
    <w:rsid w:val="00EB3C3D"/>
    <w:rsid w:val="00EB596F"/>
    <w:rsid w:val="00EB6F71"/>
    <w:rsid w:val="00ED206A"/>
    <w:rsid w:val="00EE221C"/>
    <w:rsid w:val="00EF4EAD"/>
    <w:rsid w:val="00EF7AB4"/>
    <w:rsid w:val="00F06129"/>
    <w:rsid w:val="00F11517"/>
    <w:rsid w:val="00F12B31"/>
    <w:rsid w:val="00F15872"/>
    <w:rsid w:val="00F1727E"/>
    <w:rsid w:val="00F17E91"/>
    <w:rsid w:val="00F26698"/>
    <w:rsid w:val="00F266F9"/>
    <w:rsid w:val="00F353AC"/>
    <w:rsid w:val="00F3649F"/>
    <w:rsid w:val="00F50B61"/>
    <w:rsid w:val="00F518AD"/>
    <w:rsid w:val="00F54D00"/>
    <w:rsid w:val="00F55B2F"/>
    <w:rsid w:val="00F67759"/>
    <w:rsid w:val="00F70A91"/>
    <w:rsid w:val="00F77ECC"/>
    <w:rsid w:val="00F82919"/>
    <w:rsid w:val="00F872AD"/>
    <w:rsid w:val="00FA6E24"/>
    <w:rsid w:val="00FC12EC"/>
    <w:rsid w:val="00FC76B9"/>
    <w:rsid w:val="00FD0817"/>
    <w:rsid w:val="00FD1276"/>
    <w:rsid w:val="00FD24F6"/>
    <w:rsid w:val="00FD59D9"/>
    <w:rsid w:val="00FD6042"/>
    <w:rsid w:val="00FF64BF"/>
    <w:rsid w:val="07C1C983"/>
    <w:rsid w:val="09D48C63"/>
    <w:rsid w:val="0CAFE08D"/>
    <w:rsid w:val="12A6E9C6"/>
    <w:rsid w:val="1AB85A11"/>
    <w:rsid w:val="1F409A84"/>
    <w:rsid w:val="20735924"/>
    <w:rsid w:val="26CFA1A5"/>
    <w:rsid w:val="281C88C9"/>
    <w:rsid w:val="29697C56"/>
    <w:rsid w:val="2A4E6243"/>
    <w:rsid w:val="3432E562"/>
    <w:rsid w:val="405860D2"/>
    <w:rsid w:val="41111CC6"/>
    <w:rsid w:val="42016312"/>
    <w:rsid w:val="424C5365"/>
    <w:rsid w:val="4BB2206D"/>
    <w:rsid w:val="64D33250"/>
    <w:rsid w:val="67CE90F3"/>
    <w:rsid w:val="72636A1E"/>
    <w:rsid w:val="75BA53F8"/>
    <w:rsid w:val="797F7AD4"/>
    <w:rsid w:val="7BC2D7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AC96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C6F"/>
    <w:pPr>
      <w:suppressAutoHyphens/>
      <w:spacing w:before="160" w:after="240" w:line="320" w:lineRule="atLeast"/>
    </w:pPr>
    <w:rPr>
      <w:rFonts w:ascii="Arial" w:hAnsi="Arial"/>
      <w:color w:val="2F2F2F" w:themeColor="text1" w:themeTint="E6"/>
      <w:sz w:val="24"/>
    </w:rPr>
  </w:style>
  <w:style w:type="paragraph" w:styleId="Heading1">
    <w:name w:val="heading 1"/>
    <w:basedOn w:val="Normal"/>
    <w:next w:val="Normal"/>
    <w:link w:val="Heading1Char"/>
    <w:uiPriority w:val="9"/>
    <w:qFormat/>
    <w:rsid w:val="00486E3B"/>
    <w:pPr>
      <w:keepNext/>
      <w:keepLines/>
      <w:spacing w:before="480" w:line="680" w:lineRule="atLeast"/>
      <w:outlineLvl w:val="0"/>
    </w:pPr>
    <w:rPr>
      <w:rFonts w:eastAsiaTheme="majorEastAsia" w:cstheme="majorBidi"/>
      <w:color w:val="003E69"/>
      <w:sz w:val="60"/>
      <w:szCs w:val="36"/>
    </w:rPr>
  </w:style>
  <w:style w:type="paragraph" w:styleId="Heading2">
    <w:name w:val="heading 2"/>
    <w:basedOn w:val="Heading1"/>
    <w:next w:val="Normal"/>
    <w:link w:val="Heading2Char"/>
    <w:uiPriority w:val="9"/>
    <w:unhideWhenUsed/>
    <w:qFormat/>
    <w:rsid w:val="003054BF"/>
    <w:pPr>
      <w:spacing w:line="520" w:lineRule="atLeast"/>
      <w:outlineLvl w:val="1"/>
    </w:pPr>
    <w:rPr>
      <w:color w:val="001531" w:themeColor="background2" w:themeShade="1A"/>
      <w:sz w:val="44"/>
      <w:szCs w:val="32"/>
    </w:rPr>
  </w:style>
  <w:style w:type="paragraph" w:styleId="Heading3">
    <w:name w:val="heading 3"/>
    <w:basedOn w:val="Heading1"/>
    <w:next w:val="Normal"/>
    <w:link w:val="Heading3Char"/>
    <w:uiPriority w:val="9"/>
    <w:unhideWhenUsed/>
    <w:qFormat/>
    <w:rsid w:val="008F1000"/>
    <w:pPr>
      <w:spacing w:line="440" w:lineRule="atLeast"/>
      <w:outlineLvl w:val="2"/>
    </w:pPr>
    <w:rPr>
      <w:sz w:val="36"/>
      <w:szCs w:val="28"/>
    </w:rPr>
  </w:style>
  <w:style w:type="paragraph" w:styleId="Heading4">
    <w:name w:val="heading 4"/>
    <w:basedOn w:val="Heading1"/>
    <w:next w:val="Normal"/>
    <w:link w:val="Heading4Char"/>
    <w:autoRedefine/>
    <w:uiPriority w:val="9"/>
    <w:unhideWhenUsed/>
    <w:qFormat/>
    <w:rsid w:val="005B5DD8"/>
    <w:pPr>
      <w:spacing w:line="360" w:lineRule="atLeast"/>
      <w:outlineLvl w:val="3"/>
    </w:pPr>
    <w:rPr>
      <w:color w:val="063A72" w:themeColor="accent1"/>
      <w:sz w:val="28"/>
      <w:szCs w:val="24"/>
    </w:rPr>
  </w:style>
  <w:style w:type="paragraph" w:styleId="Heading5">
    <w:name w:val="heading 5"/>
    <w:basedOn w:val="Normal"/>
    <w:next w:val="Normal"/>
    <w:link w:val="Heading5Char"/>
    <w:uiPriority w:val="9"/>
    <w:unhideWhenUsed/>
    <w:qFormat/>
    <w:rsid w:val="005B5DD8"/>
    <w:pPr>
      <w:keepNext/>
      <w:keepLines/>
      <w:spacing w:before="480"/>
      <w:outlineLvl w:val="4"/>
    </w:pPr>
    <w:rPr>
      <w:rFonts w:asciiTheme="majorHAnsi" w:eastAsiaTheme="majorEastAsia" w:hAnsiTheme="majorHAnsi" w:cstheme="majorBidi"/>
      <w:b/>
      <w:color w:val="03264C" w:themeColor="text2"/>
    </w:rPr>
  </w:style>
  <w:style w:type="paragraph" w:styleId="Heading6">
    <w:name w:val="heading 6"/>
    <w:basedOn w:val="Normal"/>
    <w:next w:val="Normal"/>
    <w:link w:val="Heading6Char"/>
    <w:uiPriority w:val="9"/>
    <w:unhideWhenUsed/>
    <w:qFormat/>
    <w:rsid w:val="00B56ABB"/>
    <w:pPr>
      <w:keepNext/>
      <w:keepLines/>
      <w:spacing w:before="40"/>
      <w:outlineLvl w:val="5"/>
    </w:pPr>
    <w:rPr>
      <w:rFonts w:asciiTheme="majorHAnsi" w:eastAsiaTheme="majorEastAsia" w:hAnsiTheme="majorHAnsi" w:cstheme="majorBidi"/>
      <w:i/>
      <w:iCs/>
      <w:caps/>
      <w:color w:val="031C39" w:themeColor="accent1" w:themeShade="80"/>
    </w:rPr>
  </w:style>
  <w:style w:type="paragraph" w:styleId="Heading7">
    <w:name w:val="heading 7"/>
    <w:basedOn w:val="Normal"/>
    <w:next w:val="Normal"/>
    <w:link w:val="Heading7Char"/>
    <w:uiPriority w:val="9"/>
    <w:semiHidden/>
    <w:unhideWhenUsed/>
    <w:qFormat/>
    <w:rsid w:val="00B56ABB"/>
    <w:pPr>
      <w:keepNext/>
      <w:keepLines/>
      <w:spacing w:before="40"/>
      <w:outlineLvl w:val="6"/>
    </w:pPr>
    <w:rPr>
      <w:rFonts w:asciiTheme="majorHAnsi" w:eastAsiaTheme="majorEastAsia" w:hAnsiTheme="majorHAnsi" w:cstheme="majorBidi"/>
      <w:b/>
      <w:bCs/>
      <w:color w:val="031C39" w:themeColor="accent1" w:themeShade="80"/>
    </w:rPr>
  </w:style>
  <w:style w:type="paragraph" w:styleId="Heading8">
    <w:name w:val="heading 8"/>
    <w:basedOn w:val="Normal"/>
    <w:next w:val="Normal"/>
    <w:link w:val="Heading8Char"/>
    <w:uiPriority w:val="9"/>
    <w:semiHidden/>
    <w:unhideWhenUsed/>
    <w:qFormat/>
    <w:rsid w:val="00B56ABB"/>
    <w:pPr>
      <w:keepNext/>
      <w:keepLines/>
      <w:spacing w:before="40"/>
      <w:outlineLvl w:val="7"/>
    </w:pPr>
    <w:rPr>
      <w:rFonts w:asciiTheme="majorHAnsi" w:eastAsiaTheme="majorEastAsia" w:hAnsiTheme="majorHAnsi" w:cstheme="majorBidi"/>
      <w:b/>
      <w:bCs/>
      <w:i/>
      <w:iCs/>
      <w:color w:val="031C39" w:themeColor="accent1" w:themeShade="80"/>
    </w:rPr>
  </w:style>
  <w:style w:type="paragraph" w:styleId="Heading9">
    <w:name w:val="heading 9"/>
    <w:basedOn w:val="Normal"/>
    <w:next w:val="Normal"/>
    <w:link w:val="Heading9Char"/>
    <w:uiPriority w:val="9"/>
    <w:semiHidden/>
    <w:unhideWhenUsed/>
    <w:qFormat/>
    <w:rsid w:val="00B56ABB"/>
    <w:pPr>
      <w:keepNext/>
      <w:keepLines/>
      <w:spacing w:before="40"/>
      <w:outlineLvl w:val="8"/>
    </w:pPr>
    <w:rPr>
      <w:rFonts w:asciiTheme="majorHAnsi" w:eastAsiaTheme="majorEastAsia" w:hAnsiTheme="majorHAnsi" w:cstheme="majorBidi"/>
      <w:i/>
      <w:iCs/>
      <w:color w:val="031C3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99"/>
    <w:unhideWhenUsed/>
    <w:rsid w:val="00A51CDC"/>
    <w:pPr>
      <w:framePr w:wrap="around" w:vAnchor="text" w:hAnchor="text" w:y="1"/>
      <w:pBdr>
        <w:top w:val="single" w:sz="2" w:space="8" w:color="C5C5C5" w:themeColor="text1" w:themeTint="40"/>
        <w:left w:val="single" w:sz="2" w:space="8" w:color="C5C5C5" w:themeColor="text1" w:themeTint="40"/>
        <w:bottom w:val="single" w:sz="2" w:space="8" w:color="C5C5C5" w:themeColor="text1" w:themeTint="40"/>
        <w:right w:val="single" w:sz="2" w:space="8" w:color="C5C5C5" w:themeColor="text1" w:themeTint="40"/>
      </w:pBdr>
      <w:ind w:left="640" w:right="640"/>
    </w:pPr>
    <w:rPr>
      <w:rFonts w:asciiTheme="minorHAnsi" w:eastAsiaTheme="minorEastAsia" w:hAnsiTheme="minorHAnsi"/>
      <w:iCs/>
      <w:color w:val="001531" w:themeColor="background2" w:themeShade="1A"/>
    </w:rPr>
  </w:style>
  <w:style w:type="paragraph" w:styleId="MessageHeader">
    <w:name w:val="Message Header"/>
    <w:basedOn w:val="Normal"/>
    <w:link w:val="MessageHeaderChar"/>
    <w:uiPriority w:val="99"/>
    <w:unhideWhenUsed/>
    <w:rsid w:val="00A51CDC"/>
    <w:pPr>
      <w:pBdr>
        <w:top w:val="single" w:sz="6" w:space="8" w:color="C5C5C5" w:themeColor="text1" w:themeTint="40"/>
        <w:left w:val="single" w:sz="6" w:space="8" w:color="C5C5C5" w:themeColor="text1" w:themeTint="40"/>
        <w:bottom w:val="single" w:sz="6" w:space="8" w:color="C5C5C5" w:themeColor="text1" w:themeTint="40"/>
        <w:right w:val="single" w:sz="6" w:space="8" w:color="C5C5C5" w:themeColor="text1" w:themeTint="40"/>
      </w:pBdr>
      <w:shd w:val="clear" w:color="auto" w:fill="E6F1FF" w:themeFill="background2"/>
      <w:spacing w:before="480" w:after="480"/>
    </w:pPr>
    <w:rPr>
      <w:rFonts w:asciiTheme="majorHAnsi" w:eastAsiaTheme="majorEastAsia" w:hAnsiTheme="majorHAnsi" w:cstheme="majorBidi"/>
      <w:szCs w:val="24"/>
    </w:rPr>
  </w:style>
  <w:style w:type="paragraph" w:styleId="Footer">
    <w:name w:val="footer"/>
    <w:basedOn w:val="Normal"/>
    <w:link w:val="FooterChar"/>
    <w:uiPriority w:val="99"/>
    <w:unhideWhenUsed/>
    <w:rsid w:val="00D37356"/>
    <w:pPr>
      <w:tabs>
        <w:tab w:val="center" w:pos="4536"/>
        <w:tab w:val="right" w:pos="9072"/>
      </w:tabs>
      <w:spacing w:after="160" w:line="280" w:lineRule="exact"/>
    </w:pPr>
    <w:rPr>
      <w:color w:val="525252" w:themeColor="text1" w:themeTint="BF"/>
      <w:sz w:val="20"/>
    </w:rPr>
  </w:style>
  <w:style w:type="character" w:customStyle="1" w:styleId="FooterChar">
    <w:name w:val="Footer Char"/>
    <w:basedOn w:val="DefaultParagraphFont"/>
    <w:link w:val="Footer"/>
    <w:uiPriority w:val="99"/>
    <w:rsid w:val="000126D6"/>
    <w:rPr>
      <w:rFonts w:ascii="Arial" w:hAnsi="Arial"/>
      <w:color w:val="525252" w:themeColor="text1" w:themeTint="BF"/>
      <w:sz w:val="20"/>
    </w:rPr>
  </w:style>
  <w:style w:type="paragraph" w:styleId="Header">
    <w:name w:val="header"/>
    <w:basedOn w:val="Footer"/>
    <w:link w:val="HeaderChar"/>
    <w:uiPriority w:val="99"/>
    <w:unhideWhenUsed/>
    <w:rsid w:val="003054BF"/>
  </w:style>
  <w:style w:type="character" w:customStyle="1" w:styleId="HeaderChar">
    <w:name w:val="Header Char"/>
    <w:basedOn w:val="DefaultParagraphFont"/>
    <w:link w:val="Header"/>
    <w:uiPriority w:val="99"/>
    <w:rsid w:val="003054BF"/>
    <w:rPr>
      <w:rFonts w:ascii="Arial" w:hAnsi="Arial"/>
      <w:color w:val="525252" w:themeColor="text1" w:themeTint="BF"/>
      <w:sz w:val="20"/>
    </w:rPr>
  </w:style>
  <w:style w:type="paragraph" w:customStyle="1" w:styleId="Header2">
    <w:name w:val="Header 2"/>
    <w:basedOn w:val="Footer"/>
    <w:link w:val="Header2Char"/>
    <w:rsid w:val="00D37356"/>
  </w:style>
  <w:style w:type="character" w:customStyle="1" w:styleId="Header2Char">
    <w:name w:val="Header 2 Char"/>
    <w:basedOn w:val="DefaultParagraphFont"/>
    <w:link w:val="Header2"/>
    <w:rsid w:val="00D37356"/>
    <w:rPr>
      <w:rFonts w:ascii="Arial" w:hAnsi="Arial"/>
      <w:color w:val="525252" w:themeColor="text1" w:themeTint="BF"/>
      <w:sz w:val="20"/>
    </w:rPr>
  </w:style>
  <w:style w:type="paragraph" w:customStyle="1" w:styleId="Footer2">
    <w:name w:val="Footer 2"/>
    <w:basedOn w:val="Footer"/>
    <w:link w:val="Footer2Char"/>
    <w:rsid w:val="003054BF"/>
  </w:style>
  <w:style w:type="character" w:customStyle="1" w:styleId="Footer2Char">
    <w:name w:val="Footer 2 Char"/>
    <w:basedOn w:val="DefaultParagraphFont"/>
    <w:link w:val="Footer2"/>
    <w:rsid w:val="003054BF"/>
    <w:rPr>
      <w:rFonts w:ascii="Arial" w:hAnsi="Arial"/>
      <w:color w:val="525252" w:themeColor="text1" w:themeTint="BF"/>
      <w:sz w:val="20"/>
    </w:rPr>
  </w:style>
  <w:style w:type="paragraph" w:styleId="ListNumber">
    <w:name w:val="List Number"/>
    <w:basedOn w:val="Normal"/>
    <w:uiPriority w:val="99"/>
    <w:unhideWhenUsed/>
    <w:rsid w:val="00F82919"/>
    <w:pPr>
      <w:numPr>
        <w:numId w:val="2"/>
      </w:numPr>
      <w:tabs>
        <w:tab w:val="num" w:pos="320"/>
      </w:tabs>
      <w:spacing w:before="0" w:after="0"/>
      <w:ind w:left="318" w:hanging="318"/>
      <w:contextualSpacing/>
    </w:pPr>
  </w:style>
  <w:style w:type="paragraph" w:styleId="ListNumber2">
    <w:name w:val="List Number 2"/>
    <w:basedOn w:val="Normal"/>
    <w:uiPriority w:val="99"/>
    <w:unhideWhenUsed/>
    <w:rsid w:val="00F82919"/>
    <w:pPr>
      <w:numPr>
        <w:ilvl w:val="1"/>
        <w:numId w:val="2"/>
      </w:numPr>
      <w:tabs>
        <w:tab w:val="num" w:pos="320"/>
      </w:tabs>
      <w:spacing w:before="0" w:after="0"/>
      <w:ind w:left="879" w:hanging="561"/>
      <w:contextualSpacing/>
    </w:pPr>
  </w:style>
  <w:style w:type="paragraph" w:styleId="ListNumber3">
    <w:name w:val="List Number 3"/>
    <w:basedOn w:val="Normal"/>
    <w:uiPriority w:val="99"/>
    <w:unhideWhenUsed/>
    <w:rsid w:val="00F82919"/>
    <w:pPr>
      <w:numPr>
        <w:ilvl w:val="2"/>
        <w:numId w:val="2"/>
      </w:numPr>
      <w:spacing w:before="0" w:after="0"/>
      <w:ind w:left="1446"/>
      <w:contextualSpacing/>
    </w:pPr>
  </w:style>
  <w:style w:type="paragraph" w:styleId="ListBullet">
    <w:name w:val="List Bullet"/>
    <w:basedOn w:val="Normal"/>
    <w:uiPriority w:val="99"/>
    <w:unhideWhenUsed/>
    <w:rsid w:val="005B5DD8"/>
    <w:pPr>
      <w:numPr>
        <w:numId w:val="22"/>
      </w:numPr>
      <w:spacing w:before="0" w:after="0"/>
      <w:ind w:left="357" w:hanging="357"/>
      <w:contextualSpacing/>
    </w:pPr>
    <w:rPr>
      <w:lang w:eastAsia="en-AU"/>
    </w:rPr>
  </w:style>
  <w:style w:type="paragraph" w:styleId="ListBullet2">
    <w:name w:val="List Bullet 2"/>
    <w:basedOn w:val="Normal"/>
    <w:uiPriority w:val="99"/>
    <w:unhideWhenUsed/>
    <w:rsid w:val="005B5DD8"/>
    <w:pPr>
      <w:numPr>
        <w:numId w:val="8"/>
      </w:numPr>
      <w:tabs>
        <w:tab w:val="left" w:pos="160"/>
      </w:tabs>
      <w:spacing w:before="0" w:after="0"/>
      <w:ind w:left="918" w:hanging="357"/>
      <w:contextualSpacing/>
    </w:pPr>
  </w:style>
  <w:style w:type="paragraph" w:styleId="ListBullet3">
    <w:name w:val="List Bullet 3"/>
    <w:basedOn w:val="Normal"/>
    <w:autoRedefine/>
    <w:uiPriority w:val="99"/>
    <w:unhideWhenUsed/>
    <w:rsid w:val="005B5DD8"/>
    <w:pPr>
      <w:numPr>
        <w:numId w:val="10"/>
      </w:numPr>
      <w:tabs>
        <w:tab w:val="num" w:pos="1701"/>
      </w:tabs>
      <w:spacing w:before="0" w:after="0"/>
      <w:ind w:left="1236" w:hanging="357"/>
      <w:contextualSpacing/>
    </w:pPr>
  </w:style>
  <w:style w:type="paragraph" w:styleId="EnvelopeAddress">
    <w:name w:val="envelope address"/>
    <w:basedOn w:val="Normal"/>
    <w:uiPriority w:val="99"/>
    <w:semiHidden/>
    <w:unhideWhenUsed/>
    <w:rsid w:val="00D37356"/>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486E3B"/>
    <w:rPr>
      <w:rFonts w:ascii="Arial" w:eastAsiaTheme="majorEastAsia" w:hAnsi="Arial" w:cstheme="majorBidi"/>
      <w:color w:val="003E69"/>
      <w:sz w:val="60"/>
      <w:szCs w:val="36"/>
    </w:rPr>
  </w:style>
  <w:style w:type="character" w:customStyle="1" w:styleId="Heading3Char">
    <w:name w:val="Heading 3 Char"/>
    <w:basedOn w:val="DefaultParagraphFont"/>
    <w:link w:val="Heading3"/>
    <w:uiPriority w:val="9"/>
    <w:rsid w:val="008F1000"/>
    <w:rPr>
      <w:rFonts w:ascii="Arial" w:eastAsiaTheme="majorEastAsia" w:hAnsi="Arial" w:cstheme="majorBidi"/>
      <w:color w:val="003E69"/>
      <w:sz w:val="36"/>
      <w:szCs w:val="28"/>
    </w:rPr>
  </w:style>
  <w:style w:type="character" w:customStyle="1" w:styleId="Heading4Char">
    <w:name w:val="Heading 4 Char"/>
    <w:basedOn w:val="DefaultParagraphFont"/>
    <w:link w:val="Heading4"/>
    <w:uiPriority w:val="9"/>
    <w:rsid w:val="005B5DD8"/>
    <w:rPr>
      <w:rFonts w:ascii="Arial" w:eastAsiaTheme="majorEastAsia" w:hAnsi="Arial" w:cstheme="majorBidi"/>
      <w:color w:val="063A72" w:themeColor="accent1"/>
      <w:sz w:val="28"/>
      <w:szCs w:val="24"/>
    </w:rPr>
  </w:style>
  <w:style w:type="character" w:styleId="IntenseEmphasis">
    <w:name w:val="Intense Emphasis"/>
    <w:basedOn w:val="DefaultParagraphFont"/>
    <w:uiPriority w:val="21"/>
    <w:qFormat/>
    <w:rsid w:val="00B56ABB"/>
    <w:rPr>
      <w:b/>
      <w:bCs/>
      <w:i/>
      <w:iCs/>
    </w:rPr>
  </w:style>
  <w:style w:type="paragraph" w:styleId="IntenseQuote">
    <w:name w:val="Intense Quote"/>
    <w:basedOn w:val="Normal"/>
    <w:next w:val="Normal"/>
    <w:link w:val="IntenseQuoteChar"/>
    <w:uiPriority w:val="30"/>
    <w:qFormat/>
    <w:rsid w:val="00A51CDC"/>
    <w:pPr>
      <w:spacing w:before="480" w:after="480" w:line="360" w:lineRule="atLeast"/>
      <w:jc w:val="center"/>
    </w:pPr>
    <w:rPr>
      <w:rFonts w:asciiTheme="majorHAnsi" w:eastAsiaTheme="majorEastAsia" w:hAnsiTheme="majorHAnsi" w:cstheme="majorBidi"/>
      <w:b/>
      <w:i/>
      <w:color w:val="03264C" w:themeColor="text2"/>
      <w:spacing w:val="-6"/>
      <w:sz w:val="28"/>
      <w:szCs w:val="32"/>
    </w:rPr>
  </w:style>
  <w:style w:type="character" w:customStyle="1" w:styleId="IntenseQuoteChar">
    <w:name w:val="Intense Quote Char"/>
    <w:basedOn w:val="DefaultParagraphFont"/>
    <w:link w:val="IntenseQuote"/>
    <w:uiPriority w:val="30"/>
    <w:rsid w:val="00A51CDC"/>
    <w:rPr>
      <w:rFonts w:asciiTheme="majorHAnsi" w:eastAsiaTheme="majorEastAsia" w:hAnsiTheme="majorHAnsi" w:cstheme="majorBidi"/>
      <w:b/>
      <w:i/>
      <w:color w:val="03264C" w:themeColor="text2"/>
      <w:spacing w:val="-6"/>
      <w:sz w:val="28"/>
      <w:szCs w:val="32"/>
    </w:rPr>
  </w:style>
  <w:style w:type="paragraph" w:styleId="ListParagraph">
    <w:name w:val="List Paragraph"/>
    <w:basedOn w:val="Normal"/>
    <w:uiPriority w:val="34"/>
    <w:qFormat/>
    <w:rsid w:val="00B56ABB"/>
    <w:pPr>
      <w:ind w:left="720"/>
      <w:contextualSpacing/>
    </w:pPr>
  </w:style>
  <w:style w:type="character" w:customStyle="1" w:styleId="Heading2Char">
    <w:name w:val="Heading 2 Char"/>
    <w:basedOn w:val="DefaultParagraphFont"/>
    <w:link w:val="Heading2"/>
    <w:uiPriority w:val="9"/>
    <w:rsid w:val="003054BF"/>
    <w:rPr>
      <w:rFonts w:ascii="Arial" w:eastAsiaTheme="majorEastAsia" w:hAnsi="Arial" w:cstheme="majorBidi"/>
      <w:color w:val="001531" w:themeColor="background2" w:themeShade="1A"/>
      <w:sz w:val="44"/>
      <w:szCs w:val="32"/>
    </w:rPr>
  </w:style>
  <w:style w:type="character" w:customStyle="1" w:styleId="Heading5Char">
    <w:name w:val="Heading 5 Char"/>
    <w:basedOn w:val="DefaultParagraphFont"/>
    <w:link w:val="Heading5"/>
    <w:uiPriority w:val="9"/>
    <w:rsid w:val="005B5DD8"/>
    <w:rPr>
      <w:rFonts w:asciiTheme="majorHAnsi" w:eastAsiaTheme="majorEastAsia" w:hAnsiTheme="majorHAnsi" w:cstheme="majorBidi"/>
      <w:b/>
      <w:color w:val="03264C" w:themeColor="text2"/>
      <w:sz w:val="24"/>
    </w:rPr>
  </w:style>
  <w:style w:type="character" w:customStyle="1" w:styleId="Heading6Char">
    <w:name w:val="Heading 6 Char"/>
    <w:basedOn w:val="DefaultParagraphFont"/>
    <w:link w:val="Heading6"/>
    <w:uiPriority w:val="9"/>
    <w:rsid w:val="00B56ABB"/>
    <w:rPr>
      <w:rFonts w:asciiTheme="majorHAnsi" w:eastAsiaTheme="majorEastAsia" w:hAnsiTheme="majorHAnsi" w:cstheme="majorBidi"/>
      <w:i/>
      <w:iCs/>
      <w:caps/>
      <w:color w:val="031C39" w:themeColor="accent1" w:themeShade="80"/>
    </w:rPr>
  </w:style>
  <w:style w:type="character" w:customStyle="1" w:styleId="Heading7Char">
    <w:name w:val="Heading 7 Char"/>
    <w:basedOn w:val="DefaultParagraphFont"/>
    <w:link w:val="Heading7"/>
    <w:uiPriority w:val="9"/>
    <w:semiHidden/>
    <w:rsid w:val="00B56ABB"/>
    <w:rPr>
      <w:rFonts w:asciiTheme="majorHAnsi" w:eastAsiaTheme="majorEastAsia" w:hAnsiTheme="majorHAnsi" w:cstheme="majorBidi"/>
      <w:b/>
      <w:bCs/>
      <w:color w:val="031C39" w:themeColor="accent1" w:themeShade="80"/>
    </w:rPr>
  </w:style>
  <w:style w:type="character" w:customStyle="1" w:styleId="Heading8Char">
    <w:name w:val="Heading 8 Char"/>
    <w:basedOn w:val="DefaultParagraphFont"/>
    <w:link w:val="Heading8"/>
    <w:uiPriority w:val="9"/>
    <w:semiHidden/>
    <w:rsid w:val="00B56ABB"/>
    <w:rPr>
      <w:rFonts w:asciiTheme="majorHAnsi" w:eastAsiaTheme="majorEastAsia" w:hAnsiTheme="majorHAnsi" w:cstheme="majorBidi"/>
      <w:b/>
      <w:bCs/>
      <w:i/>
      <w:iCs/>
      <w:color w:val="031C39" w:themeColor="accent1" w:themeShade="80"/>
    </w:rPr>
  </w:style>
  <w:style w:type="character" w:customStyle="1" w:styleId="Heading9Char">
    <w:name w:val="Heading 9 Char"/>
    <w:basedOn w:val="DefaultParagraphFont"/>
    <w:link w:val="Heading9"/>
    <w:uiPriority w:val="9"/>
    <w:semiHidden/>
    <w:rsid w:val="00B56ABB"/>
    <w:rPr>
      <w:rFonts w:asciiTheme="majorHAnsi" w:eastAsiaTheme="majorEastAsia" w:hAnsiTheme="majorHAnsi" w:cstheme="majorBidi"/>
      <w:i/>
      <w:iCs/>
      <w:color w:val="031C39" w:themeColor="accent1" w:themeShade="80"/>
    </w:rPr>
  </w:style>
  <w:style w:type="paragraph" w:styleId="Caption">
    <w:name w:val="caption"/>
    <w:basedOn w:val="Normal"/>
    <w:next w:val="Normal"/>
    <w:uiPriority w:val="35"/>
    <w:unhideWhenUsed/>
    <w:qFormat/>
    <w:rsid w:val="00BC1C7D"/>
    <w:pPr>
      <w:spacing w:before="0" w:line="280" w:lineRule="atLeast"/>
    </w:pPr>
    <w:rPr>
      <w:bCs/>
      <w:color w:val="4D4D4D"/>
      <w:sz w:val="20"/>
    </w:rPr>
  </w:style>
  <w:style w:type="paragraph" w:styleId="Subtitle">
    <w:name w:val="Subtitle"/>
    <w:basedOn w:val="Normal"/>
    <w:next w:val="Normal"/>
    <w:link w:val="SubtitleChar"/>
    <w:uiPriority w:val="8"/>
    <w:qFormat/>
    <w:rsid w:val="00F82919"/>
    <w:pPr>
      <w:numPr>
        <w:ilvl w:val="1"/>
      </w:numPr>
      <w:spacing w:before="0" w:after="480" w:line="520" w:lineRule="atLeast"/>
    </w:pPr>
    <w:rPr>
      <w:rFonts w:eastAsiaTheme="majorEastAsia" w:cstheme="majorBidi"/>
      <w:color w:val="001531" w:themeColor="background2" w:themeShade="1A"/>
      <w:sz w:val="44"/>
      <w:szCs w:val="28"/>
    </w:rPr>
  </w:style>
  <w:style w:type="character" w:customStyle="1" w:styleId="SubtitleChar">
    <w:name w:val="Subtitle Char"/>
    <w:basedOn w:val="DefaultParagraphFont"/>
    <w:link w:val="Subtitle"/>
    <w:uiPriority w:val="8"/>
    <w:rsid w:val="00F82919"/>
    <w:rPr>
      <w:rFonts w:ascii="Arial" w:eastAsiaTheme="majorEastAsia" w:hAnsi="Arial" w:cstheme="majorBidi"/>
      <w:color w:val="001531" w:themeColor="background2" w:themeShade="1A"/>
      <w:sz w:val="44"/>
      <w:szCs w:val="28"/>
    </w:rPr>
  </w:style>
  <w:style w:type="character" w:styleId="Strong">
    <w:name w:val="Strong"/>
    <w:basedOn w:val="DefaultParagraphFont"/>
    <w:uiPriority w:val="22"/>
    <w:qFormat/>
    <w:rsid w:val="00B56ABB"/>
    <w:rPr>
      <w:b/>
      <w:bCs/>
    </w:rPr>
  </w:style>
  <w:style w:type="character" w:styleId="Emphasis">
    <w:name w:val="Emphasis"/>
    <w:basedOn w:val="DefaultParagraphFont"/>
    <w:uiPriority w:val="20"/>
    <w:qFormat/>
    <w:locked/>
    <w:rsid w:val="00B56ABB"/>
    <w:rPr>
      <w:i/>
      <w:iCs/>
    </w:rPr>
  </w:style>
  <w:style w:type="paragraph" w:styleId="Quote">
    <w:name w:val="Quote"/>
    <w:basedOn w:val="Normal"/>
    <w:next w:val="Normal"/>
    <w:link w:val="QuoteChar"/>
    <w:uiPriority w:val="29"/>
    <w:qFormat/>
    <w:rsid w:val="00C6493C"/>
    <w:pPr>
      <w:spacing w:before="480" w:after="480"/>
      <w:jc w:val="center"/>
    </w:pPr>
    <w:rPr>
      <w:i/>
      <w:color w:val="03264C" w:themeColor="text2"/>
      <w:szCs w:val="24"/>
    </w:rPr>
  </w:style>
  <w:style w:type="character" w:customStyle="1" w:styleId="QuoteChar">
    <w:name w:val="Quote Char"/>
    <w:basedOn w:val="DefaultParagraphFont"/>
    <w:link w:val="Quote"/>
    <w:uiPriority w:val="29"/>
    <w:rsid w:val="00C6493C"/>
    <w:rPr>
      <w:rFonts w:ascii="Arial" w:hAnsi="Arial"/>
      <w:i/>
      <w:color w:val="03264C" w:themeColor="text2"/>
      <w:sz w:val="24"/>
      <w:szCs w:val="24"/>
    </w:rPr>
  </w:style>
  <w:style w:type="character" w:styleId="SubtleEmphasis">
    <w:name w:val="Subtle Emphasis"/>
    <w:basedOn w:val="DefaultParagraphFont"/>
    <w:uiPriority w:val="19"/>
    <w:qFormat/>
    <w:rsid w:val="00F872AD"/>
    <w:rPr>
      <w:i/>
      <w:iCs/>
      <w:color w:val="525252" w:themeColor="text1" w:themeTint="BF"/>
    </w:rPr>
  </w:style>
  <w:style w:type="character" w:styleId="SubtleReference">
    <w:name w:val="Subtle Reference"/>
    <w:basedOn w:val="DefaultParagraphFont"/>
    <w:uiPriority w:val="31"/>
    <w:qFormat/>
    <w:rsid w:val="00F872AD"/>
    <w:rPr>
      <w:caps w:val="0"/>
      <w:smallCaps w:val="0"/>
      <w:color w:val="525252" w:themeColor="text1" w:themeTint="BF"/>
      <w:u w:val="none" w:color="8B8B8B" w:themeColor="text1" w:themeTint="80"/>
      <w:bdr w:val="none" w:sz="0" w:space="0" w:color="auto"/>
    </w:rPr>
  </w:style>
  <w:style w:type="character" w:styleId="IntenseReference">
    <w:name w:val="Intense Reference"/>
    <w:basedOn w:val="DefaultParagraphFont"/>
    <w:uiPriority w:val="32"/>
    <w:qFormat/>
    <w:rsid w:val="00F872AD"/>
    <w:rPr>
      <w:b/>
      <w:bCs/>
      <w:i/>
      <w:caps w:val="0"/>
      <w:smallCaps w:val="0"/>
      <w:color w:val="03264C" w:themeColor="text2"/>
      <w:u w:val="none"/>
    </w:rPr>
  </w:style>
  <w:style w:type="character" w:customStyle="1" w:styleId="MessageHeaderChar">
    <w:name w:val="Message Header Char"/>
    <w:basedOn w:val="DefaultParagraphFont"/>
    <w:link w:val="MessageHeader"/>
    <w:uiPriority w:val="99"/>
    <w:rsid w:val="00A51CDC"/>
    <w:rPr>
      <w:rFonts w:asciiTheme="majorHAnsi" w:eastAsiaTheme="majorEastAsia" w:hAnsiTheme="majorHAnsi" w:cstheme="majorBidi"/>
      <w:color w:val="2F2F2F" w:themeColor="text1" w:themeTint="E6"/>
      <w:sz w:val="24"/>
      <w:szCs w:val="24"/>
      <w:shd w:val="clear" w:color="auto" w:fill="E6F1FF" w:themeFill="background2"/>
    </w:rPr>
  </w:style>
  <w:style w:type="paragraph" w:styleId="TOCHeading">
    <w:name w:val="TOC Heading"/>
    <w:basedOn w:val="Heading1"/>
    <w:next w:val="Normal"/>
    <w:uiPriority w:val="39"/>
    <w:unhideWhenUsed/>
    <w:qFormat/>
    <w:rsid w:val="008A7368"/>
    <w:pPr>
      <w:spacing w:line="520" w:lineRule="atLeast"/>
      <w:outlineLvl w:val="9"/>
    </w:pPr>
    <w:rPr>
      <w:color w:val="03264C" w:themeColor="text2"/>
      <w:sz w:val="44"/>
    </w:rPr>
  </w:style>
  <w:style w:type="table" w:styleId="TableGrid">
    <w:name w:val="Table Grid"/>
    <w:basedOn w:val="TableNormal"/>
    <w:locked/>
    <w:rsid w:val="00353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Default">
    <w:name w:val="TMR – Default"/>
    <w:basedOn w:val="TableNormal"/>
    <w:uiPriority w:val="99"/>
    <w:rsid w:val="008F1000"/>
    <w:pPr>
      <w:spacing w:after="0" w:line="240" w:lineRule="atLeast"/>
    </w:pPr>
    <w:rPr>
      <w:rFonts w:ascii="Arial" w:hAnsi="Arial"/>
      <w:color w:val="011225" w:themeColor="text2" w:themeShade="80"/>
      <w:sz w:val="20"/>
    </w:rPr>
    <w:tblPr>
      <w:tblStyleRowBandSize w:val="1"/>
      <w:tblBorders>
        <w:insideH w:val="dotted" w:sz="4" w:space="0" w:color="063A72" w:themeColor="accent1"/>
        <w:insideV w:val="dotted" w:sz="4" w:space="0" w:color="063A72" w:themeColor="accent1"/>
      </w:tblBorders>
      <w:tblCellMar>
        <w:top w:w="45" w:type="dxa"/>
        <w:left w:w="45" w:type="dxa"/>
        <w:bottom w:w="45" w:type="dxa"/>
        <w:right w:w="45" w:type="dxa"/>
      </w:tblCellMar>
    </w:tblPr>
    <w:tcPr>
      <w:shd w:val="clear" w:color="auto" w:fill="FFFFFF" w:themeFill="background1"/>
      <w:vAlign w:val="bottom"/>
    </w:tcPr>
    <w:tblStylePr w:type="firstRow">
      <w:rPr>
        <w:rFonts w:asciiTheme="minorHAnsi" w:hAnsiTheme="minorHAnsi"/>
        <w:b/>
        <w:color w:val="E6F1FF" w:themeColor="background2"/>
        <w:sz w:val="20"/>
      </w:rPr>
      <w:tblPr/>
      <w:tcPr>
        <w:tcBorders>
          <w:top w:val="nil"/>
          <w:left w:val="nil"/>
          <w:bottom w:val="single" w:sz="8" w:space="0" w:color="005EB8" w:themeColor="accent2"/>
          <w:right w:val="nil"/>
          <w:insideH w:val="nil"/>
          <w:insideV w:val="nil"/>
          <w:tl2br w:val="nil"/>
          <w:tr2bl w:val="nil"/>
        </w:tcBorders>
        <w:shd w:val="clear" w:color="auto" w:fill="FFFFFF" w:themeFill="background1"/>
      </w:tcPr>
    </w:tblStylePr>
    <w:tblStylePr w:type="lastRow">
      <w:rPr>
        <w:rFonts w:ascii="Arial" w:hAnsi="Arial"/>
        <w:b/>
        <w:sz w:val="20"/>
      </w:rPr>
      <w:tblPr/>
      <w:tcPr>
        <w:tcBorders>
          <w:top w:val="thinThickSmallGap" w:sz="12" w:space="0" w:color="525252" w:themeColor="text1" w:themeTint="BF"/>
        </w:tcBorders>
        <w:shd w:val="clear" w:color="auto" w:fill="FFFFFF" w:themeFill="background1"/>
      </w:tcPr>
    </w:tblStylePr>
    <w:tblStylePr w:type="band1Horz">
      <w:tblPr/>
      <w:tcPr>
        <w:shd w:val="clear" w:color="auto" w:fill="ECF6FD"/>
      </w:tcPr>
    </w:tblStylePr>
  </w:style>
  <w:style w:type="paragraph" w:styleId="Title">
    <w:name w:val="Title"/>
    <w:basedOn w:val="Heading1"/>
    <w:next w:val="Normal"/>
    <w:link w:val="TitleChar"/>
    <w:uiPriority w:val="9"/>
    <w:qFormat/>
    <w:locked/>
    <w:rsid w:val="004B1945"/>
    <w:pPr>
      <w:spacing w:before="0" w:line="240" w:lineRule="auto"/>
      <w:contextualSpacing/>
    </w:pPr>
    <w:rPr>
      <w:rFonts w:asciiTheme="majorHAnsi" w:hAnsiTheme="majorHAnsi"/>
      <w:b/>
      <w:color w:val="063A72" w:themeColor="accent1"/>
      <w:spacing w:val="-10"/>
      <w:kern w:val="28"/>
      <w:sz w:val="72"/>
      <w:szCs w:val="56"/>
    </w:rPr>
  </w:style>
  <w:style w:type="character" w:customStyle="1" w:styleId="TitleChar">
    <w:name w:val="Title Char"/>
    <w:basedOn w:val="DefaultParagraphFont"/>
    <w:link w:val="Title"/>
    <w:uiPriority w:val="9"/>
    <w:rsid w:val="004B1945"/>
    <w:rPr>
      <w:rFonts w:asciiTheme="majorHAnsi" w:eastAsiaTheme="majorEastAsia" w:hAnsiTheme="majorHAnsi" w:cstheme="majorBidi"/>
      <w:b/>
      <w:color w:val="063A72" w:themeColor="accent1"/>
      <w:spacing w:val="-10"/>
      <w:kern w:val="28"/>
      <w:sz w:val="72"/>
      <w:szCs w:val="56"/>
    </w:rPr>
  </w:style>
  <w:style w:type="paragraph" w:styleId="HTMLPreformatted">
    <w:name w:val="HTML Preformatted"/>
    <w:basedOn w:val="Normal"/>
    <w:link w:val="HTMLPreformattedChar"/>
    <w:uiPriority w:val="99"/>
    <w:unhideWhenUsed/>
    <w:rsid w:val="0018783A"/>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18783A"/>
    <w:rPr>
      <w:rFonts w:ascii="Consolas" w:hAnsi="Consolas"/>
      <w:color w:val="2F2F2F" w:themeColor="text1" w:themeTint="E6"/>
      <w:sz w:val="20"/>
      <w:szCs w:val="20"/>
    </w:rPr>
  </w:style>
  <w:style w:type="paragraph" w:styleId="TOC1">
    <w:name w:val="toc 1"/>
    <w:basedOn w:val="Normal"/>
    <w:next w:val="Normal"/>
    <w:autoRedefine/>
    <w:uiPriority w:val="39"/>
    <w:unhideWhenUsed/>
    <w:rsid w:val="008A7368"/>
    <w:pPr>
      <w:tabs>
        <w:tab w:val="right" w:leader="dot" w:pos="9060"/>
      </w:tabs>
      <w:spacing w:before="120" w:after="0"/>
    </w:pPr>
    <w:rPr>
      <w:b/>
    </w:rPr>
  </w:style>
  <w:style w:type="paragraph" w:customStyle="1" w:styleId="FigureCaption">
    <w:name w:val="Figure Caption"/>
    <w:basedOn w:val="Caption"/>
    <w:next w:val="Normal"/>
    <w:qFormat/>
    <w:rsid w:val="00BC1C7D"/>
    <w:pPr>
      <w:keepNext/>
      <w:spacing w:before="160" w:after="160"/>
    </w:pPr>
    <w:rPr>
      <w:b/>
      <w:color w:val="525252" w:themeColor="text1" w:themeTint="BF"/>
    </w:rPr>
  </w:style>
  <w:style w:type="character" w:styleId="PlaceholderText">
    <w:name w:val="Placeholder Text"/>
    <w:basedOn w:val="DefaultParagraphFont"/>
    <w:uiPriority w:val="99"/>
    <w:semiHidden/>
    <w:rsid w:val="0042018F"/>
    <w:rPr>
      <w:color w:val="808080"/>
    </w:rPr>
  </w:style>
  <w:style w:type="paragraph" w:styleId="NormalWeb">
    <w:name w:val="Normal (Web)"/>
    <w:basedOn w:val="Normal"/>
    <w:uiPriority w:val="99"/>
    <w:semiHidden/>
    <w:unhideWhenUsed/>
    <w:rsid w:val="00C85784"/>
    <w:pPr>
      <w:spacing w:before="100" w:beforeAutospacing="1" w:after="100" w:afterAutospacing="1" w:line="240" w:lineRule="auto"/>
    </w:pPr>
    <w:rPr>
      <w:rFonts w:ascii="Times New Roman" w:eastAsia="Times New Roman" w:hAnsi="Times New Roman" w:cs="Times New Roman"/>
      <w:szCs w:val="24"/>
      <w:lang w:eastAsia="en-AU"/>
    </w:rPr>
  </w:style>
  <w:style w:type="paragraph" w:styleId="List3">
    <w:name w:val="List 3"/>
    <w:basedOn w:val="Normal"/>
    <w:uiPriority w:val="99"/>
    <w:unhideWhenUsed/>
    <w:rsid w:val="00CB03AE"/>
    <w:pPr>
      <w:ind w:left="1480"/>
      <w:contextualSpacing/>
    </w:pPr>
  </w:style>
  <w:style w:type="paragraph" w:styleId="List2">
    <w:name w:val="List 2"/>
    <w:basedOn w:val="Normal"/>
    <w:uiPriority w:val="99"/>
    <w:unhideWhenUsed/>
    <w:rsid w:val="00CB03AE"/>
    <w:pPr>
      <w:ind w:left="879"/>
      <w:contextualSpacing/>
    </w:pPr>
  </w:style>
  <w:style w:type="character" w:styleId="Hyperlink">
    <w:name w:val="Hyperlink"/>
    <w:basedOn w:val="DefaultParagraphFont"/>
    <w:uiPriority w:val="99"/>
    <w:unhideWhenUsed/>
    <w:rsid w:val="00F353AC"/>
    <w:rPr>
      <w:color w:val="0000FF"/>
      <w:u w:val="single"/>
    </w:rPr>
  </w:style>
  <w:style w:type="character" w:customStyle="1" w:styleId="qg-blank-notice">
    <w:name w:val="qg-blank-notice"/>
    <w:basedOn w:val="DefaultParagraphFont"/>
    <w:rsid w:val="00F353AC"/>
  </w:style>
  <w:style w:type="table" w:styleId="ListTable3-Accent1">
    <w:name w:val="List Table 3 Accent 1"/>
    <w:basedOn w:val="TableNormal"/>
    <w:uiPriority w:val="48"/>
    <w:locked/>
    <w:rsid w:val="00DC7CAF"/>
    <w:pPr>
      <w:spacing w:after="0" w:line="240" w:lineRule="auto"/>
    </w:pPr>
    <w:tblPr>
      <w:tblStyleRowBandSize w:val="1"/>
      <w:tblStyleColBandSize w:val="1"/>
      <w:tblBorders>
        <w:top w:val="single" w:sz="4" w:space="0" w:color="063A72" w:themeColor="accent1"/>
        <w:left w:val="single" w:sz="4" w:space="0" w:color="063A72" w:themeColor="accent1"/>
        <w:bottom w:val="single" w:sz="4" w:space="0" w:color="063A72" w:themeColor="accent1"/>
        <w:right w:val="single" w:sz="4" w:space="0" w:color="063A72" w:themeColor="accent1"/>
      </w:tblBorders>
    </w:tblPr>
    <w:tblStylePr w:type="firstRow">
      <w:rPr>
        <w:b/>
        <w:bCs/>
        <w:color w:val="FFFFFF" w:themeColor="background1"/>
      </w:rPr>
      <w:tblPr/>
      <w:tcPr>
        <w:shd w:val="clear" w:color="auto" w:fill="063A72" w:themeFill="accent1"/>
      </w:tcPr>
    </w:tblStylePr>
    <w:tblStylePr w:type="lastRow">
      <w:rPr>
        <w:b/>
        <w:bCs/>
      </w:rPr>
      <w:tblPr/>
      <w:tcPr>
        <w:tcBorders>
          <w:top w:val="double" w:sz="4" w:space="0" w:color="063A7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63A72" w:themeColor="accent1"/>
          <w:right w:val="single" w:sz="4" w:space="0" w:color="063A72" w:themeColor="accent1"/>
        </w:tcBorders>
      </w:tcPr>
    </w:tblStylePr>
    <w:tblStylePr w:type="band1Horz">
      <w:tblPr/>
      <w:tcPr>
        <w:tcBorders>
          <w:top w:val="single" w:sz="4" w:space="0" w:color="063A72" w:themeColor="accent1"/>
          <w:bottom w:val="single" w:sz="4" w:space="0" w:color="063A7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63A72" w:themeColor="accent1"/>
          <w:left w:val="nil"/>
        </w:tcBorders>
      </w:tcPr>
    </w:tblStylePr>
    <w:tblStylePr w:type="swCell">
      <w:tblPr/>
      <w:tcPr>
        <w:tcBorders>
          <w:top w:val="double" w:sz="4" w:space="0" w:color="063A72" w:themeColor="accent1"/>
          <w:right w:val="nil"/>
        </w:tcBorders>
      </w:tcPr>
    </w:tblStylePr>
  </w:style>
  <w:style w:type="paragraph" w:styleId="TOC2">
    <w:name w:val="toc 2"/>
    <w:basedOn w:val="Normal"/>
    <w:next w:val="Normal"/>
    <w:autoRedefine/>
    <w:uiPriority w:val="39"/>
    <w:unhideWhenUsed/>
    <w:rsid w:val="008A7368"/>
    <w:pPr>
      <w:spacing w:before="60" w:after="0"/>
      <w:ind w:left="238"/>
    </w:pPr>
  </w:style>
  <w:style w:type="paragraph" w:styleId="TOC3">
    <w:name w:val="toc 3"/>
    <w:basedOn w:val="Normal"/>
    <w:next w:val="Normal"/>
    <w:autoRedefine/>
    <w:uiPriority w:val="39"/>
    <w:unhideWhenUsed/>
    <w:rsid w:val="008A7368"/>
    <w:pPr>
      <w:spacing w:before="60" w:after="0"/>
      <w:ind w:left="482"/>
    </w:pPr>
    <w:rPr>
      <w:i/>
    </w:rPr>
  </w:style>
  <w:style w:type="paragraph" w:styleId="TOC4">
    <w:name w:val="toc 4"/>
    <w:basedOn w:val="Normal"/>
    <w:next w:val="Normal"/>
    <w:autoRedefine/>
    <w:uiPriority w:val="39"/>
    <w:semiHidden/>
    <w:unhideWhenUsed/>
    <w:rsid w:val="00747BA3"/>
    <w:pPr>
      <w:spacing w:before="80"/>
      <w:ind w:left="720"/>
    </w:pPr>
  </w:style>
  <w:style w:type="paragraph" w:styleId="TOC5">
    <w:name w:val="toc 5"/>
    <w:basedOn w:val="Normal"/>
    <w:next w:val="Normal"/>
    <w:autoRedefine/>
    <w:uiPriority w:val="39"/>
    <w:semiHidden/>
    <w:unhideWhenUsed/>
    <w:rsid w:val="00747BA3"/>
    <w:pPr>
      <w:spacing w:before="80"/>
      <w:ind w:left="958"/>
    </w:pPr>
  </w:style>
  <w:style w:type="paragraph" w:styleId="Bibliography">
    <w:name w:val="Bibliography"/>
    <w:basedOn w:val="Normal"/>
    <w:next w:val="Normal"/>
    <w:uiPriority w:val="37"/>
    <w:unhideWhenUsed/>
    <w:rsid w:val="00C371CC"/>
  </w:style>
  <w:style w:type="paragraph" w:styleId="ListContinue5">
    <w:name w:val="List Continue 5"/>
    <w:basedOn w:val="Normal"/>
    <w:uiPriority w:val="99"/>
    <w:unhideWhenUsed/>
    <w:rsid w:val="00DF29E6"/>
    <w:pPr>
      <w:spacing w:after="120"/>
      <w:ind w:left="1415"/>
      <w:contextualSpacing/>
    </w:pPr>
  </w:style>
  <w:style w:type="paragraph" w:styleId="List">
    <w:name w:val="List"/>
    <w:basedOn w:val="Normal"/>
    <w:uiPriority w:val="99"/>
    <w:unhideWhenUsed/>
    <w:rsid w:val="00CB03AE"/>
    <w:pPr>
      <w:ind w:left="318"/>
      <w:contextualSpacing/>
    </w:pPr>
  </w:style>
  <w:style w:type="paragraph" w:styleId="List4">
    <w:name w:val="List 4"/>
    <w:basedOn w:val="Normal"/>
    <w:uiPriority w:val="99"/>
    <w:unhideWhenUsed/>
    <w:rsid w:val="001E3F0A"/>
    <w:pPr>
      <w:ind w:left="1132" w:hanging="283"/>
      <w:contextualSpacing/>
    </w:pPr>
  </w:style>
  <w:style w:type="paragraph" w:styleId="List5">
    <w:name w:val="List 5"/>
    <w:basedOn w:val="Normal"/>
    <w:uiPriority w:val="99"/>
    <w:unhideWhenUsed/>
    <w:rsid w:val="001E3F0A"/>
    <w:pPr>
      <w:ind w:left="1415" w:hanging="283"/>
      <w:contextualSpacing/>
    </w:pPr>
  </w:style>
  <w:style w:type="paragraph" w:styleId="TOC6">
    <w:name w:val="toc 6"/>
    <w:basedOn w:val="Normal"/>
    <w:next w:val="Normal"/>
    <w:autoRedefine/>
    <w:uiPriority w:val="39"/>
    <w:semiHidden/>
    <w:unhideWhenUsed/>
    <w:rsid w:val="00747BA3"/>
    <w:pPr>
      <w:spacing w:before="80"/>
      <w:ind w:left="1202"/>
    </w:pPr>
  </w:style>
  <w:style w:type="paragraph" w:styleId="TOC7">
    <w:name w:val="toc 7"/>
    <w:basedOn w:val="Normal"/>
    <w:next w:val="Normal"/>
    <w:autoRedefine/>
    <w:uiPriority w:val="39"/>
    <w:semiHidden/>
    <w:unhideWhenUsed/>
    <w:rsid w:val="00747BA3"/>
    <w:pPr>
      <w:spacing w:before="80"/>
      <w:ind w:left="1440"/>
    </w:pPr>
  </w:style>
  <w:style w:type="paragraph" w:styleId="TOC8">
    <w:name w:val="toc 8"/>
    <w:basedOn w:val="Normal"/>
    <w:next w:val="Normal"/>
    <w:autoRedefine/>
    <w:uiPriority w:val="39"/>
    <w:semiHidden/>
    <w:unhideWhenUsed/>
    <w:rsid w:val="00747BA3"/>
    <w:pPr>
      <w:spacing w:before="80"/>
      <w:ind w:left="1678"/>
    </w:pPr>
  </w:style>
  <w:style w:type="paragraph" w:styleId="TOC9">
    <w:name w:val="toc 9"/>
    <w:basedOn w:val="Normal"/>
    <w:next w:val="Normal"/>
    <w:autoRedefine/>
    <w:uiPriority w:val="39"/>
    <w:semiHidden/>
    <w:unhideWhenUsed/>
    <w:rsid w:val="00747BA3"/>
    <w:pPr>
      <w:spacing w:before="80"/>
      <w:ind w:left="1922"/>
    </w:pPr>
  </w:style>
  <w:style w:type="paragraph" w:styleId="TableofFigures">
    <w:name w:val="table of figures"/>
    <w:basedOn w:val="Normal"/>
    <w:next w:val="Normal"/>
    <w:uiPriority w:val="99"/>
    <w:unhideWhenUsed/>
    <w:rsid w:val="00737DCA"/>
  </w:style>
  <w:style w:type="paragraph" w:styleId="TableofAuthorities">
    <w:name w:val="table of authorities"/>
    <w:basedOn w:val="Normal"/>
    <w:next w:val="Normal"/>
    <w:uiPriority w:val="99"/>
    <w:unhideWhenUsed/>
    <w:rsid w:val="00737DCA"/>
    <w:pPr>
      <w:ind w:left="240" w:hanging="240"/>
    </w:pPr>
  </w:style>
  <w:style w:type="paragraph" w:styleId="NoSpacing">
    <w:name w:val="No Spacing"/>
    <w:uiPriority w:val="1"/>
    <w:qFormat/>
    <w:locked/>
    <w:rsid w:val="000852B6"/>
    <w:pPr>
      <w:spacing w:after="0" w:line="240" w:lineRule="auto"/>
    </w:pPr>
    <w:rPr>
      <w:rFonts w:ascii="Arial" w:hAnsi="Arial"/>
      <w:color w:val="2F2F2F" w:themeColor="text1" w:themeTint="E6"/>
      <w:sz w:val="20"/>
    </w:rPr>
  </w:style>
  <w:style w:type="table" w:styleId="TableGridLight">
    <w:name w:val="Grid Table Light"/>
    <w:basedOn w:val="TableNormal"/>
    <w:uiPriority w:val="40"/>
    <w:locked/>
    <w:rsid w:val="00E403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locked/>
    <w:rsid w:val="00E40381"/>
    <w:pPr>
      <w:spacing w:after="0" w:line="240" w:lineRule="auto"/>
    </w:pPr>
    <w:tblPr>
      <w:tblStyleRowBandSize w:val="1"/>
      <w:tblStyleColBandSize w:val="1"/>
    </w:tblPr>
    <w:tblStylePr w:type="firstRow">
      <w:rPr>
        <w:b/>
        <w:bCs/>
        <w:caps/>
      </w:rPr>
      <w:tblPr/>
      <w:tcPr>
        <w:tcBorders>
          <w:bottom w:val="single" w:sz="4" w:space="0" w:color="8B8B8B"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B8B8B"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E4038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E40381"/>
    <w:pPr>
      <w:spacing w:after="0" w:line="240" w:lineRule="auto"/>
    </w:pPr>
    <w:tblPr>
      <w:tblStyleRowBandSize w:val="1"/>
      <w:tblStyleColBandSize w:val="1"/>
      <w:tblBorders>
        <w:top w:val="single" w:sz="4" w:space="0" w:color="6AADF7" w:themeColor="accent1" w:themeTint="66"/>
        <w:left w:val="single" w:sz="4" w:space="0" w:color="6AADF7" w:themeColor="accent1" w:themeTint="66"/>
        <w:bottom w:val="single" w:sz="4" w:space="0" w:color="6AADF7" w:themeColor="accent1" w:themeTint="66"/>
        <w:right w:val="single" w:sz="4" w:space="0" w:color="6AADF7" w:themeColor="accent1" w:themeTint="66"/>
        <w:insideH w:val="single" w:sz="4" w:space="0" w:color="6AADF7" w:themeColor="accent1" w:themeTint="66"/>
        <w:insideV w:val="single" w:sz="4" w:space="0" w:color="6AADF7" w:themeColor="accent1" w:themeTint="66"/>
      </w:tblBorders>
    </w:tblPr>
    <w:tblStylePr w:type="firstRow">
      <w:rPr>
        <w:b/>
        <w:bCs/>
      </w:rPr>
      <w:tblPr/>
      <w:tcPr>
        <w:tcBorders>
          <w:bottom w:val="single" w:sz="12" w:space="0" w:color="2085F3" w:themeColor="accent1" w:themeTint="99"/>
        </w:tcBorders>
      </w:tcPr>
    </w:tblStylePr>
    <w:tblStylePr w:type="lastRow">
      <w:rPr>
        <w:b/>
        <w:bCs/>
      </w:rPr>
      <w:tblPr/>
      <w:tcPr>
        <w:tcBorders>
          <w:top w:val="double" w:sz="2" w:space="0" w:color="2085F3" w:themeColor="accent1" w:themeTint="99"/>
        </w:tcBorders>
      </w:tcPr>
    </w:tblStylePr>
    <w:tblStylePr w:type="firstCol">
      <w:rPr>
        <w:b/>
        <w:bCs/>
      </w:rPr>
    </w:tblStylePr>
    <w:tblStylePr w:type="lastCol">
      <w:rPr>
        <w:b/>
        <w:bCs/>
      </w:rPr>
    </w:tblStylePr>
  </w:style>
  <w:style w:type="table" w:customStyle="1" w:styleId="NavyTable">
    <w:name w:val="Navy Table"/>
    <w:basedOn w:val="TableNormal"/>
    <w:uiPriority w:val="99"/>
    <w:rsid w:val="00582EBC"/>
    <w:pPr>
      <w:spacing w:after="0" w:line="240" w:lineRule="auto"/>
    </w:pPr>
    <w:tblPr>
      <w:tblStyleRowBandSize w:val="1"/>
      <w:tblStyleColBandSize w:val="1"/>
      <w:tblInd w:w="108" w:type="dxa"/>
      <w:tblBorders>
        <w:bottom w:val="single" w:sz="4" w:space="0" w:color="003E69"/>
        <w:insideH w:val="single" w:sz="4" w:space="0" w:color="003E69"/>
        <w:insideV w:val="single" w:sz="4" w:space="0" w:color="FFFFFF"/>
      </w:tblBorders>
    </w:tblPr>
    <w:trPr>
      <w:cantSplit/>
    </w:trPr>
    <w:tcPr>
      <w:shd w:val="clear" w:color="auto" w:fill="auto"/>
    </w:tcPr>
    <w:tblStylePr w:type="firstRow">
      <w:tblPr/>
      <w:tcPr>
        <w:tcBorders>
          <w:insideV w:val="single" w:sz="4" w:space="0" w:color="FFFFFF"/>
        </w:tcBorders>
        <w:shd w:val="clear" w:color="auto" w:fill="003E69"/>
      </w:tcPr>
    </w:tblStylePr>
    <w:tblStylePr w:type="lastRow">
      <w:rPr>
        <w:b w:val="0"/>
      </w:rPr>
      <w:tblPr/>
      <w:tcPr>
        <w:shd w:val="clear" w:color="auto" w:fill="99B1C3"/>
      </w:tcPr>
    </w:tblStylePr>
    <w:tblStylePr w:type="firstCol">
      <w:tblPr/>
      <w:tcPr>
        <w:tcBorders>
          <w:insideH w:val="nil"/>
        </w:tcBorders>
        <w:shd w:val="clear" w:color="auto" w:fill="003E69"/>
      </w:tcPr>
    </w:tblStylePr>
    <w:tblStylePr w:type="band2Vert">
      <w:tblPr/>
      <w:tcPr>
        <w:shd w:val="clear" w:color="auto" w:fill="CCD8E1"/>
      </w:tcPr>
    </w:tblStylePr>
    <w:tblStylePr w:type="band2Horz">
      <w:tblPr/>
      <w:tcPr>
        <w:shd w:val="clear" w:color="auto" w:fill="CCD8E1"/>
      </w:tcPr>
    </w:tblStylePr>
  </w:style>
  <w:style w:type="paragraph" w:styleId="BodyText">
    <w:name w:val="Body Text"/>
    <w:basedOn w:val="Normal"/>
    <w:link w:val="BodyTextChar"/>
    <w:unhideWhenUsed/>
    <w:qFormat/>
    <w:rsid w:val="00785CA8"/>
    <w:pPr>
      <w:suppressAutoHyphens w:val="0"/>
      <w:spacing w:before="0" w:after="120" w:line="300" w:lineRule="atLeast"/>
    </w:pPr>
    <w:rPr>
      <w:rFonts w:cs="Arial"/>
      <w:color w:val="auto"/>
    </w:rPr>
  </w:style>
  <w:style w:type="character" w:customStyle="1" w:styleId="BodyTextChar">
    <w:name w:val="Body Text Char"/>
    <w:basedOn w:val="DefaultParagraphFont"/>
    <w:link w:val="BodyText"/>
    <w:rsid w:val="00785CA8"/>
    <w:rPr>
      <w:rFonts w:ascii="Arial" w:hAnsi="Arial" w:cs="Arial"/>
      <w:sz w:val="24"/>
    </w:rPr>
  </w:style>
  <w:style w:type="character" w:styleId="CommentReference">
    <w:name w:val="annotation reference"/>
    <w:basedOn w:val="DefaultParagraphFont"/>
    <w:uiPriority w:val="99"/>
    <w:semiHidden/>
    <w:unhideWhenUsed/>
    <w:rsid w:val="00AC61DE"/>
    <w:rPr>
      <w:sz w:val="16"/>
      <w:szCs w:val="16"/>
    </w:rPr>
  </w:style>
  <w:style w:type="paragraph" w:styleId="CommentText">
    <w:name w:val="annotation text"/>
    <w:basedOn w:val="Normal"/>
    <w:link w:val="CommentTextChar"/>
    <w:uiPriority w:val="99"/>
    <w:unhideWhenUsed/>
    <w:rsid w:val="00AC61DE"/>
    <w:pPr>
      <w:spacing w:line="240" w:lineRule="auto"/>
    </w:pPr>
    <w:rPr>
      <w:sz w:val="20"/>
      <w:szCs w:val="20"/>
    </w:rPr>
  </w:style>
  <w:style w:type="character" w:customStyle="1" w:styleId="CommentTextChar">
    <w:name w:val="Comment Text Char"/>
    <w:basedOn w:val="DefaultParagraphFont"/>
    <w:link w:val="CommentText"/>
    <w:uiPriority w:val="99"/>
    <w:rsid w:val="00AC61DE"/>
    <w:rPr>
      <w:rFonts w:ascii="Arial" w:hAnsi="Arial"/>
      <w:color w:val="2F2F2F" w:themeColor="text1" w:themeTint="E6"/>
      <w:sz w:val="20"/>
      <w:szCs w:val="20"/>
    </w:rPr>
  </w:style>
  <w:style w:type="paragraph" w:styleId="CommentSubject">
    <w:name w:val="annotation subject"/>
    <w:basedOn w:val="CommentText"/>
    <w:next w:val="CommentText"/>
    <w:link w:val="CommentSubjectChar"/>
    <w:uiPriority w:val="99"/>
    <w:semiHidden/>
    <w:unhideWhenUsed/>
    <w:rsid w:val="00AC61DE"/>
    <w:rPr>
      <w:b/>
      <w:bCs/>
    </w:rPr>
  </w:style>
  <w:style w:type="character" w:customStyle="1" w:styleId="CommentSubjectChar">
    <w:name w:val="Comment Subject Char"/>
    <w:basedOn w:val="CommentTextChar"/>
    <w:link w:val="CommentSubject"/>
    <w:uiPriority w:val="99"/>
    <w:semiHidden/>
    <w:rsid w:val="00AC61DE"/>
    <w:rPr>
      <w:rFonts w:ascii="Arial" w:hAnsi="Arial"/>
      <w:b/>
      <w:bCs/>
      <w:color w:val="2F2F2F" w:themeColor="text1" w:themeTint="E6"/>
      <w:sz w:val="20"/>
      <w:szCs w:val="20"/>
    </w:rPr>
  </w:style>
  <w:style w:type="character" w:styleId="UnresolvedMention">
    <w:name w:val="Unresolved Mention"/>
    <w:basedOn w:val="DefaultParagraphFont"/>
    <w:uiPriority w:val="99"/>
    <w:semiHidden/>
    <w:unhideWhenUsed/>
    <w:rsid w:val="00AC61DE"/>
    <w:rPr>
      <w:color w:val="605E5C"/>
      <w:shd w:val="clear" w:color="auto" w:fill="E1DFDD"/>
    </w:rPr>
  </w:style>
  <w:style w:type="paragraph" w:styleId="Revision">
    <w:name w:val="Revision"/>
    <w:hidden/>
    <w:uiPriority w:val="99"/>
    <w:semiHidden/>
    <w:rsid w:val="00A1097A"/>
    <w:pPr>
      <w:spacing w:after="0" w:line="240" w:lineRule="auto"/>
    </w:pPr>
    <w:rPr>
      <w:rFonts w:ascii="Arial" w:hAnsi="Arial"/>
      <w:color w:val="2F2F2F" w:themeColor="text1" w:themeTint="E6"/>
      <w:sz w:val="24"/>
    </w:rPr>
  </w:style>
  <w:style w:type="character" w:styleId="Mention">
    <w:name w:val="Mention"/>
    <w:basedOn w:val="DefaultParagraphFont"/>
    <w:uiPriority w:val="99"/>
    <w:unhideWhenUsed/>
    <w:rsid w:val="0041416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85960">
      <w:bodyDiv w:val="1"/>
      <w:marLeft w:val="0"/>
      <w:marRight w:val="0"/>
      <w:marTop w:val="0"/>
      <w:marBottom w:val="0"/>
      <w:divBdr>
        <w:top w:val="none" w:sz="0" w:space="0" w:color="auto"/>
        <w:left w:val="none" w:sz="0" w:space="0" w:color="auto"/>
        <w:bottom w:val="none" w:sz="0" w:space="0" w:color="auto"/>
        <w:right w:val="none" w:sz="0" w:space="0" w:color="auto"/>
      </w:divBdr>
    </w:div>
    <w:div w:id="138302429">
      <w:bodyDiv w:val="1"/>
      <w:marLeft w:val="0"/>
      <w:marRight w:val="0"/>
      <w:marTop w:val="0"/>
      <w:marBottom w:val="0"/>
      <w:divBdr>
        <w:top w:val="none" w:sz="0" w:space="0" w:color="auto"/>
        <w:left w:val="none" w:sz="0" w:space="0" w:color="auto"/>
        <w:bottom w:val="none" w:sz="0" w:space="0" w:color="auto"/>
        <w:right w:val="none" w:sz="0" w:space="0" w:color="auto"/>
      </w:divBdr>
    </w:div>
    <w:div w:id="748500527">
      <w:bodyDiv w:val="1"/>
      <w:marLeft w:val="0"/>
      <w:marRight w:val="0"/>
      <w:marTop w:val="0"/>
      <w:marBottom w:val="0"/>
      <w:divBdr>
        <w:top w:val="none" w:sz="0" w:space="0" w:color="auto"/>
        <w:left w:val="none" w:sz="0" w:space="0" w:color="auto"/>
        <w:bottom w:val="none" w:sz="0" w:space="0" w:color="auto"/>
        <w:right w:val="none" w:sz="0" w:space="0" w:color="auto"/>
      </w:divBdr>
    </w:div>
    <w:div w:id="1138769393">
      <w:bodyDiv w:val="1"/>
      <w:marLeft w:val="0"/>
      <w:marRight w:val="0"/>
      <w:marTop w:val="0"/>
      <w:marBottom w:val="0"/>
      <w:divBdr>
        <w:top w:val="none" w:sz="0" w:space="0" w:color="auto"/>
        <w:left w:val="none" w:sz="0" w:space="0" w:color="auto"/>
        <w:bottom w:val="none" w:sz="0" w:space="0" w:color="auto"/>
        <w:right w:val="none" w:sz="0" w:space="0" w:color="auto"/>
      </w:divBdr>
    </w:div>
    <w:div w:id="1401516346">
      <w:bodyDiv w:val="1"/>
      <w:marLeft w:val="0"/>
      <w:marRight w:val="0"/>
      <w:marTop w:val="0"/>
      <w:marBottom w:val="0"/>
      <w:divBdr>
        <w:top w:val="none" w:sz="0" w:space="0" w:color="auto"/>
        <w:left w:val="none" w:sz="0" w:space="0" w:color="auto"/>
        <w:bottom w:val="none" w:sz="0" w:space="0" w:color="auto"/>
        <w:right w:val="none" w:sz="0" w:space="0" w:color="auto"/>
      </w:divBdr>
    </w:div>
    <w:div w:id="1687443223">
      <w:bodyDiv w:val="1"/>
      <w:marLeft w:val="0"/>
      <w:marRight w:val="0"/>
      <w:marTop w:val="0"/>
      <w:marBottom w:val="0"/>
      <w:divBdr>
        <w:top w:val="none" w:sz="0" w:space="0" w:color="auto"/>
        <w:left w:val="none" w:sz="0" w:space="0" w:color="auto"/>
        <w:bottom w:val="none" w:sz="0" w:space="0" w:color="auto"/>
        <w:right w:val="none" w:sz="0" w:space="0" w:color="auto"/>
      </w:divBdr>
    </w:div>
    <w:div w:id="199040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chart" Target="charts/chart1.xml"/><Relationship Id="rId26" Type="http://schemas.openxmlformats.org/officeDocument/2006/relationships/chart" Target="charts/chart7.xml"/><Relationship Id="rId39" Type="http://schemas.openxmlformats.org/officeDocument/2006/relationships/chart" Target="charts/chart14.xml"/><Relationship Id="rId21" Type="http://schemas.openxmlformats.org/officeDocument/2006/relationships/chart" Target="charts/chart2.xml"/><Relationship Id="rId34" Type="http://schemas.openxmlformats.org/officeDocument/2006/relationships/image" Target="media/image4.jpeg"/><Relationship Id="rId42" Type="http://schemas.openxmlformats.org/officeDocument/2006/relationships/chart" Target="charts/chart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5.xml"/><Relationship Id="rId32" Type="http://schemas.openxmlformats.org/officeDocument/2006/relationships/hyperlink" Target="https://ccfqld.com/QLDINSIGHT" TargetMode="Externa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chart" Target="charts/chart4.xml"/><Relationship Id="rId28" Type="http://schemas.openxmlformats.org/officeDocument/2006/relationships/image" Target="media/image2.jpeg"/><Relationship Id="rId36" Type="http://schemas.openxmlformats.org/officeDocument/2006/relationships/chart" Target="charts/chart11.xml"/><Relationship Id="rId10" Type="http://schemas.openxmlformats.org/officeDocument/2006/relationships/header" Target="header2.xml"/><Relationship Id="rId19" Type="http://schemas.openxmlformats.org/officeDocument/2006/relationships/hyperlink" Target="https://www.qld.gov.au/environment/management/waste/strategy" TargetMode="External"/><Relationship Id="rId31" Type="http://schemas.openxmlformats.org/officeDocument/2006/relationships/chart" Target="charts/chart10.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9.xml"/><Relationship Id="rId35" Type="http://schemas.openxmlformats.org/officeDocument/2006/relationships/image" Target="media/image5.jpeg"/><Relationship Id="rId43" Type="http://schemas.openxmlformats.org/officeDocument/2006/relationships/header" Target="header7.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tmr.qld.gov.au/community-and-environment/environmental-management/land/waste-management" TargetMode="External"/><Relationship Id="rId25" Type="http://schemas.openxmlformats.org/officeDocument/2006/relationships/chart" Target="charts/chart6.xml"/><Relationship Id="rId33" Type="http://schemas.openxmlformats.org/officeDocument/2006/relationships/hyperlink" Target="https://cdn.wildapricot.com/325128/resources/Documents/CCF0025-Insights-Winter-2025-Final-Compressed.pdf?version=1750657016000&amp;Policy=eyJTdGF0ZW1lbnQiOiBbeyJSZXNvdXJjZSI6Imh0dHBzOi8vY2RuLndpbGRhcHJpY290LmNvbS8zMjUxMjgvcmVzb3VyY2VzL0RvY3VtZW50cy9DQ0YwMDI1LUluc2lnaHRzLVdpbnRlci0yMDI1LUZpbmFsLUNvbXByZXNzZWQucGRmP3ZlcnNpb249MTc1MDY1NzAxNjAwMCIsIkNvbmRpdGlvbiI6eyJEYXRlTGVzc1RoYW4iOnsiQVdTOkVwb2NoVGltZSI6MTc1MjYzMzE3OH0sIklwQWRkcmVzcyI6eyJBV1M6U291cmNlSXAiOiIwLjAuMC4wLzAifX19XX0_&amp;Signature=Gf~EhEKi6AUeF3cDfLSG916Qqdz4y-XGEM-JB1MZsYyI6WGMRGqUEciLFFrruTe~cHhZ1uNtOgGgPm4BVZ6b~dpJ2Iv9Clg7SOZ8OxozD2cozeMGyvq20THUzQtzmyyhoAZO0OIcOxIY2ChaZ3fLnwRZSYMkhNwKtBPEoiR9-RyArqPBxOL2BXY2ADunPfk7HM4Gr~WoTD2i0SnmWyFMJUOBsGGRjEA2-1DWRQaKZIb82edj7K8v3ewdRDOXZcnmu01xL0R3-r0yTxCgVl6MTKV9gn5ERhMYkHzNFNO9yx1w6OmqZAIh0iuY8XafZE8nEG2YGwOEGqaDJagJXQWE1Q__&amp;Key-Pair-Id=K27MGQSHTHAGGF" TargetMode="External"/><Relationship Id="rId38" Type="http://schemas.openxmlformats.org/officeDocument/2006/relationships/chart" Target="charts/chart13.xml"/><Relationship Id="rId20" Type="http://schemas.openxmlformats.org/officeDocument/2006/relationships/hyperlink" Target="https://www.legislation.qld.gov.au/view/html/inforce/current/act-2011-031" TargetMode="External"/><Relationship Id="rId41" Type="http://schemas.openxmlformats.org/officeDocument/2006/relationships/chart" Target="charts/chart16.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Diverted</c:v>
                </c:pt>
              </c:strCache>
            </c:strRef>
          </c:tx>
          <c:spPr>
            <a:solidFill>
              <a:schemeClr val="accent1"/>
            </a:solidFill>
            <a:ln>
              <a:noFill/>
            </a:ln>
            <a:effectLst/>
          </c:spPr>
          <c:invertIfNegative val="0"/>
          <c:cat>
            <c:strRef>
              <c:f>Sheet1!$A$2:$A$8</c:f>
              <c:strCache>
                <c:ptCount val="7"/>
                <c:pt idx="0">
                  <c:v>2018-19</c:v>
                </c:pt>
                <c:pt idx="1">
                  <c:v>2019-20</c:v>
                </c:pt>
                <c:pt idx="2">
                  <c:v>2020-21</c:v>
                </c:pt>
                <c:pt idx="3">
                  <c:v>2021-22</c:v>
                </c:pt>
                <c:pt idx="4">
                  <c:v>2022-23</c:v>
                </c:pt>
                <c:pt idx="5">
                  <c:v>2023-24</c:v>
                </c:pt>
                <c:pt idx="6">
                  <c:v>2024-25</c:v>
                </c:pt>
              </c:strCache>
            </c:strRef>
          </c:cat>
          <c:val>
            <c:numRef>
              <c:f>Sheet1!$B$2:$B$8</c:f>
              <c:numCache>
                <c:formatCode>_-* #,##0_-;\-* #,##0_-;_-* "-"??_-;_-@_-</c:formatCode>
                <c:ptCount val="7"/>
                <c:pt idx="0">
                  <c:v>202099</c:v>
                </c:pt>
                <c:pt idx="1">
                  <c:v>257265</c:v>
                </c:pt>
                <c:pt idx="2">
                  <c:v>1008401</c:v>
                </c:pt>
                <c:pt idx="3">
                  <c:v>589617</c:v>
                </c:pt>
                <c:pt idx="4">
                  <c:v>1365894</c:v>
                </c:pt>
                <c:pt idx="5">
                  <c:v>1238432</c:v>
                </c:pt>
                <c:pt idx="6">
                  <c:v>1226112</c:v>
                </c:pt>
              </c:numCache>
            </c:numRef>
          </c:val>
          <c:extLst>
            <c:ext xmlns:c16="http://schemas.microsoft.com/office/drawing/2014/chart" uri="{C3380CC4-5D6E-409C-BE32-E72D297353CC}">
              <c16:uniqueId val="{00000000-954A-4BD2-AAC1-6195926D9D33}"/>
            </c:ext>
          </c:extLst>
        </c:ser>
        <c:ser>
          <c:idx val="1"/>
          <c:order val="1"/>
          <c:tx>
            <c:strRef>
              <c:f>Sheet1!$C$1</c:f>
              <c:strCache>
                <c:ptCount val="1"/>
                <c:pt idx="0">
                  <c:v>Landfilled</c:v>
                </c:pt>
              </c:strCache>
            </c:strRef>
          </c:tx>
          <c:spPr>
            <a:solidFill>
              <a:schemeClr val="accent2"/>
            </a:solidFill>
            <a:ln>
              <a:noFill/>
            </a:ln>
            <a:effectLst/>
          </c:spPr>
          <c:invertIfNegative val="0"/>
          <c:cat>
            <c:strRef>
              <c:f>Sheet1!$A$2:$A$8</c:f>
              <c:strCache>
                <c:ptCount val="7"/>
                <c:pt idx="0">
                  <c:v>2018-19</c:v>
                </c:pt>
                <c:pt idx="1">
                  <c:v>2019-20</c:v>
                </c:pt>
                <c:pt idx="2">
                  <c:v>2020-21</c:v>
                </c:pt>
                <c:pt idx="3">
                  <c:v>2021-22</c:v>
                </c:pt>
                <c:pt idx="4">
                  <c:v>2022-23</c:v>
                </c:pt>
                <c:pt idx="5">
                  <c:v>2023-24</c:v>
                </c:pt>
                <c:pt idx="6">
                  <c:v>2024-25</c:v>
                </c:pt>
              </c:strCache>
            </c:strRef>
          </c:cat>
          <c:val>
            <c:numRef>
              <c:f>Sheet1!$C$2:$C$8</c:f>
              <c:numCache>
                <c:formatCode>_-* #,##0_-;\-* #,##0_-;_-* "-"??_-;_-@_-</c:formatCode>
                <c:ptCount val="7"/>
                <c:pt idx="0">
                  <c:v>92926</c:v>
                </c:pt>
                <c:pt idx="1">
                  <c:v>74951</c:v>
                </c:pt>
                <c:pt idx="2">
                  <c:v>133201</c:v>
                </c:pt>
                <c:pt idx="3">
                  <c:v>60476</c:v>
                </c:pt>
                <c:pt idx="4">
                  <c:v>230555</c:v>
                </c:pt>
                <c:pt idx="5">
                  <c:v>191216</c:v>
                </c:pt>
                <c:pt idx="6">
                  <c:v>309215</c:v>
                </c:pt>
              </c:numCache>
            </c:numRef>
          </c:val>
          <c:extLst>
            <c:ext xmlns:c16="http://schemas.microsoft.com/office/drawing/2014/chart" uri="{C3380CC4-5D6E-409C-BE32-E72D297353CC}">
              <c16:uniqueId val="{00000001-954A-4BD2-AAC1-6195926D9D33}"/>
            </c:ext>
          </c:extLst>
        </c:ser>
        <c:dLbls>
          <c:showLegendKey val="0"/>
          <c:showVal val="0"/>
          <c:showCatName val="0"/>
          <c:showSerName val="0"/>
          <c:showPercent val="0"/>
          <c:showBubbleSize val="0"/>
        </c:dLbls>
        <c:gapWidth val="150"/>
        <c:overlap val="100"/>
        <c:axId val="1946212384"/>
        <c:axId val="1943396768"/>
      </c:barChart>
      <c:lineChart>
        <c:grouping val="standard"/>
        <c:varyColors val="0"/>
        <c:ser>
          <c:idx val="2"/>
          <c:order val="2"/>
          <c:tx>
            <c:strRef>
              <c:f>Sheet1!$D$1</c:f>
              <c:strCache>
                <c:ptCount val="1"/>
                <c:pt idx="0">
                  <c:v>Diversion Rate</c:v>
                </c:pt>
              </c:strCache>
            </c:strRef>
          </c:tx>
          <c:spPr>
            <a:ln w="28575" cap="rnd">
              <a:solidFill>
                <a:schemeClr val="accent3"/>
              </a:solidFill>
              <a:round/>
            </a:ln>
            <a:effectLst/>
          </c:spPr>
          <c:marker>
            <c:symbol val="none"/>
          </c:marker>
          <c:cat>
            <c:strRef>
              <c:f>Sheet1!$A$2:$A$8</c:f>
              <c:strCache>
                <c:ptCount val="7"/>
                <c:pt idx="0">
                  <c:v>2018-19</c:v>
                </c:pt>
                <c:pt idx="1">
                  <c:v>2019-20</c:v>
                </c:pt>
                <c:pt idx="2">
                  <c:v>2020-21</c:v>
                </c:pt>
                <c:pt idx="3">
                  <c:v>2021-22</c:v>
                </c:pt>
                <c:pt idx="4">
                  <c:v>2022-23</c:v>
                </c:pt>
                <c:pt idx="5">
                  <c:v>2023-24</c:v>
                </c:pt>
                <c:pt idx="6">
                  <c:v>2024-25</c:v>
                </c:pt>
              </c:strCache>
            </c:strRef>
          </c:cat>
          <c:val>
            <c:numRef>
              <c:f>Sheet1!$D$2:$D$8</c:f>
              <c:numCache>
                <c:formatCode>0%</c:formatCode>
                <c:ptCount val="7"/>
                <c:pt idx="0">
                  <c:v>0.69</c:v>
                </c:pt>
                <c:pt idx="1">
                  <c:v>0.77</c:v>
                </c:pt>
                <c:pt idx="2">
                  <c:v>0.88</c:v>
                </c:pt>
                <c:pt idx="3">
                  <c:v>0.91</c:v>
                </c:pt>
                <c:pt idx="4">
                  <c:v>0.86</c:v>
                </c:pt>
                <c:pt idx="5">
                  <c:v>0.87</c:v>
                </c:pt>
                <c:pt idx="6">
                  <c:v>0.8</c:v>
                </c:pt>
              </c:numCache>
            </c:numRef>
          </c:val>
          <c:smooth val="0"/>
          <c:extLst>
            <c:ext xmlns:c16="http://schemas.microsoft.com/office/drawing/2014/chart" uri="{C3380CC4-5D6E-409C-BE32-E72D297353CC}">
              <c16:uniqueId val="{00000002-954A-4BD2-AAC1-6195926D9D33}"/>
            </c:ext>
          </c:extLst>
        </c:ser>
        <c:dLbls>
          <c:showLegendKey val="0"/>
          <c:showVal val="0"/>
          <c:showCatName val="0"/>
          <c:showSerName val="0"/>
          <c:showPercent val="0"/>
          <c:showBubbleSize val="0"/>
        </c:dLbls>
        <c:marker val="1"/>
        <c:smooth val="0"/>
        <c:axId val="103559312"/>
        <c:axId val="2035064784"/>
      </c:lineChart>
      <c:catAx>
        <c:axId val="1946212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Reporting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3396768"/>
        <c:crosses val="autoZero"/>
        <c:auto val="1"/>
        <c:lblAlgn val="ctr"/>
        <c:lblOffset val="100"/>
        <c:noMultiLvlLbl val="0"/>
      </c:catAx>
      <c:valAx>
        <c:axId val="1943396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Tonnes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6212384"/>
        <c:crosses val="autoZero"/>
        <c:crossBetween val="between"/>
      </c:valAx>
      <c:valAx>
        <c:axId val="203506478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559312"/>
        <c:crosses val="max"/>
        <c:crossBetween val="between"/>
      </c:valAx>
      <c:catAx>
        <c:axId val="103559312"/>
        <c:scaling>
          <c:orientation val="minMax"/>
        </c:scaling>
        <c:delete val="1"/>
        <c:axPos val="b"/>
        <c:numFmt formatCode="General" sourceLinked="1"/>
        <c:majorTickMark val="out"/>
        <c:minorTickMark val="none"/>
        <c:tickLblPos val="nextTo"/>
        <c:crossAx val="20350647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Asphalt</c:v>
                </c:pt>
              </c:strCache>
            </c:strRef>
          </c:tx>
          <c:spPr>
            <a:solidFill>
              <a:schemeClr val="accent1"/>
            </a:solidFill>
            <a:ln>
              <a:noFill/>
            </a:ln>
            <a:effectLst/>
          </c:spPr>
          <c:invertIfNegative val="0"/>
          <c:cat>
            <c:strRef>
              <c:f>Sheet1!$A$2:$A$11</c:f>
              <c:strCache>
                <c:ptCount val="10"/>
                <c:pt idx="0">
                  <c:v>Central West</c:v>
                </c:pt>
                <c:pt idx="1">
                  <c:v>Darling Downs</c:v>
                </c:pt>
                <c:pt idx="2">
                  <c:v>Far North</c:v>
                </c:pt>
                <c:pt idx="3">
                  <c:v>Fitzroy</c:v>
                </c:pt>
                <c:pt idx="4">
                  <c:v>Mackay/Whitsunday</c:v>
                </c:pt>
                <c:pt idx="5">
                  <c:v>Metropolitan</c:v>
                </c:pt>
                <c:pt idx="6">
                  <c:v>North Coast</c:v>
                </c:pt>
                <c:pt idx="7">
                  <c:v>Northern</c:v>
                </c:pt>
                <c:pt idx="8">
                  <c:v>South Coast</c:v>
                </c:pt>
                <c:pt idx="9">
                  <c:v>Wide Bay Burnett</c:v>
                </c:pt>
              </c:strCache>
            </c:strRef>
          </c:cat>
          <c:val>
            <c:numRef>
              <c:f>Sheet1!$B$2:$B$11</c:f>
              <c:numCache>
                <c:formatCode>_-* #,##0_-;\-* #,##0_-;_-* "-"??_-;_-@_-</c:formatCode>
                <c:ptCount val="10"/>
                <c:pt idx="1">
                  <c:v>2413</c:v>
                </c:pt>
                <c:pt idx="3">
                  <c:v>679</c:v>
                </c:pt>
                <c:pt idx="5">
                  <c:v>63956</c:v>
                </c:pt>
                <c:pt idx="6">
                  <c:v>18900</c:v>
                </c:pt>
                <c:pt idx="7">
                  <c:v>18795</c:v>
                </c:pt>
                <c:pt idx="8">
                  <c:v>9887</c:v>
                </c:pt>
                <c:pt idx="9">
                  <c:v>12577</c:v>
                </c:pt>
              </c:numCache>
            </c:numRef>
          </c:val>
          <c:extLst>
            <c:ext xmlns:c16="http://schemas.microsoft.com/office/drawing/2014/chart" uri="{C3380CC4-5D6E-409C-BE32-E72D297353CC}">
              <c16:uniqueId val="{00000000-60AA-4567-942D-43A13B1F9B3C}"/>
            </c:ext>
          </c:extLst>
        </c:ser>
        <c:ser>
          <c:idx val="1"/>
          <c:order val="1"/>
          <c:tx>
            <c:strRef>
              <c:f>Sheet1!$C$1</c:f>
              <c:strCache>
                <c:ptCount val="1"/>
                <c:pt idx="0">
                  <c:v>Concrete</c:v>
                </c:pt>
              </c:strCache>
            </c:strRef>
          </c:tx>
          <c:spPr>
            <a:solidFill>
              <a:schemeClr val="accent2"/>
            </a:solidFill>
            <a:ln>
              <a:noFill/>
            </a:ln>
            <a:effectLst/>
          </c:spPr>
          <c:invertIfNegative val="0"/>
          <c:cat>
            <c:strRef>
              <c:f>Sheet1!$A$2:$A$11</c:f>
              <c:strCache>
                <c:ptCount val="10"/>
                <c:pt idx="0">
                  <c:v>Central West</c:v>
                </c:pt>
                <c:pt idx="1">
                  <c:v>Darling Downs</c:v>
                </c:pt>
                <c:pt idx="2">
                  <c:v>Far North</c:v>
                </c:pt>
                <c:pt idx="3">
                  <c:v>Fitzroy</c:v>
                </c:pt>
                <c:pt idx="4">
                  <c:v>Mackay/Whitsunday</c:v>
                </c:pt>
                <c:pt idx="5">
                  <c:v>Metropolitan</c:v>
                </c:pt>
                <c:pt idx="6">
                  <c:v>North Coast</c:v>
                </c:pt>
                <c:pt idx="7">
                  <c:v>Northern</c:v>
                </c:pt>
                <c:pt idx="8">
                  <c:v>South Coast</c:v>
                </c:pt>
                <c:pt idx="9">
                  <c:v>Wide Bay Burnett</c:v>
                </c:pt>
              </c:strCache>
            </c:strRef>
          </c:cat>
          <c:val>
            <c:numRef>
              <c:f>Sheet1!$C$2:$C$11</c:f>
              <c:numCache>
                <c:formatCode>_-* #,##0_-;\-* #,##0_-;_-* "-"??_-;_-@_-</c:formatCode>
                <c:ptCount val="10"/>
                <c:pt idx="0">
                  <c:v>10</c:v>
                </c:pt>
                <c:pt idx="1">
                  <c:v>1488</c:v>
                </c:pt>
                <c:pt idx="2">
                  <c:v>14340</c:v>
                </c:pt>
                <c:pt idx="3">
                  <c:v>1617</c:v>
                </c:pt>
                <c:pt idx="4">
                  <c:v>573</c:v>
                </c:pt>
                <c:pt idx="5">
                  <c:v>28247</c:v>
                </c:pt>
                <c:pt idx="6">
                  <c:v>11231</c:v>
                </c:pt>
                <c:pt idx="7">
                  <c:v>4218</c:v>
                </c:pt>
                <c:pt idx="8">
                  <c:v>9348</c:v>
                </c:pt>
                <c:pt idx="9">
                  <c:v>84</c:v>
                </c:pt>
              </c:numCache>
            </c:numRef>
          </c:val>
          <c:extLst>
            <c:ext xmlns:c16="http://schemas.microsoft.com/office/drawing/2014/chart" uri="{C3380CC4-5D6E-409C-BE32-E72D297353CC}">
              <c16:uniqueId val="{00000001-60AA-4567-942D-43A13B1F9B3C}"/>
            </c:ext>
          </c:extLst>
        </c:ser>
        <c:ser>
          <c:idx val="2"/>
          <c:order val="2"/>
          <c:tx>
            <c:strRef>
              <c:f>Sheet1!$D$1</c:f>
              <c:strCache>
                <c:ptCount val="1"/>
                <c:pt idx="0">
                  <c:v>Excess earthworks</c:v>
                </c:pt>
              </c:strCache>
            </c:strRef>
          </c:tx>
          <c:spPr>
            <a:solidFill>
              <a:schemeClr val="accent3"/>
            </a:solidFill>
            <a:ln>
              <a:noFill/>
            </a:ln>
            <a:effectLst/>
          </c:spPr>
          <c:invertIfNegative val="0"/>
          <c:cat>
            <c:strRef>
              <c:f>Sheet1!$A$2:$A$11</c:f>
              <c:strCache>
                <c:ptCount val="10"/>
                <c:pt idx="0">
                  <c:v>Central West</c:v>
                </c:pt>
                <c:pt idx="1">
                  <c:v>Darling Downs</c:v>
                </c:pt>
                <c:pt idx="2">
                  <c:v>Far North</c:v>
                </c:pt>
                <c:pt idx="3">
                  <c:v>Fitzroy</c:v>
                </c:pt>
                <c:pt idx="4">
                  <c:v>Mackay/Whitsunday</c:v>
                </c:pt>
                <c:pt idx="5">
                  <c:v>Metropolitan</c:v>
                </c:pt>
                <c:pt idx="6">
                  <c:v>North Coast</c:v>
                </c:pt>
                <c:pt idx="7">
                  <c:v>Northern</c:v>
                </c:pt>
                <c:pt idx="8">
                  <c:v>South Coast</c:v>
                </c:pt>
                <c:pt idx="9">
                  <c:v>Wide Bay Burnett</c:v>
                </c:pt>
              </c:strCache>
            </c:strRef>
          </c:cat>
          <c:val>
            <c:numRef>
              <c:f>Sheet1!$D$2:$D$11</c:f>
              <c:numCache>
                <c:formatCode>_-* #,##0_-;\-* #,##0_-;_-* "-"??_-;_-@_-</c:formatCode>
                <c:ptCount val="10"/>
                <c:pt idx="1">
                  <c:v>35126</c:v>
                </c:pt>
                <c:pt idx="2">
                  <c:v>77749</c:v>
                </c:pt>
                <c:pt idx="3">
                  <c:v>23281</c:v>
                </c:pt>
                <c:pt idx="4">
                  <c:v>106166</c:v>
                </c:pt>
                <c:pt idx="5">
                  <c:v>94571</c:v>
                </c:pt>
                <c:pt idx="6">
                  <c:v>112552</c:v>
                </c:pt>
                <c:pt idx="7">
                  <c:v>203894</c:v>
                </c:pt>
                <c:pt idx="8">
                  <c:v>84102</c:v>
                </c:pt>
                <c:pt idx="9">
                  <c:v>5531</c:v>
                </c:pt>
              </c:numCache>
            </c:numRef>
          </c:val>
          <c:extLst>
            <c:ext xmlns:c16="http://schemas.microsoft.com/office/drawing/2014/chart" uri="{C3380CC4-5D6E-409C-BE32-E72D297353CC}">
              <c16:uniqueId val="{00000002-60AA-4567-942D-43A13B1F9B3C}"/>
            </c:ext>
          </c:extLst>
        </c:ser>
        <c:ser>
          <c:idx val="3"/>
          <c:order val="3"/>
          <c:tx>
            <c:strRef>
              <c:f>Sheet1!$E$1</c:f>
              <c:strCache>
                <c:ptCount val="1"/>
                <c:pt idx="0">
                  <c:v>Other pavement</c:v>
                </c:pt>
              </c:strCache>
            </c:strRef>
          </c:tx>
          <c:spPr>
            <a:solidFill>
              <a:schemeClr val="accent4"/>
            </a:solidFill>
            <a:ln>
              <a:noFill/>
            </a:ln>
            <a:effectLst/>
          </c:spPr>
          <c:invertIfNegative val="0"/>
          <c:cat>
            <c:strRef>
              <c:f>Sheet1!$A$2:$A$11</c:f>
              <c:strCache>
                <c:ptCount val="10"/>
                <c:pt idx="0">
                  <c:v>Central West</c:v>
                </c:pt>
                <c:pt idx="1">
                  <c:v>Darling Downs</c:v>
                </c:pt>
                <c:pt idx="2">
                  <c:v>Far North</c:v>
                </c:pt>
                <c:pt idx="3">
                  <c:v>Fitzroy</c:v>
                </c:pt>
                <c:pt idx="4">
                  <c:v>Mackay/Whitsunday</c:v>
                </c:pt>
                <c:pt idx="5">
                  <c:v>Metropolitan</c:v>
                </c:pt>
                <c:pt idx="6">
                  <c:v>North Coast</c:v>
                </c:pt>
                <c:pt idx="7">
                  <c:v>Northern</c:v>
                </c:pt>
                <c:pt idx="8">
                  <c:v>South Coast</c:v>
                </c:pt>
                <c:pt idx="9">
                  <c:v>Wide Bay Burnett</c:v>
                </c:pt>
              </c:strCache>
            </c:strRef>
          </c:cat>
          <c:val>
            <c:numRef>
              <c:f>Sheet1!$E$2:$E$11</c:f>
              <c:numCache>
                <c:formatCode>_-* #,##0_-;\-* #,##0_-;_-* "-"??_-;_-@_-</c:formatCode>
                <c:ptCount val="10"/>
                <c:pt idx="0">
                  <c:v>54543</c:v>
                </c:pt>
                <c:pt idx="1">
                  <c:v>19090</c:v>
                </c:pt>
                <c:pt idx="4">
                  <c:v>11734</c:v>
                </c:pt>
                <c:pt idx="5">
                  <c:v>5032</c:v>
                </c:pt>
                <c:pt idx="6">
                  <c:v>2959</c:v>
                </c:pt>
                <c:pt idx="9">
                  <c:v>2203</c:v>
                </c:pt>
              </c:numCache>
            </c:numRef>
          </c:val>
          <c:extLst>
            <c:ext xmlns:c16="http://schemas.microsoft.com/office/drawing/2014/chart" uri="{C3380CC4-5D6E-409C-BE32-E72D297353CC}">
              <c16:uniqueId val="{00000003-60AA-4567-942D-43A13B1F9B3C}"/>
            </c:ext>
          </c:extLst>
        </c:ser>
        <c:ser>
          <c:idx val="4"/>
          <c:order val="4"/>
          <c:tx>
            <c:strRef>
              <c:f>Sheet1!$F$1</c:f>
              <c:strCache>
                <c:ptCount val="1"/>
                <c:pt idx="0">
                  <c:v>Reg. waste cat 2</c:v>
                </c:pt>
              </c:strCache>
            </c:strRef>
          </c:tx>
          <c:spPr>
            <a:solidFill>
              <a:schemeClr val="accent5"/>
            </a:solidFill>
            <a:ln>
              <a:noFill/>
            </a:ln>
            <a:effectLst/>
          </c:spPr>
          <c:invertIfNegative val="0"/>
          <c:cat>
            <c:strRef>
              <c:f>Sheet1!$A$2:$A$11</c:f>
              <c:strCache>
                <c:ptCount val="10"/>
                <c:pt idx="0">
                  <c:v>Central West</c:v>
                </c:pt>
                <c:pt idx="1">
                  <c:v>Darling Downs</c:v>
                </c:pt>
                <c:pt idx="2">
                  <c:v>Far North</c:v>
                </c:pt>
                <c:pt idx="3">
                  <c:v>Fitzroy</c:v>
                </c:pt>
                <c:pt idx="4">
                  <c:v>Mackay/Whitsunday</c:v>
                </c:pt>
                <c:pt idx="5">
                  <c:v>Metropolitan</c:v>
                </c:pt>
                <c:pt idx="6">
                  <c:v>North Coast</c:v>
                </c:pt>
                <c:pt idx="7">
                  <c:v>Northern</c:v>
                </c:pt>
                <c:pt idx="8">
                  <c:v>South Coast</c:v>
                </c:pt>
                <c:pt idx="9">
                  <c:v>Wide Bay Burnett</c:v>
                </c:pt>
              </c:strCache>
            </c:strRef>
          </c:cat>
          <c:val>
            <c:numRef>
              <c:f>Sheet1!$F$2:$F$11</c:f>
              <c:numCache>
                <c:formatCode>_-* #,##0_-;\-* #,##0_-;_-* "-"??_-;_-@_-</c:formatCode>
                <c:ptCount val="10"/>
                <c:pt idx="1">
                  <c:v>19</c:v>
                </c:pt>
                <c:pt idx="2">
                  <c:v>8</c:v>
                </c:pt>
                <c:pt idx="3">
                  <c:v>21</c:v>
                </c:pt>
                <c:pt idx="4">
                  <c:v>24</c:v>
                </c:pt>
                <c:pt idx="5">
                  <c:v>1</c:v>
                </c:pt>
                <c:pt idx="6">
                  <c:v>119370</c:v>
                </c:pt>
                <c:pt idx="7">
                  <c:v>0</c:v>
                </c:pt>
                <c:pt idx="9">
                  <c:v>30</c:v>
                </c:pt>
              </c:numCache>
            </c:numRef>
          </c:val>
          <c:extLst>
            <c:ext xmlns:c16="http://schemas.microsoft.com/office/drawing/2014/chart" uri="{C3380CC4-5D6E-409C-BE32-E72D297353CC}">
              <c16:uniqueId val="{00000004-60AA-4567-942D-43A13B1F9B3C}"/>
            </c:ext>
          </c:extLst>
        </c:ser>
        <c:dLbls>
          <c:showLegendKey val="0"/>
          <c:showVal val="0"/>
          <c:showCatName val="0"/>
          <c:showSerName val="0"/>
          <c:showPercent val="0"/>
          <c:showBubbleSize val="0"/>
        </c:dLbls>
        <c:gapWidth val="150"/>
        <c:overlap val="100"/>
        <c:axId val="1378198976"/>
        <c:axId val="1378195136"/>
      </c:barChart>
      <c:catAx>
        <c:axId val="1378198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8195136"/>
        <c:crosses val="autoZero"/>
        <c:auto val="1"/>
        <c:lblAlgn val="ctr"/>
        <c:lblOffset val="100"/>
        <c:noMultiLvlLbl val="0"/>
      </c:catAx>
      <c:valAx>
        <c:axId val="13781951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Tonnes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819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Sum of Recycled Material Quantity</c:v>
                </c:pt>
              </c:strCache>
            </c:strRef>
          </c:tx>
          <c:spPr>
            <a:solidFill>
              <a:schemeClr val="accent1"/>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Sheet1!$B$2:$B$6</c:f>
              <c:numCache>
                <c:formatCode>General</c:formatCode>
                <c:ptCount val="5"/>
                <c:pt idx="0">
                  <c:v>6689</c:v>
                </c:pt>
                <c:pt idx="1">
                  <c:v>28135</c:v>
                </c:pt>
                <c:pt idx="2">
                  <c:v>66656</c:v>
                </c:pt>
                <c:pt idx="3">
                  <c:v>163757</c:v>
                </c:pt>
                <c:pt idx="4">
                  <c:v>402613</c:v>
                </c:pt>
              </c:numCache>
            </c:numRef>
          </c:val>
          <c:extLst>
            <c:ext xmlns:c16="http://schemas.microsoft.com/office/drawing/2014/chart" uri="{C3380CC4-5D6E-409C-BE32-E72D297353CC}">
              <c16:uniqueId val="{00000000-A24D-46B1-9039-48BBC272AB6F}"/>
            </c:ext>
          </c:extLst>
        </c:ser>
        <c:dLbls>
          <c:showLegendKey val="0"/>
          <c:showVal val="0"/>
          <c:showCatName val="0"/>
          <c:showSerName val="0"/>
          <c:showPercent val="0"/>
          <c:showBubbleSize val="0"/>
        </c:dLbls>
        <c:gapWidth val="219"/>
        <c:overlap val="-27"/>
        <c:axId val="1823413648"/>
        <c:axId val="1385578608"/>
      </c:barChart>
      <c:catAx>
        <c:axId val="1823413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Reporting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578608"/>
        <c:crosses val="autoZero"/>
        <c:auto val="1"/>
        <c:lblAlgn val="ctr"/>
        <c:lblOffset val="100"/>
        <c:noMultiLvlLbl val="0"/>
      </c:catAx>
      <c:valAx>
        <c:axId val="1385578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Tonnes</a:t>
                </a:r>
                <a:r>
                  <a:rPr lang="en-AU" baseline="0"/>
                  <a:t> used</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3413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Sum of Recycled Material Quantity</c:v>
                </c:pt>
              </c:strCache>
            </c:strRef>
          </c:tx>
          <c:spPr>
            <a:solidFill>
              <a:schemeClr val="accent1"/>
            </a:solidFill>
            <a:ln>
              <a:noFill/>
            </a:ln>
            <a:effectLst/>
          </c:spPr>
          <c:invertIfNegative val="0"/>
          <c:cat>
            <c:strRef>
              <c:f>Sheet1!$A$2:$A$8</c:f>
              <c:strCache>
                <c:ptCount val="7"/>
                <c:pt idx="0">
                  <c:v>Crumbed rubber</c:v>
                </c:pt>
                <c:pt idx="1">
                  <c:v>Crushed glass</c:v>
                </c:pt>
                <c:pt idx="2">
                  <c:v>Fly ash</c:v>
                </c:pt>
                <c:pt idx="3">
                  <c:v>Insitu material</c:v>
                </c:pt>
                <c:pt idx="4">
                  <c:v>Reclaimed asphalt</c:v>
                </c:pt>
                <c:pt idx="5">
                  <c:v>Recovered pavement</c:v>
                </c:pt>
                <c:pt idx="6">
                  <c:v>Recycled vegetation</c:v>
                </c:pt>
              </c:strCache>
            </c:strRef>
          </c:cat>
          <c:val>
            <c:numRef>
              <c:f>Sheet1!$B$2:$B$8</c:f>
              <c:numCache>
                <c:formatCode>General</c:formatCode>
                <c:ptCount val="7"/>
                <c:pt idx="0">
                  <c:v>2190</c:v>
                </c:pt>
                <c:pt idx="1">
                  <c:v>427</c:v>
                </c:pt>
                <c:pt idx="2">
                  <c:v>1326</c:v>
                </c:pt>
                <c:pt idx="3">
                  <c:v>317306</c:v>
                </c:pt>
                <c:pt idx="4">
                  <c:v>36834</c:v>
                </c:pt>
                <c:pt idx="5">
                  <c:v>44496</c:v>
                </c:pt>
                <c:pt idx="6">
                  <c:v>34</c:v>
                </c:pt>
              </c:numCache>
            </c:numRef>
          </c:val>
          <c:extLst>
            <c:ext xmlns:c16="http://schemas.microsoft.com/office/drawing/2014/chart" uri="{C3380CC4-5D6E-409C-BE32-E72D297353CC}">
              <c16:uniqueId val="{00000000-0BF2-4BE1-BFB6-397FF7C54A51}"/>
            </c:ext>
          </c:extLst>
        </c:ser>
        <c:dLbls>
          <c:showLegendKey val="0"/>
          <c:showVal val="0"/>
          <c:showCatName val="0"/>
          <c:showSerName val="0"/>
          <c:showPercent val="0"/>
          <c:showBubbleSize val="0"/>
        </c:dLbls>
        <c:gapWidth val="219"/>
        <c:axId val="1378197056"/>
        <c:axId val="1378197536"/>
      </c:barChart>
      <c:catAx>
        <c:axId val="1378197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8197536"/>
        <c:crosses val="autoZero"/>
        <c:auto val="1"/>
        <c:lblAlgn val="ctr"/>
        <c:lblOffset val="100"/>
        <c:noMultiLvlLbl val="0"/>
      </c:catAx>
      <c:valAx>
        <c:axId val="13781975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Tonnes of material</a:t>
                </a:r>
                <a:r>
                  <a:rPr lang="en-AU" baseline="0"/>
                  <a:t> used</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8197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Crumbed rubber</c:v>
                </c:pt>
              </c:strCache>
            </c:strRef>
          </c:tx>
          <c:spPr>
            <a:solidFill>
              <a:schemeClr val="accent1"/>
            </a:solidFill>
            <a:ln>
              <a:noFill/>
            </a:ln>
            <a:effectLst/>
          </c:spPr>
          <c:invertIfNegative val="0"/>
          <c:cat>
            <c:strRef>
              <c:f>Sheet1!$A$2:$A$9</c:f>
              <c:strCache>
                <c:ptCount val="8"/>
                <c:pt idx="0">
                  <c:v>Central West</c:v>
                </c:pt>
                <c:pt idx="1">
                  <c:v>Darling Downs</c:v>
                </c:pt>
                <c:pt idx="2">
                  <c:v>Mackay/Whitsunday</c:v>
                </c:pt>
                <c:pt idx="3">
                  <c:v>Metropolitan</c:v>
                </c:pt>
                <c:pt idx="4">
                  <c:v>North Coast</c:v>
                </c:pt>
                <c:pt idx="5">
                  <c:v>Northern</c:v>
                </c:pt>
                <c:pt idx="6">
                  <c:v>South Coast</c:v>
                </c:pt>
                <c:pt idx="7">
                  <c:v>Wide Bay Burnett</c:v>
                </c:pt>
              </c:strCache>
            </c:strRef>
          </c:cat>
          <c:val>
            <c:numRef>
              <c:f>Sheet1!$B$2:$B$9</c:f>
              <c:numCache>
                <c:formatCode>General</c:formatCode>
                <c:ptCount val="8"/>
                <c:pt idx="1">
                  <c:v>1240</c:v>
                </c:pt>
                <c:pt idx="2">
                  <c:v>187</c:v>
                </c:pt>
                <c:pt idx="5">
                  <c:v>670</c:v>
                </c:pt>
                <c:pt idx="7">
                  <c:v>93</c:v>
                </c:pt>
              </c:numCache>
            </c:numRef>
          </c:val>
          <c:extLst>
            <c:ext xmlns:c16="http://schemas.microsoft.com/office/drawing/2014/chart" uri="{C3380CC4-5D6E-409C-BE32-E72D297353CC}">
              <c16:uniqueId val="{00000000-4D24-48DB-ABD1-CAF92C6DEB74}"/>
            </c:ext>
          </c:extLst>
        </c:ser>
        <c:ser>
          <c:idx val="1"/>
          <c:order val="1"/>
          <c:tx>
            <c:strRef>
              <c:f>Sheet1!$C$1</c:f>
              <c:strCache>
                <c:ptCount val="1"/>
                <c:pt idx="0">
                  <c:v>Crushed glass</c:v>
                </c:pt>
              </c:strCache>
            </c:strRef>
          </c:tx>
          <c:spPr>
            <a:solidFill>
              <a:schemeClr val="accent2"/>
            </a:solidFill>
            <a:ln>
              <a:noFill/>
            </a:ln>
            <a:effectLst/>
          </c:spPr>
          <c:invertIfNegative val="0"/>
          <c:cat>
            <c:strRef>
              <c:f>Sheet1!$A$2:$A$9</c:f>
              <c:strCache>
                <c:ptCount val="8"/>
                <c:pt idx="0">
                  <c:v>Central West</c:v>
                </c:pt>
                <c:pt idx="1">
                  <c:v>Darling Downs</c:v>
                </c:pt>
                <c:pt idx="2">
                  <c:v>Mackay/Whitsunday</c:v>
                </c:pt>
                <c:pt idx="3">
                  <c:v>Metropolitan</c:v>
                </c:pt>
                <c:pt idx="4">
                  <c:v>North Coast</c:v>
                </c:pt>
                <c:pt idx="5">
                  <c:v>Northern</c:v>
                </c:pt>
                <c:pt idx="6">
                  <c:v>South Coast</c:v>
                </c:pt>
                <c:pt idx="7">
                  <c:v>Wide Bay Burnett</c:v>
                </c:pt>
              </c:strCache>
            </c:strRef>
          </c:cat>
          <c:val>
            <c:numRef>
              <c:f>Sheet1!$C$2:$C$9</c:f>
              <c:numCache>
                <c:formatCode>General</c:formatCode>
                <c:ptCount val="8"/>
                <c:pt idx="4">
                  <c:v>427</c:v>
                </c:pt>
              </c:numCache>
            </c:numRef>
          </c:val>
          <c:extLst>
            <c:ext xmlns:c16="http://schemas.microsoft.com/office/drawing/2014/chart" uri="{C3380CC4-5D6E-409C-BE32-E72D297353CC}">
              <c16:uniqueId val="{00000001-4D24-48DB-ABD1-CAF92C6DEB74}"/>
            </c:ext>
          </c:extLst>
        </c:ser>
        <c:ser>
          <c:idx val="2"/>
          <c:order val="2"/>
          <c:tx>
            <c:strRef>
              <c:f>Sheet1!$D$1</c:f>
              <c:strCache>
                <c:ptCount val="1"/>
                <c:pt idx="0">
                  <c:v>Fly ash</c:v>
                </c:pt>
              </c:strCache>
            </c:strRef>
          </c:tx>
          <c:spPr>
            <a:solidFill>
              <a:schemeClr val="accent3"/>
            </a:solidFill>
            <a:ln>
              <a:noFill/>
            </a:ln>
            <a:effectLst/>
          </c:spPr>
          <c:invertIfNegative val="0"/>
          <c:cat>
            <c:strRef>
              <c:f>Sheet1!$A$2:$A$9</c:f>
              <c:strCache>
                <c:ptCount val="8"/>
                <c:pt idx="0">
                  <c:v>Central West</c:v>
                </c:pt>
                <c:pt idx="1">
                  <c:v>Darling Downs</c:v>
                </c:pt>
                <c:pt idx="2">
                  <c:v>Mackay/Whitsunday</c:v>
                </c:pt>
                <c:pt idx="3">
                  <c:v>Metropolitan</c:v>
                </c:pt>
                <c:pt idx="4">
                  <c:v>North Coast</c:v>
                </c:pt>
                <c:pt idx="5">
                  <c:v>Northern</c:v>
                </c:pt>
                <c:pt idx="6">
                  <c:v>South Coast</c:v>
                </c:pt>
                <c:pt idx="7">
                  <c:v>Wide Bay Burnett</c:v>
                </c:pt>
              </c:strCache>
            </c:strRef>
          </c:cat>
          <c:val>
            <c:numRef>
              <c:f>Sheet1!$D$2:$D$9</c:f>
              <c:numCache>
                <c:formatCode>General</c:formatCode>
                <c:ptCount val="8"/>
                <c:pt idx="1">
                  <c:v>374</c:v>
                </c:pt>
                <c:pt idx="4">
                  <c:v>952</c:v>
                </c:pt>
              </c:numCache>
            </c:numRef>
          </c:val>
          <c:extLst>
            <c:ext xmlns:c16="http://schemas.microsoft.com/office/drawing/2014/chart" uri="{C3380CC4-5D6E-409C-BE32-E72D297353CC}">
              <c16:uniqueId val="{00000002-4D24-48DB-ABD1-CAF92C6DEB74}"/>
            </c:ext>
          </c:extLst>
        </c:ser>
        <c:ser>
          <c:idx val="3"/>
          <c:order val="3"/>
          <c:tx>
            <c:strRef>
              <c:f>Sheet1!$E$1</c:f>
              <c:strCache>
                <c:ptCount val="1"/>
                <c:pt idx="0">
                  <c:v>Insitu material</c:v>
                </c:pt>
              </c:strCache>
            </c:strRef>
          </c:tx>
          <c:spPr>
            <a:solidFill>
              <a:schemeClr val="accent4"/>
            </a:solidFill>
            <a:ln>
              <a:noFill/>
            </a:ln>
            <a:effectLst/>
          </c:spPr>
          <c:invertIfNegative val="0"/>
          <c:cat>
            <c:strRef>
              <c:f>Sheet1!$A$2:$A$9</c:f>
              <c:strCache>
                <c:ptCount val="8"/>
                <c:pt idx="0">
                  <c:v>Central West</c:v>
                </c:pt>
                <c:pt idx="1">
                  <c:v>Darling Downs</c:v>
                </c:pt>
                <c:pt idx="2">
                  <c:v>Mackay/Whitsunday</c:v>
                </c:pt>
                <c:pt idx="3">
                  <c:v>Metropolitan</c:v>
                </c:pt>
                <c:pt idx="4">
                  <c:v>North Coast</c:v>
                </c:pt>
                <c:pt idx="5">
                  <c:v>Northern</c:v>
                </c:pt>
                <c:pt idx="6">
                  <c:v>South Coast</c:v>
                </c:pt>
                <c:pt idx="7">
                  <c:v>Wide Bay Burnett</c:v>
                </c:pt>
              </c:strCache>
            </c:strRef>
          </c:cat>
          <c:val>
            <c:numRef>
              <c:f>Sheet1!$E$2:$E$9</c:f>
              <c:numCache>
                <c:formatCode>General</c:formatCode>
                <c:ptCount val="8"/>
                <c:pt idx="0">
                  <c:v>24</c:v>
                </c:pt>
                <c:pt idx="1">
                  <c:v>66094</c:v>
                </c:pt>
                <c:pt idx="3">
                  <c:v>20</c:v>
                </c:pt>
                <c:pt idx="4">
                  <c:v>251168</c:v>
                </c:pt>
              </c:numCache>
            </c:numRef>
          </c:val>
          <c:extLst>
            <c:ext xmlns:c16="http://schemas.microsoft.com/office/drawing/2014/chart" uri="{C3380CC4-5D6E-409C-BE32-E72D297353CC}">
              <c16:uniqueId val="{00000003-4D24-48DB-ABD1-CAF92C6DEB74}"/>
            </c:ext>
          </c:extLst>
        </c:ser>
        <c:ser>
          <c:idx val="4"/>
          <c:order val="4"/>
          <c:tx>
            <c:strRef>
              <c:f>Sheet1!$F$1</c:f>
              <c:strCache>
                <c:ptCount val="1"/>
                <c:pt idx="0">
                  <c:v>Reclaimed asphalt</c:v>
                </c:pt>
              </c:strCache>
            </c:strRef>
          </c:tx>
          <c:spPr>
            <a:solidFill>
              <a:schemeClr val="accent5"/>
            </a:solidFill>
            <a:ln>
              <a:noFill/>
            </a:ln>
            <a:effectLst/>
          </c:spPr>
          <c:invertIfNegative val="0"/>
          <c:cat>
            <c:strRef>
              <c:f>Sheet1!$A$2:$A$9</c:f>
              <c:strCache>
                <c:ptCount val="8"/>
                <c:pt idx="0">
                  <c:v>Central West</c:v>
                </c:pt>
                <c:pt idx="1">
                  <c:v>Darling Downs</c:v>
                </c:pt>
                <c:pt idx="2">
                  <c:v>Mackay/Whitsunday</c:v>
                </c:pt>
                <c:pt idx="3">
                  <c:v>Metropolitan</c:v>
                </c:pt>
                <c:pt idx="4">
                  <c:v>North Coast</c:v>
                </c:pt>
                <c:pt idx="5">
                  <c:v>Northern</c:v>
                </c:pt>
                <c:pt idx="6">
                  <c:v>South Coast</c:v>
                </c:pt>
                <c:pt idx="7">
                  <c:v>Wide Bay Burnett</c:v>
                </c:pt>
              </c:strCache>
            </c:strRef>
          </c:cat>
          <c:val>
            <c:numRef>
              <c:f>Sheet1!$F$2:$F$9</c:f>
              <c:numCache>
                <c:formatCode>General</c:formatCode>
                <c:ptCount val="8"/>
                <c:pt idx="1">
                  <c:v>13288</c:v>
                </c:pt>
                <c:pt idx="2">
                  <c:v>1788</c:v>
                </c:pt>
                <c:pt idx="3">
                  <c:v>4371</c:v>
                </c:pt>
                <c:pt idx="4">
                  <c:v>15955</c:v>
                </c:pt>
                <c:pt idx="6">
                  <c:v>1432</c:v>
                </c:pt>
              </c:numCache>
            </c:numRef>
          </c:val>
          <c:extLst>
            <c:ext xmlns:c16="http://schemas.microsoft.com/office/drawing/2014/chart" uri="{C3380CC4-5D6E-409C-BE32-E72D297353CC}">
              <c16:uniqueId val="{00000004-4D24-48DB-ABD1-CAF92C6DEB74}"/>
            </c:ext>
          </c:extLst>
        </c:ser>
        <c:ser>
          <c:idx val="5"/>
          <c:order val="5"/>
          <c:tx>
            <c:strRef>
              <c:f>Sheet1!$G$1</c:f>
              <c:strCache>
                <c:ptCount val="1"/>
                <c:pt idx="0">
                  <c:v>Recovered pavement</c:v>
                </c:pt>
              </c:strCache>
            </c:strRef>
          </c:tx>
          <c:spPr>
            <a:solidFill>
              <a:schemeClr val="accent6"/>
            </a:solidFill>
            <a:ln>
              <a:noFill/>
            </a:ln>
            <a:effectLst/>
          </c:spPr>
          <c:invertIfNegative val="0"/>
          <c:cat>
            <c:strRef>
              <c:f>Sheet1!$A$2:$A$9</c:f>
              <c:strCache>
                <c:ptCount val="8"/>
                <c:pt idx="0">
                  <c:v>Central West</c:v>
                </c:pt>
                <c:pt idx="1">
                  <c:v>Darling Downs</c:v>
                </c:pt>
                <c:pt idx="2">
                  <c:v>Mackay/Whitsunday</c:v>
                </c:pt>
                <c:pt idx="3">
                  <c:v>Metropolitan</c:v>
                </c:pt>
                <c:pt idx="4">
                  <c:v>North Coast</c:v>
                </c:pt>
                <c:pt idx="5">
                  <c:v>Northern</c:v>
                </c:pt>
                <c:pt idx="6">
                  <c:v>South Coast</c:v>
                </c:pt>
                <c:pt idx="7">
                  <c:v>Wide Bay Burnett</c:v>
                </c:pt>
              </c:strCache>
            </c:strRef>
          </c:cat>
          <c:val>
            <c:numRef>
              <c:f>Sheet1!$G$2:$G$9</c:f>
              <c:numCache>
                <c:formatCode>General</c:formatCode>
                <c:ptCount val="8"/>
                <c:pt idx="0">
                  <c:v>35676</c:v>
                </c:pt>
                <c:pt idx="4">
                  <c:v>8820</c:v>
                </c:pt>
              </c:numCache>
            </c:numRef>
          </c:val>
          <c:extLst>
            <c:ext xmlns:c16="http://schemas.microsoft.com/office/drawing/2014/chart" uri="{C3380CC4-5D6E-409C-BE32-E72D297353CC}">
              <c16:uniqueId val="{00000005-4D24-48DB-ABD1-CAF92C6DEB74}"/>
            </c:ext>
          </c:extLst>
        </c:ser>
        <c:ser>
          <c:idx val="6"/>
          <c:order val="6"/>
          <c:tx>
            <c:strRef>
              <c:f>Sheet1!$H$1</c:f>
              <c:strCache>
                <c:ptCount val="1"/>
                <c:pt idx="0">
                  <c:v>Recycled vegetation</c:v>
                </c:pt>
              </c:strCache>
            </c:strRef>
          </c:tx>
          <c:spPr>
            <a:solidFill>
              <a:schemeClr val="accent1">
                <a:lumMod val="60000"/>
              </a:schemeClr>
            </a:solidFill>
            <a:ln>
              <a:noFill/>
            </a:ln>
            <a:effectLst/>
          </c:spPr>
          <c:invertIfNegative val="0"/>
          <c:cat>
            <c:strRef>
              <c:f>Sheet1!$A$2:$A$9</c:f>
              <c:strCache>
                <c:ptCount val="8"/>
                <c:pt idx="0">
                  <c:v>Central West</c:v>
                </c:pt>
                <c:pt idx="1">
                  <c:v>Darling Downs</c:v>
                </c:pt>
                <c:pt idx="2">
                  <c:v>Mackay/Whitsunday</c:v>
                </c:pt>
                <c:pt idx="3">
                  <c:v>Metropolitan</c:v>
                </c:pt>
                <c:pt idx="4">
                  <c:v>North Coast</c:v>
                </c:pt>
                <c:pt idx="5">
                  <c:v>Northern</c:v>
                </c:pt>
                <c:pt idx="6">
                  <c:v>South Coast</c:v>
                </c:pt>
                <c:pt idx="7">
                  <c:v>Wide Bay Burnett</c:v>
                </c:pt>
              </c:strCache>
            </c:strRef>
          </c:cat>
          <c:val>
            <c:numRef>
              <c:f>Sheet1!$H$2:$H$9</c:f>
              <c:numCache>
                <c:formatCode>General</c:formatCode>
                <c:ptCount val="8"/>
                <c:pt idx="4">
                  <c:v>34</c:v>
                </c:pt>
              </c:numCache>
            </c:numRef>
          </c:val>
          <c:extLst>
            <c:ext xmlns:c16="http://schemas.microsoft.com/office/drawing/2014/chart" uri="{C3380CC4-5D6E-409C-BE32-E72D297353CC}">
              <c16:uniqueId val="{00000006-4D24-48DB-ABD1-CAF92C6DEB74}"/>
            </c:ext>
          </c:extLst>
        </c:ser>
        <c:dLbls>
          <c:showLegendKey val="0"/>
          <c:showVal val="0"/>
          <c:showCatName val="0"/>
          <c:showSerName val="0"/>
          <c:showPercent val="0"/>
          <c:showBubbleSize val="0"/>
        </c:dLbls>
        <c:gapWidth val="219"/>
        <c:overlap val="100"/>
        <c:axId val="1095922863"/>
        <c:axId val="1095924303"/>
      </c:barChart>
      <c:catAx>
        <c:axId val="10959228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5924303"/>
        <c:crosses val="autoZero"/>
        <c:auto val="1"/>
        <c:lblAlgn val="ctr"/>
        <c:lblOffset val="100"/>
        <c:noMultiLvlLbl val="0"/>
      </c:catAx>
      <c:valAx>
        <c:axId val="109592430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Tonnes</a:t>
                </a:r>
                <a:r>
                  <a:rPr lang="en-AU" baseline="0"/>
                  <a:t> of material used</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5922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Sum of Generated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Contract Waste</c:v>
                </c:pt>
                <c:pt idx="1">
                  <c:v>RoadTek Waste</c:v>
                </c:pt>
                <c:pt idx="2">
                  <c:v>Litter and Illegally Dumped Waste</c:v>
                </c:pt>
                <c:pt idx="3">
                  <c:v>MSQ War on Wrecks</c:v>
                </c:pt>
                <c:pt idx="4">
                  <c:v>TMR Owned Facilities Waste</c:v>
                </c:pt>
                <c:pt idx="5">
                  <c:v>TMR Secure Waste</c:v>
                </c:pt>
              </c:strCache>
            </c:strRef>
          </c:cat>
          <c:val>
            <c:numRef>
              <c:f>Sheet1!$B$2:$B$7</c:f>
              <c:numCache>
                <c:formatCode>_-* #,##0_-;\-* #,##0_-;_-* "-"??_-;_-@_-</c:formatCode>
                <c:ptCount val="6"/>
                <c:pt idx="0">
                  <c:v>1338535</c:v>
                </c:pt>
                <c:pt idx="1">
                  <c:v>189855</c:v>
                </c:pt>
                <c:pt idx="2">
                  <c:v>3300</c:v>
                </c:pt>
                <c:pt idx="3">
                  <c:v>2072</c:v>
                </c:pt>
                <c:pt idx="4">
                  <c:v>1480</c:v>
                </c:pt>
                <c:pt idx="5">
                  <c:v>88</c:v>
                </c:pt>
              </c:numCache>
            </c:numRef>
          </c:val>
          <c:extLst>
            <c:ext xmlns:c16="http://schemas.microsoft.com/office/drawing/2014/chart" uri="{C3380CC4-5D6E-409C-BE32-E72D297353CC}">
              <c16:uniqueId val="{00000000-E9DC-46B0-96D0-ADDBF99FBB3A}"/>
            </c:ext>
          </c:extLst>
        </c:ser>
        <c:dLbls>
          <c:showLegendKey val="0"/>
          <c:showVal val="0"/>
          <c:showCatName val="0"/>
          <c:showSerName val="0"/>
          <c:showPercent val="0"/>
          <c:showBubbleSize val="0"/>
        </c:dLbls>
        <c:gapWidth val="182"/>
        <c:axId val="1382727872"/>
        <c:axId val="1382731712"/>
      </c:barChart>
      <c:catAx>
        <c:axId val="1382727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2731712"/>
        <c:crosses val="autoZero"/>
        <c:auto val="1"/>
        <c:lblAlgn val="ctr"/>
        <c:lblOffset val="100"/>
        <c:noMultiLvlLbl val="0"/>
      </c:catAx>
      <c:valAx>
        <c:axId val="13827317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Generated</a:t>
                </a:r>
                <a:r>
                  <a:rPr lang="en-AU" baseline="0"/>
                  <a:t> (tonnes)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2727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Count of Contract ID</c:v>
                </c:pt>
              </c:strCache>
            </c:strRef>
          </c:tx>
          <c:spPr>
            <a:ln w="28575" cap="rnd">
              <a:solidFill>
                <a:schemeClr val="accent1"/>
              </a:solidFill>
              <a:round/>
            </a:ln>
            <a:effectLst/>
          </c:spPr>
          <c:marker>
            <c:symbol val="none"/>
          </c:marker>
          <c:cat>
            <c:strRef>
              <c:f>Sheet1!$A$2:$A$8</c:f>
              <c:strCache>
                <c:ptCount val="7"/>
                <c:pt idx="0">
                  <c:v>2018-19</c:v>
                </c:pt>
                <c:pt idx="1">
                  <c:v>2019-20</c:v>
                </c:pt>
                <c:pt idx="2">
                  <c:v>2020-21</c:v>
                </c:pt>
                <c:pt idx="3">
                  <c:v>2021-22</c:v>
                </c:pt>
                <c:pt idx="4">
                  <c:v>2022-23</c:v>
                </c:pt>
                <c:pt idx="5">
                  <c:v>2023-24</c:v>
                </c:pt>
                <c:pt idx="6">
                  <c:v>2024-25</c:v>
                </c:pt>
              </c:strCache>
            </c:strRef>
          </c:cat>
          <c:val>
            <c:numRef>
              <c:f>Sheet1!$B$2:$B$8</c:f>
              <c:numCache>
                <c:formatCode>General</c:formatCode>
                <c:ptCount val="7"/>
                <c:pt idx="0">
                  <c:v>12</c:v>
                </c:pt>
                <c:pt idx="1">
                  <c:v>33</c:v>
                </c:pt>
                <c:pt idx="2">
                  <c:v>34</c:v>
                </c:pt>
                <c:pt idx="3">
                  <c:v>15</c:v>
                </c:pt>
                <c:pt idx="4">
                  <c:v>44</c:v>
                </c:pt>
                <c:pt idx="5">
                  <c:v>46</c:v>
                </c:pt>
                <c:pt idx="6">
                  <c:v>93</c:v>
                </c:pt>
              </c:numCache>
            </c:numRef>
          </c:val>
          <c:smooth val="0"/>
          <c:extLst>
            <c:ext xmlns:c16="http://schemas.microsoft.com/office/drawing/2014/chart" uri="{C3380CC4-5D6E-409C-BE32-E72D297353CC}">
              <c16:uniqueId val="{00000000-A93B-4C69-B92D-69C8448DE3D6}"/>
            </c:ext>
          </c:extLst>
        </c:ser>
        <c:dLbls>
          <c:showLegendKey val="0"/>
          <c:showVal val="0"/>
          <c:showCatName val="0"/>
          <c:showSerName val="0"/>
          <c:showPercent val="0"/>
          <c:showBubbleSize val="0"/>
        </c:dLbls>
        <c:smooth val="0"/>
        <c:axId val="1561051423"/>
        <c:axId val="1561070143"/>
      </c:lineChart>
      <c:catAx>
        <c:axId val="15610514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Reporting</a:t>
                </a:r>
                <a:r>
                  <a:rPr lang="en-AU" baseline="0"/>
                  <a:t> year</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1070143"/>
        <c:crosses val="autoZero"/>
        <c:auto val="1"/>
        <c:lblAlgn val="ctr"/>
        <c:lblOffset val="100"/>
        <c:noMultiLvlLbl val="0"/>
      </c:catAx>
      <c:valAx>
        <c:axId val="15610701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10514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No data</c:v>
                </c:pt>
              </c:strCache>
            </c:strRef>
          </c:tx>
          <c:spPr>
            <a:solidFill>
              <a:schemeClr val="accent1"/>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Sheet1!$B$2:$B$6</c:f>
              <c:numCache>
                <c:formatCode>General</c:formatCode>
                <c:ptCount val="5"/>
                <c:pt idx="0">
                  <c:v>2</c:v>
                </c:pt>
                <c:pt idx="1">
                  <c:v>8</c:v>
                </c:pt>
                <c:pt idx="2">
                  <c:v>14</c:v>
                </c:pt>
                <c:pt idx="3">
                  <c:v>34</c:v>
                </c:pt>
                <c:pt idx="4">
                  <c:v>87</c:v>
                </c:pt>
              </c:numCache>
            </c:numRef>
          </c:val>
          <c:extLst>
            <c:ext xmlns:c16="http://schemas.microsoft.com/office/drawing/2014/chart" uri="{C3380CC4-5D6E-409C-BE32-E72D297353CC}">
              <c16:uniqueId val="{00000000-A364-41C3-99E4-4AD51CCF714E}"/>
            </c:ext>
          </c:extLst>
        </c:ser>
        <c:ser>
          <c:idx val="1"/>
          <c:order val="1"/>
          <c:tx>
            <c:strRef>
              <c:f>Sheet1!$C$1</c:f>
              <c:strCache>
                <c:ptCount val="1"/>
                <c:pt idx="0">
                  <c:v>Submitted</c:v>
                </c:pt>
              </c:strCache>
            </c:strRef>
          </c:tx>
          <c:spPr>
            <a:solidFill>
              <a:schemeClr val="accent2"/>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Sheet1!$C$2:$C$6</c:f>
              <c:numCache>
                <c:formatCode>General</c:formatCode>
                <c:ptCount val="5"/>
                <c:pt idx="0">
                  <c:v>4</c:v>
                </c:pt>
                <c:pt idx="1">
                  <c:v>24</c:v>
                </c:pt>
                <c:pt idx="2">
                  <c:v>31</c:v>
                </c:pt>
                <c:pt idx="3">
                  <c:v>47</c:v>
                </c:pt>
                <c:pt idx="4">
                  <c:v>61</c:v>
                </c:pt>
              </c:numCache>
            </c:numRef>
          </c:val>
          <c:extLst>
            <c:ext xmlns:c16="http://schemas.microsoft.com/office/drawing/2014/chart" uri="{C3380CC4-5D6E-409C-BE32-E72D297353CC}">
              <c16:uniqueId val="{00000001-A364-41C3-99E4-4AD51CCF714E}"/>
            </c:ext>
          </c:extLst>
        </c:ser>
        <c:dLbls>
          <c:showLegendKey val="0"/>
          <c:showVal val="0"/>
          <c:showCatName val="0"/>
          <c:showSerName val="0"/>
          <c:showPercent val="0"/>
          <c:showBubbleSize val="0"/>
        </c:dLbls>
        <c:gapWidth val="150"/>
        <c:overlap val="100"/>
        <c:axId val="1945296320"/>
        <c:axId val="1945294880"/>
      </c:barChart>
      <c:catAx>
        <c:axId val="1945296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Financial year practical completion reached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5294880"/>
        <c:crosses val="autoZero"/>
        <c:auto val="1"/>
        <c:lblAlgn val="ctr"/>
        <c:lblOffset val="100"/>
        <c:noMultiLvlLbl val="0"/>
      </c:catAx>
      <c:valAx>
        <c:axId val="1945294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5296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Diverted</c:v>
                </c:pt>
              </c:strCache>
            </c:strRef>
          </c:tx>
          <c:spPr>
            <a:solidFill>
              <a:schemeClr val="accent1"/>
            </a:solidFill>
            <a:ln>
              <a:noFill/>
            </a:ln>
            <a:effectLst/>
          </c:spPr>
          <c:invertIfNegative val="0"/>
          <c:cat>
            <c:strRef>
              <c:f>Sheet1!$A$2:$A$9</c:f>
              <c:strCache>
                <c:ptCount val="8"/>
                <c:pt idx="0">
                  <c:v>2017-18</c:v>
                </c:pt>
                <c:pt idx="1">
                  <c:v>2018-19</c:v>
                </c:pt>
                <c:pt idx="2">
                  <c:v>2019-20</c:v>
                </c:pt>
                <c:pt idx="3">
                  <c:v>2020-21</c:v>
                </c:pt>
                <c:pt idx="4">
                  <c:v>2021-22</c:v>
                </c:pt>
                <c:pt idx="5">
                  <c:v>2022-23</c:v>
                </c:pt>
                <c:pt idx="6">
                  <c:v>2023-24</c:v>
                </c:pt>
                <c:pt idx="7">
                  <c:v>2024-25</c:v>
                </c:pt>
              </c:strCache>
            </c:strRef>
          </c:cat>
          <c:val>
            <c:numRef>
              <c:f>Sheet1!$B$2:$B$9</c:f>
              <c:numCache>
                <c:formatCode>General</c:formatCode>
                <c:ptCount val="8"/>
                <c:pt idx="0">
                  <c:v>2768</c:v>
                </c:pt>
                <c:pt idx="1">
                  <c:v>2161</c:v>
                </c:pt>
                <c:pt idx="2">
                  <c:v>607</c:v>
                </c:pt>
                <c:pt idx="3">
                  <c:v>743</c:v>
                </c:pt>
                <c:pt idx="4">
                  <c:v>585</c:v>
                </c:pt>
                <c:pt idx="5">
                  <c:v>354</c:v>
                </c:pt>
                <c:pt idx="6">
                  <c:v>154</c:v>
                </c:pt>
                <c:pt idx="7">
                  <c:v>197</c:v>
                </c:pt>
              </c:numCache>
            </c:numRef>
          </c:val>
          <c:extLst>
            <c:ext xmlns:c16="http://schemas.microsoft.com/office/drawing/2014/chart" uri="{C3380CC4-5D6E-409C-BE32-E72D297353CC}">
              <c16:uniqueId val="{00000000-4C72-4447-9F58-A65E48C8C65D}"/>
            </c:ext>
          </c:extLst>
        </c:ser>
        <c:ser>
          <c:idx val="1"/>
          <c:order val="1"/>
          <c:tx>
            <c:strRef>
              <c:f>Sheet1!$C$1</c:f>
              <c:strCache>
                <c:ptCount val="1"/>
                <c:pt idx="0">
                  <c:v>Landfilled</c:v>
                </c:pt>
              </c:strCache>
            </c:strRef>
          </c:tx>
          <c:spPr>
            <a:solidFill>
              <a:schemeClr val="accent2"/>
            </a:solidFill>
            <a:ln>
              <a:noFill/>
            </a:ln>
            <a:effectLst/>
          </c:spPr>
          <c:invertIfNegative val="0"/>
          <c:cat>
            <c:strRef>
              <c:f>Sheet1!$A$2:$A$9</c:f>
              <c:strCache>
                <c:ptCount val="8"/>
                <c:pt idx="0">
                  <c:v>2017-18</c:v>
                </c:pt>
                <c:pt idx="1">
                  <c:v>2018-19</c:v>
                </c:pt>
                <c:pt idx="2">
                  <c:v>2019-20</c:v>
                </c:pt>
                <c:pt idx="3">
                  <c:v>2020-21</c:v>
                </c:pt>
                <c:pt idx="4">
                  <c:v>2021-22</c:v>
                </c:pt>
                <c:pt idx="5">
                  <c:v>2022-23</c:v>
                </c:pt>
                <c:pt idx="6">
                  <c:v>2023-24</c:v>
                </c:pt>
                <c:pt idx="7">
                  <c:v>2024-25</c:v>
                </c:pt>
              </c:strCache>
            </c:strRef>
          </c:cat>
          <c:val>
            <c:numRef>
              <c:f>Sheet1!$C$2:$C$9</c:f>
              <c:numCache>
                <c:formatCode>General</c:formatCode>
                <c:ptCount val="8"/>
                <c:pt idx="0">
                  <c:v>1353</c:v>
                </c:pt>
                <c:pt idx="1">
                  <c:v>1428</c:v>
                </c:pt>
                <c:pt idx="2">
                  <c:v>873</c:v>
                </c:pt>
                <c:pt idx="3">
                  <c:v>1596</c:v>
                </c:pt>
                <c:pt idx="4">
                  <c:v>521</c:v>
                </c:pt>
                <c:pt idx="5">
                  <c:v>426</c:v>
                </c:pt>
                <c:pt idx="6">
                  <c:v>239</c:v>
                </c:pt>
                <c:pt idx="7">
                  <c:v>1371</c:v>
                </c:pt>
              </c:numCache>
            </c:numRef>
          </c:val>
          <c:extLst>
            <c:ext xmlns:c16="http://schemas.microsoft.com/office/drawing/2014/chart" uri="{C3380CC4-5D6E-409C-BE32-E72D297353CC}">
              <c16:uniqueId val="{00000001-4C72-4447-9F58-A65E48C8C65D}"/>
            </c:ext>
          </c:extLst>
        </c:ser>
        <c:dLbls>
          <c:showLegendKey val="0"/>
          <c:showVal val="0"/>
          <c:showCatName val="0"/>
          <c:showSerName val="0"/>
          <c:showPercent val="0"/>
          <c:showBubbleSize val="0"/>
        </c:dLbls>
        <c:gapWidth val="150"/>
        <c:overlap val="100"/>
        <c:axId val="1943397728"/>
        <c:axId val="1943398208"/>
      </c:barChart>
      <c:catAx>
        <c:axId val="1943397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Reporting</a:t>
                </a:r>
                <a:r>
                  <a:rPr lang="en-AU" baseline="0"/>
                  <a:t> year</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3398208"/>
        <c:crosses val="autoZero"/>
        <c:auto val="1"/>
        <c:lblAlgn val="ctr"/>
        <c:lblOffset val="100"/>
        <c:noMultiLvlLbl val="0"/>
      </c:catAx>
      <c:valAx>
        <c:axId val="1943398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Tonnes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3397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Diversion Target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Sheet1!$A$2:$A$16</c:f>
              <c:strCache>
                <c:ptCount val="15"/>
                <c:pt idx="0">
                  <c:v>2017-18</c:v>
                </c:pt>
                <c:pt idx="1">
                  <c:v>2018-19</c:v>
                </c:pt>
                <c:pt idx="2">
                  <c:v>2019-20</c:v>
                </c:pt>
                <c:pt idx="3">
                  <c:v>2020-21</c:v>
                </c:pt>
                <c:pt idx="4">
                  <c:v>2021-22</c:v>
                </c:pt>
                <c:pt idx="5">
                  <c:v>2022-23</c:v>
                </c:pt>
                <c:pt idx="6">
                  <c:v>2023-24</c:v>
                </c:pt>
                <c:pt idx="7">
                  <c:v>2024-25</c:v>
                </c:pt>
                <c:pt idx="8">
                  <c:v>2025-26</c:v>
                </c:pt>
                <c:pt idx="9">
                  <c:v>2026-27</c:v>
                </c:pt>
                <c:pt idx="10">
                  <c:v>2027-28</c:v>
                </c:pt>
                <c:pt idx="11">
                  <c:v>2028-29</c:v>
                </c:pt>
                <c:pt idx="12">
                  <c:v>2029-30</c:v>
                </c:pt>
                <c:pt idx="13">
                  <c:v>2039-40</c:v>
                </c:pt>
                <c:pt idx="14">
                  <c:v>2049-50</c:v>
                </c:pt>
              </c:strCache>
            </c:strRef>
          </c:cat>
          <c:val>
            <c:numRef>
              <c:f>Sheet1!$B$2:$B$16</c:f>
              <c:numCache>
                <c:formatCode>0%</c:formatCode>
                <c:ptCount val="15"/>
                <c:pt idx="0">
                  <c:v>0.50900000000000001</c:v>
                </c:pt>
                <c:pt idx="1">
                  <c:v>0.54339999999999999</c:v>
                </c:pt>
                <c:pt idx="2">
                  <c:v>0.57789999999999997</c:v>
                </c:pt>
                <c:pt idx="3">
                  <c:v>0.61229999999999996</c:v>
                </c:pt>
                <c:pt idx="4">
                  <c:v>0.64670000000000005</c:v>
                </c:pt>
                <c:pt idx="5">
                  <c:v>0.68110000000000004</c:v>
                </c:pt>
                <c:pt idx="6">
                  <c:v>0.71560000000000001</c:v>
                </c:pt>
                <c:pt idx="7">
                  <c:v>0.75</c:v>
                </c:pt>
                <c:pt idx="8">
                  <c:v>0.77</c:v>
                </c:pt>
                <c:pt idx="9">
                  <c:v>0.79</c:v>
                </c:pt>
                <c:pt idx="10">
                  <c:v>0.81</c:v>
                </c:pt>
                <c:pt idx="11">
                  <c:v>0.83</c:v>
                </c:pt>
                <c:pt idx="12">
                  <c:v>0.85</c:v>
                </c:pt>
                <c:pt idx="13">
                  <c:v>0.85</c:v>
                </c:pt>
                <c:pt idx="14">
                  <c:v>0.85</c:v>
                </c:pt>
              </c:numCache>
            </c:numRef>
          </c:val>
          <c:smooth val="0"/>
          <c:extLst>
            <c:ext xmlns:c16="http://schemas.microsoft.com/office/drawing/2014/chart" uri="{C3380CC4-5D6E-409C-BE32-E72D297353CC}">
              <c16:uniqueId val="{00000000-4411-4B93-8574-93EAED2A7850}"/>
            </c:ext>
          </c:extLst>
        </c:ser>
        <c:dLbls>
          <c:showLegendKey val="0"/>
          <c:showVal val="1"/>
          <c:showCatName val="0"/>
          <c:showSerName val="0"/>
          <c:showPercent val="0"/>
          <c:showBubbleSize val="0"/>
        </c:dLbls>
        <c:marker val="1"/>
        <c:smooth val="0"/>
        <c:axId val="103388016"/>
        <c:axId val="103387056"/>
      </c:lineChart>
      <c:catAx>
        <c:axId val="103388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Reporting</a:t>
                </a:r>
                <a:r>
                  <a:rPr lang="en-AU" baseline="0"/>
                  <a:t> year</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387056"/>
        <c:crosses val="autoZero"/>
        <c:auto val="1"/>
        <c:lblAlgn val="ctr"/>
        <c:lblOffset val="100"/>
        <c:noMultiLvlLbl val="0"/>
      </c:catAx>
      <c:valAx>
        <c:axId val="103387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388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Diversion Rate</c:v>
                </c:pt>
              </c:strCache>
            </c:strRef>
          </c:tx>
          <c:spPr>
            <a:ln w="28575" cap="rnd">
              <a:solidFill>
                <a:schemeClr val="accent1"/>
              </a:solidFill>
              <a:round/>
            </a:ln>
            <a:effectLst/>
          </c:spPr>
          <c:marker>
            <c:symbol val="none"/>
          </c:marker>
          <c:cat>
            <c:strRef>
              <c:f>Sheet1!$A$2:$A$6</c:f>
              <c:strCache>
                <c:ptCount val="5"/>
                <c:pt idx="0">
                  <c:v>2020-21</c:v>
                </c:pt>
                <c:pt idx="1">
                  <c:v>2021-22</c:v>
                </c:pt>
                <c:pt idx="2">
                  <c:v>2022-23</c:v>
                </c:pt>
                <c:pt idx="3">
                  <c:v>2023-24</c:v>
                </c:pt>
                <c:pt idx="4">
                  <c:v>2024-25</c:v>
                </c:pt>
              </c:strCache>
            </c:strRef>
          </c:cat>
          <c:val>
            <c:numRef>
              <c:f>Sheet1!$B$2:$B$6</c:f>
              <c:numCache>
                <c:formatCode>0%</c:formatCode>
                <c:ptCount val="5"/>
                <c:pt idx="0">
                  <c:v>0.88</c:v>
                </c:pt>
                <c:pt idx="1">
                  <c:v>0.91</c:v>
                </c:pt>
                <c:pt idx="2">
                  <c:v>0.86</c:v>
                </c:pt>
                <c:pt idx="3">
                  <c:v>0.87</c:v>
                </c:pt>
                <c:pt idx="4">
                  <c:v>0.8</c:v>
                </c:pt>
              </c:numCache>
            </c:numRef>
          </c:val>
          <c:smooth val="0"/>
          <c:extLst>
            <c:ext xmlns:c16="http://schemas.microsoft.com/office/drawing/2014/chart" uri="{C3380CC4-5D6E-409C-BE32-E72D297353CC}">
              <c16:uniqueId val="{00000000-D0D4-4D2B-87E7-04747F66E638}"/>
            </c:ext>
          </c:extLst>
        </c:ser>
        <c:ser>
          <c:idx val="1"/>
          <c:order val="1"/>
          <c:tx>
            <c:strRef>
              <c:f>Sheet1!$C$1</c:f>
              <c:strCache>
                <c:ptCount val="1"/>
                <c:pt idx="0">
                  <c:v>Diversion Target</c:v>
                </c:pt>
              </c:strCache>
            </c:strRef>
          </c:tx>
          <c:spPr>
            <a:ln w="28575" cap="rnd">
              <a:solidFill>
                <a:schemeClr val="accent2"/>
              </a:solidFill>
              <a:round/>
            </a:ln>
            <a:effectLst/>
          </c:spPr>
          <c:marker>
            <c:symbol val="none"/>
          </c:marker>
          <c:cat>
            <c:strRef>
              <c:f>Sheet1!$A$2:$A$6</c:f>
              <c:strCache>
                <c:ptCount val="5"/>
                <c:pt idx="0">
                  <c:v>2020-21</c:v>
                </c:pt>
                <c:pt idx="1">
                  <c:v>2021-22</c:v>
                </c:pt>
                <c:pt idx="2">
                  <c:v>2022-23</c:v>
                </c:pt>
                <c:pt idx="3">
                  <c:v>2023-24</c:v>
                </c:pt>
                <c:pt idx="4">
                  <c:v>2024-25</c:v>
                </c:pt>
              </c:strCache>
            </c:strRef>
          </c:cat>
          <c:val>
            <c:numRef>
              <c:f>Sheet1!$C$2:$C$6</c:f>
              <c:numCache>
                <c:formatCode>0%</c:formatCode>
                <c:ptCount val="5"/>
                <c:pt idx="0">
                  <c:v>0.61229999999999996</c:v>
                </c:pt>
                <c:pt idx="1">
                  <c:v>0.64670000000000005</c:v>
                </c:pt>
                <c:pt idx="2">
                  <c:v>0.68110000000000004</c:v>
                </c:pt>
                <c:pt idx="3">
                  <c:v>0.71560000000000001</c:v>
                </c:pt>
                <c:pt idx="4">
                  <c:v>0.75</c:v>
                </c:pt>
              </c:numCache>
            </c:numRef>
          </c:val>
          <c:smooth val="0"/>
          <c:extLst>
            <c:ext xmlns:c16="http://schemas.microsoft.com/office/drawing/2014/chart" uri="{C3380CC4-5D6E-409C-BE32-E72D297353CC}">
              <c16:uniqueId val="{00000001-D0D4-4D2B-87E7-04747F66E638}"/>
            </c:ext>
          </c:extLst>
        </c:ser>
        <c:dLbls>
          <c:showLegendKey val="0"/>
          <c:showVal val="0"/>
          <c:showCatName val="0"/>
          <c:showSerName val="0"/>
          <c:showPercent val="0"/>
          <c:showBubbleSize val="0"/>
        </c:dLbls>
        <c:smooth val="0"/>
        <c:axId val="143504896"/>
        <c:axId val="143505376"/>
      </c:lineChart>
      <c:catAx>
        <c:axId val="143504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Reporting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505376"/>
        <c:crosses val="autoZero"/>
        <c:auto val="1"/>
        <c:lblAlgn val="ctr"/>
        <c:lblOffset val="100"/>
        <c:noMultiLvlLbl val="0"/>
      </c:catAx>
      <c:valAx>
        <c:axId val="143505376"/>
        <c:scaling>
          <c:orientation val="minMax"/>
          <c:min val="0.600000000000000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504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Diverted</c:v>
                </c:pt>
              </c:strCache>
            </c:strRef>
          </c:tx>
          <c:spPr>
            <a:solidFill>
              <a:schemeClr val="accent1"/>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Sheet1!$B$2:$B$6</c:f>
              <c:numCache>
                <c:formatCode>_-* #,##0_-;\-* #,##0_-;_-* "-"??_-;_-@_-</c:formatCode>
                <c:ptCount val="5"/>
                <c:pt idx="0">
                  <c:v>1008401</c:v>
                </c:pt>
                <c:pt idx="1">
                  <c:v>589617</c:v>
                </c:pt>
                <c:pt idx="2">
                  <c:v>1365894</c:v>
                </c:pt>
                <c:pt idx="3">
                  <c:v>1238432</c:v>
                </c:pt>
                <c:pt idx="4">
                  <c:v>1226112</c:v>
                </c:pt>
              </c:numCache>
            </c:numRef>
          </c:val>
          <c:extLst>
            <c:ext xmlns:c16="http://schemas.microsoft.com/office/drawing/2014/chart" uri="{C3380CC4-5D6E-409C-BE32-E72D297353CC}">
              <c16:uniqueId val="{00000000-4B9B-44B4-9149-5D0921E491E4}"/>
            </c:ext>
          </c:extLst>
        </c:ser>
        <c:ser>
          <c:idx val="1"/>
          <c:order val="1"/>
          <c:tx>
            <c:strRef>
              <c:f>Sheet1!$C$1</c:f>
              <c:strCache>
                <c:ptCount val="1"/>
                <c:pt idx="0">
                  <c:v>Landfilled</c:v>
                </c:pt>
              </c:strCache>
            </c:strRef>
          </c:tx>
          <c:spPr>
            <a:solidFill>
              <a:schemeClr val="accent2"/>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Sheet1!$C$2:$C$6</c:f>
              <c:numCache>
                <c:formatCode>_-* #,##0_-;\-* #,##0_-;_-* "-"??_-;_-@_-</c:formatCode>
                <c:ptCount val="5"/>
                <c:pt idx="0">
                  <c:v>133201</c:v>
                </c:pt>
                <c:pt idx="1">
                  <c:v>60476</c:v>
                </c:pt>
                <c:pt idx="2">
                  <c:v>230555</c:v>
                </c:pt>
                <c:pt idx="3">
                  <c:v>191216</c:v>
                </c:pt>
                <c:pt idx="4">
                  <c:v>309215</c:v>
                </c:pt>
              </c:numCache>
            </c:numRef>
          </c:val>
          <c:extLst>
            <c:ext xmlns:c16="http://schemas.microsoft.com/office/drawing/2014/chart" uri="{C3380CC4-5D6E-409C-BE32-E72D297353CC}">
              <c16:uniqueId val="{00000001-4B9B-44B4-9149-5D0921E491E4}"/>
            </c:ext>
          </c:extLst>
        </c:ser>
        <c:dLbls>
          <c:showLegendKey val="0"/>
          <c:showVal val="0"/>
          <c:showCatName val="0"/>
          <c:showSerName val="0"/>
          <c:showPercent val="0"/>
          <c:showBubbleSize val="0"/>
        </c:dLbls>
        <c:gapWidth val="150"/>
        <c:overlap val="100"/>
        <c:axId val="1075324655"/>
        <c:axId val="1075322735"/>
      </c:barChart>
      <c:lineChart>
        <c:grouping val="standard"/>
        <c:varyColors val="0"/>
        <c:ser>
          <c:idx val="2"/>
          <c:order val="2"/>
          <c:tx>
            <c:strRef>
              <c:f>Sheet1!$D$1</c:f>
              <c:strCache>
                <c:ptCount val="1"/>
                <c:pt idx="0">
                  <c:v>Diversion Rate</c:v>
                </c:pt>
              </c:strCache>
            </c:strRef>
          </c:tx>
          <c:spPr>
            <a:ln w="28575" cap="rnd">
              <a:solidFill>
                <a:schemeClr val="accent3"/>
              </a:solidFill>
              <a:round/>
            </a:ln>
            <a:effectLst/>
          </c:spPr>
          <c:marker>
            <c:symbol val="none"/>
          </c:marker>
          <c:cat>
            <c:strRef>
              <c:f>Sheet1!$A$2:$A$6</c:f>
              <c:strCache>
                <c:ptCount val="5"/>
                <c:pt idx="0">
                  <c:v>2020-21</c:v>
                </c:pt>
                <c:pt idx="1">
                  <c:v>2021-22</c:v>
                </c:pt>
                <c:pt idx="2">
                  <c:v>2022-23</c:v>
                </c:pt>
                <c:pt idx="3">
                  <c:v>2023-24</c:v>
                </c:pt>
                <c:pt idx="4">
                  <c:v>2024-25</c:v>
                </c:pt>
              </c:strCache>
            </c:strRef>
          </c:cat>
          <c:val>
            <c:numRef>
              <c:f>Sheet1!$D$2:$D$6</c:f>
              <c:numCache>
                <c:formatCode>0%</c:formatCode>
                <c:ptCount val="5"/>
                <c:pt idx="0">
                  <c:v>0.88</c:v>
                </c:pt>
                <c:pt idx="1">
                  <c:v>0.91</c:v>
                </c:pt>
                <c:pt idx="2">
                  <c:v>0.86</c:v>
                </c:pt>
                <c:pt idx="3">
                  <c:v>0.87</c:v>
                </c:pt>
                <c:pt idx="4">
                  <c:v>0.8</c:v>
                </c:pt>
              </c:numCache>
            </c:numRef>
          </c:val>
          <c:smooth val="0"/>
          <c:extLst>
            <c:ext xmlns:c16="http://schemas.microsoft.com/office/drawing/2014/chart" uri="{C3380CC4-5D6E-409C-BE32-E72D297353CC}">
              <c16:uniqueId val="{00000002-4B9B-44B4-9149-5D0921E491E4}"/>
            </c:ext>
          </c:extLst>
        </c:ser>
        <c:dLbls>
          <c:showLegendKey val="0"/>
          <c:showVal val="0"/>
          <c:showCatName val="0"/>
          <c:showSerName val="0"/>
          <c:showPercent val="0"/>
          <c:showBubbleSize val="0"/>
        </c:dLbls>
        <c:marker val="1"/>
        <c:smooth val="0"/>
        <c:axId val="1822805760"/>
        <c:axId val="1822807680"/>
      </c:lineChart>
      <c:catAx>
        <c:axId val="107532465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Reporting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5322735"/>
        <c:crosses val="autoZero"/>
        <c:auto val="1"/>
        <c:lblAlgn val="ctr"/>
        <c:lblOffset val="100"/>
        <c:noMultiLvlLbl val="0"/>
      </c:catAx>
      <c:valAx>
        <c:axId val="10753227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Tonnes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5324655"/>
        <c:crosses val="autoZero"/>
        <c:crossBetween val="between"/>
      </c:valAx>
      <c:valAx>
        <c:axId val="182280768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2805760"/>
        <c:crosses val="max"/>
        <c:crossBetween val="between"/>
      </c:valAx>
      <c:catAx>
        <c:axId val="1822805760"/>
        <c:scaling>
          <c:orientation val="minMax"/>
        </c:scaling>
        <c:delete val="1"/>
        <c:axPos val="b"/>
        <c:numFmt formatCode="General" sourceLinked="1"/>
        <c:majorTickMark val="out"/>
        <c:minorTickMark val="none"/>
        <c:tickLblPos val="nextTo"/>
        <c:crossAx val="18228076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Generated</c:v>
                </c:pt>
              </c:strCache>
            </c:strRef>
          </c:tx>
          <c:spPr>
            <a:solidFill>
              <a:schemeClr val="accent1"/>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Sheet1!$B$2:$B$6</c:f>
              <c:numCache>
                <c:formatCode>_-* #,##0_-;\-* #,##0_-;_-* "-"??_-;_-@_-</c:formatCode>
                <c:ptCount val="5"/>
                <c:pt idx="0">
                  <c:v>2387</c:v>
                </c:pt>
                <c:pt idx="1">
                  <c:v>2702</c:v>
                </c:pt>
                <c:pt idx="2">
                  <c:v>2235</c:v>
                </c:pt>
                <c:pt idx="3">
                  <c:v>3705</c:v>
                </c:pt>
                <c:pt idx="4">
                  <c:v>5372</c:v>
                </c:pt>
              </c:numCache>
            </c:numRef>
          </c:val>
          <c:extLst>
            <c:ext xmlns:c16="http://schemas.microsoft.com/office/drawing/2014/chart" uri="{C3380CC4-5D6E-409C-BE32-E72D297353CC}">
              <c16:uniqueId val="{00000000-319B-4E22-BF6C-88F64BAB8F45}"/>
            </c:ext>
          </c:extLst>
        </c:ser>
        <c:dLbls>
          <c:showLegendKey val="0"/>
          <c:showVal val="0"/>
          <c:showCatName val="0"/>
          <c:showSerName val="0"/>
          <c:showPercent val="0"/>
          <c:showBubbleSize val="0"/>
        </c:dLbls>
        <c:gapWidth val="219"/>
        <c:overlap val="-27"/>
        <c:axId val="103226624"/>
        <c:axId val="103229024"/>
      </c:barChart>
      <c:catAx>
        <c:axId val="10322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Reporting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229024"/>
        <c:crosses val="autoZero"/>
        <c:auto val="1"/>
        <c:lblAlgn val="ctr"/>
        <c:lblOffset val="100"/>
        <c:noMultiLvlLbl val="0"/>
      </c:catAx>
      <c:valAx>
        <c:axId val="103229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Generated</a:t>
                </a:r>
                <a:r>
                  <a:rPr lang="en-AU" baseline="0"/>
                  <a:t> (tonnes)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226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Generated</c:v>
                </c:pt>
              </c:strCache>
            </c:strRef>
          </c:tx>
          <c:spPr>
            <a:solidFill>
              <a:schemeClr val="accent1"/>
            </a:solidFill>
            <a:ln>
              <a:noFill/>
            </a:ln>
            <a:effectLst/>
          </c:spPr>
          <c:invertIfNegative val="0"/>
          <c:cat>
            <c:strRef>
              <c:f>Sheet1!$A$2:$A$6</c:f>
              <c:strCache>
                <c:ptCount val="5"/>
                <c:pt idx="0">
                  <c:v>Excess earthworks</c:v>
                </c:pt>
                <c:pt idx="1">
                  <c:v>Reg. waste cat 2</c:v>
                </c:pt>
                <c:pt idx="2">
                  <c:v>Asphalt</c:v>
                </c:pt>
                <c:pt idx="3">
                  <c:v>Other pavement</c:v>
                </c:pt>
                <c:pt idx="4">
                  <c:v>Concrete</c:v>
                </c:pt>
              </c:strCache>
            </c:strRef>
          </c:cat>
          <c:val>
            <c:numRef>
              <c:f>Sheet1!$B$2:$B$6</c:f>
              <c:numCache>
                <c:formatCode>_-* #,##0_-;\-* #,##0_-;_-* "-"??_-;_-@_-</c:formatCode>
                <c:ptCount val="5"/>
                <c:pt idx="0">
                  <c:v>956761</c:v>
                </c:pt>
                <c:pt idx="1">
                  <c:v>137737</c:v>
                </c:pt>
                <c:pt idx="2">
                  <c:v>159057</c:v>
                </c:pt>
                <c:pt idx="3">
                  <c:v>98632</c:v>
                </c:pt>
                <c:pt idx="4">
                  <c:v>82977</c:v>
                </c:pt>
              </c:numCache>
            </c:numRef>
          </c:val>
          <c:extLst>
            <c:ext xmlns:c16="http://schemas.microsoft.com/office/drawing/2014/chart" uri="{C3380CC4-5D6E-409C-BE32-E72D297353CC}">
              <c16:uniqueId val="{00000000-5E48-4316-A2A4-37F3FAC2EA3A}"/>
            </c:ext>
          </c:extLst>
        </c:ser>
        <c:dLbls>
          <c:showLegendKey val="0"/>
          <c:showVal val="0"/>
          <c:showCatName val="0"/>
          <c:showSerName val="0"/>
          <c:showPercent val="0"/>
          <c:showBubbleSize val="0"/>
        </c:dLbls>
        <c:gapWidth val="150"/>
        <c:overlap val="100"/>
        <c:axId val="104698656"/>
        <c:axId val="104699616"/>
      </c:barChart>
      <c:catAx>
        <c:axId val="104698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699616"/>
        <c:crosses val="autoZero"/>
        <c:auto val="1"/>
        <c:lblAlgn val="ctr"/>
        <c:lblOffset val="100"/>
        <c:noMultiLvlLbl val="0"/>
      </c:catAx>
      <c:valAx>
        <c:axId val="1046996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Tonnes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698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Landfilled</c:v>
                </c:pt>
              </c:strCache>
            </c:strRef>
          </c:tx>
          <c:spPr>
            <a:solidFill>
              <a:schemeClr val="accent1"/>
            </a:solidFill>
            <a:ln>
              <a:noFill/>
            </a:ln>
            <a:effectLst/>
          </c:spPr>
          <c:invertIfNegative val="0"/>
          <c:cat>
            <c:strRef>
              <c:f>Sheet1!$A$2:$A$6</c:f>
              <c:strCache>
                <c:ptCount val="5"/>
                <c:pt idx="0">
                  <c:v>Excess earthworks</c:v>
                </c:pt>
                <c:pt idx="1">
                  <c:v>Asphalt</c:v>
                </c:pt>
                <c:pt idx="2">
                  <c:v>Reg. waste cat 2</c:v>
                </c:pt>
                <c:pt idx="3">
                  <c:v>Concrete</c:v>
                </c:pt>
                <c:pt idx="4">
                  <c:v>Other pavement</c:v>
                </c:pt>
              </c:strCache>
            </c:strRef>
          </c:cat>
          <c:val>
            <c:numRef>
              <c:f>Sheet1!$B$2:$B$6</c:f>
              <c:numCache>
                <c:formatCode>_-* #,##0_-;\-* #,##0_-;_-* "-"??_-;_-@_-</c:formatCode>
                <c:ptCount val="5"/>
                <c:pt idx="0">
                  <c:v>213789</c:v>
                </c:pt>
                <c:pt idx="1">
                  <c:v>31851</c:v>
                </c:pt>
                <c:pt idx="2">
                  <c:v>18263</c:v>
                </c:pt>
                <c:pt idx="3">
                  <c:v>11821</c:v>
                </c:pt>
                <c:pt idx="4">
                  <c:v>3071</c:v>
                </c:pt>
              </c:numCache>
            </c:numRef>
          </c:val>
          <c:extLst>
            <c:ext xmlns:c16="http://schemas.microsoft.com/office/drawing/2014/chart" uri="{C3380CC4-5D6E-409C-BE32-E72D297353CC}">
              <c16:uniqueId val="{00000000-D0D5-48FF-8C56-E3DE93C741AA}"/>
            </c:ext>
          </c:extLst>
        </c:ser>
        <c:ser>
          <c:idx val="1"/>
          <c:order val="1"/>
          <c:tx>
            <c:strRef>
              <c:f>Sheet1!$C$1</c:f>
              <c:strCache>
                <c:ptCount val="1"/>
                <c:pt idx="0">
                  <c:v>Recycled</c:v>
                </c:pt>
              </c:strCache>
            </c:strRef>
          </c:tx>
          <c:spPr>
            <a:solidFill>
              <a:schemeClr val="accent2"/>
            </a:solidFill>
            <a:ln>
              <a:noFill/>
            </a:ln>
            <a:effectLst/>
          </c:spPr>
          <c:invertIfNegative val="0"/>
          <c:cat>
            <c:strRef>
              <c:f>Sheet1!$A$2:$A$6</c:f>
              <c:strCache>
                <c:ptCount val="5"/>
                <c:pt idx="0">
                  <c:v>Excess earthworks</c:v>
                </c:pt>
                <c:pt idx="1">
                  <c:v>Asphalt</c:v>
                </c:pt>
                <c:pt idx="2">
                  <c:v>Reg. waste cat 2</c:v>
                </c:pt>
                <c:pt idx="3">
                  <c:v>Concrete</c:v>
                </c:pt>
                <c:pt idx="4">
                  <c:v>Other pavement</c:v>
                </c:pt>
              </c:strCache>
            </c:strRef>
          </c:cat>
          <c:val>
            <c:numRef>
              <c:f>Sheet1!$C$2:$C$6</c:f>
              <c:numCache>
                <c:formatCode>_-* #,##0_-;\-* #,##0_-;_-* "-"??_-;_-@_-</c:formatCode>
                <c:ptCount val="5"/>
                <c:pt idx="0">
                  <c:v>151814</c:v>
                </c:pt>
                <c:pt idx="1">
                  <c:v>75948</c:v>
                </c:pt>
                <c:pt idx="2">
                  <c:v>103</c:v>
                </c:pt>
                <c:pt idx="3">
                  <c:v>56696</c:v>
                </c:pt>
                <c:pt idx="4">
                  <c:v>15229</c:v>
                </c:pt>
              </c:numCache>
            </c:numRef>
          </c:val>
          <c:extLst>
            <c:ext xmlns:c16="http://schemas.microsoft.com/office/drawing/2014/chart" uri="{C3380CC4-5D6E-409C-BE32-E72D297353CC}">
              <c16:uniqueId val="{00000001-D0D5-48FF-8C56-E3DE93C741AA}"/>
            </c:ext>
          </c:extLst>
        </c:ser>
        <c:ser>
          <c:idx val="2"/>
          <c:order val="2"/>
          <c:tx>
            <c:strRef>
              <c:f>Sheet1!$D$1</c:f>
              <c:strCache>
                <c:ptCount val="1"/>
                <c:pt idx="0">
                  <c:v>Reused</c:v>
                </c:pt>
              </c:strCache>
            </c:strRef>
          </c:tx>
          <c:spPr>
            <a:solidFill>
              <a:schemeClr val="accent3"/>
            </a:solidFill>
            <a:ln>
              <a:noFill/>
            </a:ln>
            <a:effectLst/>
          </c:spPr>
          <c:invertIfNegative val="0"/>
          <c:cat>
            <c:strRef>
              <c:f>Sheet1!$A$2:$A$6</c:f>
              <c:strCache>
                <c:ptCount val="5"/>
                <c:pt idx="0">
                  <c:v>Excess earthworks</c:v>
                </c:pt>
                <c:pt idx="1">
                  <c:v>Asphalt</c:v>
                </c:pt>
                <c:pt idx="2">
                  <c:v>Reg. waste cat 2</c:v>
                </c:pt>
                <c:pt idx="3">
                  <c:v>Concrete</c:v>
                </c:pt>
                <c:pt idx="4">
                  <c:v>Other pavement</c:v>
                </c:pt>
              </c:strCache>
            </c:strRef>
          </c:cat>
          <c:val>
            <c:numRef>
              <c:f>Sheet1!$D$2:$D$6</c:f>
              <c:numCache>
                <c:formatCode>_-* #,##0_-;\-* #,##0_-;_-* "-"??_-;_-@_-</c:formatCode>
                <c:ptCount val="5"/>
                <c:pt idx="0">
                  <c:v>591158</c:v>
                </c:pt>
                <c:pt idx="1">
                  <c:v>51259</c:v>
                </c:pt>
                <c:pt idx="2">
                  <c:v>119370</c:v>
                </c:pt>
                <c:pt idx="3">
                  <c:v>14460</c:v>
                </c:pt>
                <c:pt idx="4">
                  <c:v>80332</c:v>
                </c:pt>
              </c:numCache>
            </c:numRef>
          </c:val>
          <c:extLst>
            <c:ext xmlns:c16="http://schemas.microsoft.com/office/drawing/2014/chart" uri="{C3380CC4-5D6E-409C-BE32-E72D297353CC}">
              <c16:uniqueId val="{00000002-D0D5-48FF-8C56-E3DE93C741AA}"/>
            </c:ext>
          </c:extLst>
        </c:ser>
        <c:dLbls>
          <c:showLegendKey val="0"/>
          <c:showVal val="0"/>
          <c:showCatName val="0"/>
          <c:showSerName val="0"/>
          <c:showPercent val="0"/>
          <c:showBubbleSize val="0"/>
        </c:dLbls>
        <c:gapWidth val="150"/>
        <c:overlap val="100"/>
        <c:axId val="1384707520"/>
        <c:axId val="1384709920"/>
      </c:barChart>
      <c:catAx>
        <c:axId val="1384707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4709920"/>
        <c:crosses val="autoZero"/>
        <c:auto val="1"/>
        <c:lblAlgn val="ctr"/>
        <c:lblOffset val="100"/>
        <c:noMultiLvlLbl val="0"/>
      </c:catAx>
      <c:valAx>
        <c:axId val="1384709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Tonnes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4707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Generated</c:v>
                </c:pt>
              </c:strCache>
            </c:strRef>
          </c:tx>
          <c:spPr>
            <a:solidFill>
              <a:schemeClr val="accent1"/>
            </a:solidFill>
            <a:ln>
              <a:noFill/>
            </a:ln>
            <a:effectLst/>
          </c:spPr>
          <c:invertIfNegative val="0"/>
          <c:cat>
            <c:strRef>
              <c:f>Sheet1!$A$2:$A$9</c:f>
              <c:strCache>
                <c:ptCount val="8"/>
                <c:pt idx="0">
                  <c:v>2017-18</c:v>
                </c:pt>
                <c:pt idx="1">
                  <c:v>2018-19</c:v>
                </c:pt>
                <c:pt idx="2">
                  <c:v>2019-20</c:v>
                </c:pt>
                <c:pt idx="3">
                  <c:v>2020-21</c:v>
                </c:pt>
                <c:pt idx="4">
                  <c:v>2021-22</c:v>
                </c:pt>
                <c:pt idx="5">
                  <c:v>2022-23</c:v>
                </c:pt>
                <c:pt idx="6">
                  <c:v>2023-24</c:v>
                </c:pt>
                <c:pt idx="7">
                  <c:v>2024-25</c:v>
                </c:pt>
              </c:strCache>
            </c:strRef>
          </c:cat>
          <c:val>
            <c:numRef>
              <c:f>Sheet1!$B$2:$B$9</c:f>
              <c:numCache>
                <c:formatCode>_-* #,##0_-;\-* #,##0_-;_-* "-"??_-;_-@_-</c:formatCode>
                <c:ptCount val="8"/>
                <c:pt idx="0">
                  <c:v>69813</c:v>
                </c:pt>
                <c:pt idx="1">
                  <c:v>195209</c:v>
                </c:pt>
                <c:pt idx="2">
                  <c:v>231788</c:v>
                </c:pt>
                <c:pt idx="3">
                  <c:v>863229</c:v>
                </c:pt>
                <c:pt idx="4">
                  <c:v>504949</c:v>
                </c:pt>
                <c:pt idx="5">
                  <c:v>1012747</c:v>
                </c:pt>
                <c:pt idx="6">
                  <c:v>1102651</c:v>
                </c:pt>
                <c:pt idx="7">
                  <c:v>956761</c:v>
                </c:pt>
              </c:numCache>
            </c:numRef>
          </c:val>
          <c:extLst>
            <c:ext xmlns:c16="http://schemas.microsoft.com/office/drawing/2014/chart" uri="{C3380CC4-5D6E-409C-BE32-E72D297353CC}">
              <c16:uniqueId val="{00000000-2391-4E06-A656-4D4FF1E51339}"/>
            </c:ext>
          </c:extLst>
        </c:ser>
        <c:dLbls>
          <c:showLegendKey val="0"/>
          <c:showVal val="0"/>
          <c:showCatName val="0"/>
          <c:showSerName val="0"/>
          <c:showPercent val="0"/>
          <c:showBubbleSize val="0"/>
        </c:dLbls>
        <c:gapWidth val="219"/>
        <c:overlap val="-27"/>
        <c:axId val="2039851728"/>
        <c:axId val="2039852208"/>
      </c:barChart>
      <c:lineChart>
        <c:grouping val="standard"/>
        <c:varyColors val="0"/>
        <c:ser>
          <c:idx val="1"/>
          <c:order val="1"/>
          <c:tx>
            <c:strRef>
              <c:f>Sheet1!$C$1</c:f>
              <c:strCache>
                <c:ptCount val="1"/>
                <c:pt idx="0">
                  <c:v>Diversion rate</c:v>
                </c:pt>
              </c:strCache>
            </c:strRef>
          </c:tx>
          <c:spPr>
            <a:ln w="28575" cap="rnd">
              <a:solidFill>
                <a:schemeClr val="accent2"/>
              </a:solidFill>
              <a:round/>
            </a:ln>
            <a:effectLst/>
          </c:spPr>
          <c:marker>
            <c:symbol val="none"/>
          </c:marker>
          <c:cat>
            <c:strRef>
              <c:f>Sheet1!$A$2:$A$9</c:f>
              <c:strCache>
                <c:ptCount val="8"/>
                <c:pt idx="0">
                  <c:v>2017-18</c:v>
                </c:pt>
                <c:pt idx="1">
                  <c:v>2018-19</c:v>
                </c:pt>
                <c:pt idx="2">
                  <c:v>2019-20</c:v>
                </c:pt>
                <c:pt idx="3">
                  <c:v>2020-21</c:v>
                </c:pt>
                <c:pt idx="4">
                  <c:v>2021-22</c:v>
                </c:pt>
                <c:pt idx="5">
                  <c:v>2022-23</c:v>
                </c:pt>
                <c:pt idx="6">
                  <c:v>2023-24</c:v>
                </c:pt>
                <c:pt idx="7">
                  <c:v>2024-25</c:v>
                </c:pt>
              </c:strCache>
            </c:strRef>
          </c:cat>
          <c:val>
            <c:numRef>
              <c:f>Sheet1!$C$2:$C$9</c:f>
              <c:numCache>
                <c:formatCode>0%</c:formatCode>
                <c:ptCount val="8"/>
                <c:pt idx="0">
                  <c:v>0.92</c:v>
                </c:pt>
                <c:pt idx="1">
                  <c:v>0.93</c:v>
                </c:pt>
                <c:pt idx="2">
                  <c:v>0.8</c:v>
                </c:pt>
                <c:pt idx="3">
                  <c:v>0.92</c:v>
                </c:pt>
                <c:pt idx="4">
                  <c:v>0.94</c:v>
                </c:pt>
                <c:pt idx="5">
                  <c:v>0.81</c:v>
                </c:pt>
                <c:pt idx="6">
                  <c:v>0.89</c:v>
                </c:pt>
                <c:pt idx="7">
                  <c:v>0.78</c:v>
                </c:pt>
              </c:numCache>
            </c:numRef>
          </c:val>
          <c:smooth val="0"/>
          <c:extLst>
            <c:ext xmlns:c16="http://schemas.microsoft.com/office/drawing/2014/chart" uri="{C3380CC4-5D6E-409C-BE32-E72D297353CC}">
              <c16:uniqueId val="{00000001-2391-4E06-A656-4D4FF1E51339}"/>
            </c:ext>
          </c:extLst>
        </c:ser>
        <c:dLbls>
          <c:showLegendKey val="0"/>
          <c:showVal val="0"/>
          <c:showCatName val="0"/>
          <c:showSerName val="0"/>
          <c:showPercent val="0"/>
          <c:showBubbleSize val="0"/>
        </c:dLbls>
        <c:marker val="1"/>
        <c:smooth val="0"/>
        <c:axId val="1096191599"/>
        <c:axId val="113691568"/>
      </c:lineChart>
      <c:catAx>
        <c:axId val="2039851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Reporting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9852208"/>
        <c:crosses val="autoZero"/>
        <c:auto val="1"/>
        <c:lblAlgn val="ctr"/>
        <c:lblOffset val="100"/>
        <c:noMultiLvlLbl val="0"/>
      </c:catAx>
      <c:valAx>
        <c:axId val="2039852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Tonnes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9851728"/>
        <c:crosses val="autoZero"/>
        <c:crossBetween val="between"/>
      </c:valAx>
      <c:valAx>
        <c:axId val="113691568"/>
        <c:scaling>
          <c:orientation val="minMax"/>
          <c:min val="0.70000000000000007"/>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6191599"/>
        <c:crosses val="max"/>
        <c:crossBetween val="between"/>
      </c:valAx>
      <c:catAx>
        <c:axId val="1096191599"/>
        <c:scaling>
          <c:orientation val="minMax"/>
        </c:scaling>
        <c:delete val="1"/>
        <c:axPos val="b"/>
        <c:numFmt formatCode="General" sourceLinked="1"/>
        <c:majorTickMark val="out"/>
        <c:minorTickMark val="none"/>
        <c:tickLblPos val="nextTo"/>
        <c:crossAx val="1136915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Sum of Diverted</c:v>
                </c:pt>
              </c:strCache>
            </c:strRef>
          </c:tx>
          <c:spPr>
            <a:solidFill>
              <a:schemeClr val="accent1"/>
            </a:solidFill>
            <a:ln>
              <a:noFill/>
            </a:ln>
            <a:effectLst/>
          </c:spPr>
          <c:invertIfNegative val="0"/>
          <c:cat>
            <c:strRef>
              <c:f>Sheet1!$A$2:$A$6</c:f>
              <c:strCache>
                <c:ptCount val="5"/>
                <c:pt idx="0">
                  <c:v>Excess earthworks</c:v>
                </c:pt>
                <c:pt idx="1">
                  <c:v>Asphalt</c:v>
                </c:pt>
                <c:pt idx="2">
                  <c:v>Reg. waste cat 2</c:v>
                </c:pt>
                <c:pt idx="3">
                  <c:v>Other pavement</c:v>
                </c:pt>
                <c:pt idx="4">
                  <c:v>Concrete</c:v>
                </c:pt>
              </c:strCache>
            </c:strRef>
          </c:cat>
          <c:val>
            <c:numRef>
              <c:f>Sheet1!$B$2:$B$6</c:f>
              <c:numCache>
                <c:formatCode>_-* #,##0_-;\-* #,##0_-;_-* "-"??_-;_-@_-</c:formatCode>
                <c:ptCount val="5"/>
                <c:pt idx="0">
                  <c:v>742972</c:v>
                </c:pt>
                <c:pt idx="1">
                  <c:v>127207</c:v>
                </c:pt>
                <c:pt idx="2">
                  <c:v>119473</c:v>
                </c:pt>
                <c:pt idx="3">
                  <c:v>95561</c:v>
                </c:pt>
                <c:pt idx="4">
                  <c:v>71156</c:v>
                </c:pt>
              </c:numCache>
            </c:numRef>
          </c:val>
          <c:extLst>
            <c:ext xmlns:c16="http://schemas.microsoft.com/office/drawing/2014/chart" uri="{C3380CC4-5D6E-409C-BE32-E72D297353CC}">
              <c16:uniqueId val="{00000000-917D-457E-ACBC-4EF734943BD6}"/>
            </c:ext>
          </c:extLst>
        </c:ser>
        <c:dLbls>
          <c:showLegendKey val="0"/>
          <c:showVal val="0"/>
          <c:showCatName val="0"/>
          <c:showSerName val="0"/>
          <c:showPercent val="0"/>
          <c:showBubbleSize val="0"/>
        </c:dLbls>
        <c:gapWidth val="182"/>
        <c:axId val="2038908624"/>
        <c:axId val="2038905744"/>
      </c:barChart>
      <c:catAx>
        <c:axId val="2038908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8905744"/>
        <c:crosses val="autoZero"/>
        <c:auto val="1"/>
        <c:lblAlgn val="ctr"/>
        <c:lblOffset val="100"/>
        <c:noMultiLvlLbl val="0"/>
      </c:catAx>
      <c:valAx>
        <c:axId val="20389057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Tonnes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8908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eme-TMR">
  <a:themeElements>
    <a:clrScheme name="Transport and Main Roads">
      <a:dk1>
        <a:srgbClr val="191919"/>
      </a:dk1>
      <a:lt1>
        <a:srgbClr val="FFFFFF"/>
      </a:lt1>
      <a:dk2>
        <a:srgbClr val="03264C"/>
      </a:dk2>
      <a:lt2>
        <a:srgbClr val="E6F1FF"/>
      </a:lt2>
      <a:accent1>
        <a:srgbClr val="063A72"/>
      </a:accent1>
      <a:accent2>
        <a:srgbClr val="005EB8"/>
      </a:accent2>
      <a:accent3>
        <a:srgbClr val="05A6FF"/>
      </a:accent3>
      <a:accent4>
        <a:srgbClr val="024C4A"/>
      </a:accent4>
      <a:accent5>
        <a:srgbClr val="04825C"/>
      </a:accent5>
      <a:accent6>
        <a:srgbClr val="06BC50"/>
      </a:accent6>
      <a:hlink>
        <a:srgbClr val="005EB8"/>
      </a:hlink>
      <a:folHlink>
        <a:srgbClr val="005EB8"/>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FB130-02EE-47ED-84D9-ADB0DB5CC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4023</Words>
  <Characters>22934</Characters>
  <Application>Microsoft Office Word</Application>
  <DocSecurity>8</DocSecurity>
  <Lines>191</Lines>
  <Paragraphs>53</Paragraphs>
  <ScaleCrop>false</ScaleCrop>
  <HeadingPairs>
    <vt:vector size="2" baseType="variant">
      <vt:variant>
        <vt:lpstr>Title</vt:lpstr>
      </vt:variant>
      <vt:variant>
        <vt:i4>1</vt:i4>
      </vt:variant>
    </vt:vector>
  </HeadingPairs>
  <TitlesOfParts>
    <vt:vector size="1" baseType="lpstr">
      <vt:lpstr>Waste 2 Resource – annual status report</vt:lpstr>
    </vt:vector>
  </TitlesOfParts>
  <Manager/>
  <Company/>
  <LinksUpToDate>false</LinksUpToDate>
  <CharactersWithSpaces>26904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Waste 2 Resource – annual status report</dc:title>
  <dc:subject/>
  <dc:creator/>
  <cp:keywords/>
  <dc:description/>
  <cp:lastModifiedBy/>
  <cp:revision>1</cp:revision>
  <dcterms:created xsi:type="dcterms:W3CDTF">2026-01-28T05:11:00Z</dcterms:created>
  <dcterms:modified xsi:type="dcterms:W3CDTF">2026-01-28T05:12:00Z</dcterms:modified>
</cp:coreProperties>
</file>