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ajorBidi"/>
          <w:b/>
          <w:color w:val="FFFFFF" w:themeColor="background1"/>
          <w:sz w:val="32"/>
          <w:szCs w:val="32"/>
        </w:rPr>
        <w:id w:val="-80908752"/>
        <w:docPartObj>
          <w:docPartGallery w:val="Cover Pages"/>
          <w:docPartUnique/>
        </w:docPartObj>
      </w:sdtPr>
      <w:sdtEndPr/>
      <w:sdtContent>
        <w:p w14:paraId="2D18D2DD" w14:textId="467C6E91" w:rsidR="005A4B9F" w:rsidRDefault="005A4B9F">
          <w:pPr>
            <w:spacing w:after="160" w:line="259" w:lineRule="auto"/>
            <w:rPr>
              <w:rFonts w:eastAsiaTheme="majorEastAsia" w:cstheme="majorBidi"/>
              <w:b/>
              <w:color w:val="FFFFFF" w:themeColor="background1"/>
              <w:sz w:val="32"/>
              <w:szCs w:val="28"/>
            </w:rPr>
          </w:pPr>
          <w:r w:rsidRPr="005A4B9F">
            <w:rPr>
              <w:rFonts w:eastAsiaTheme="majorEastAsia" w:cstheme="majorBidi"/>
              <w:b/>
              <w:noProof/>
              <w:color w:val="FFFFFF" w:themeColor="background1"/>
              <w:sz w:val="32"/>
              <w:szCs w:val="28"/>
              <w:u w:val="single"/>
            </w:rPr>
            <mc:AlternateContent>
              <mc:Choice Requires="wps">
                <w:drawing>
                  <wp:anchor distT="0" distB="0" distL="114300" distR="114300" simplePos="0" relativeHeight="251658241" behindDoc="0" locked="0" layoutInCell="1" allowOverlap="1" wp14:anchorId="7CD8F9A0" wp14:editId="4849B294">
                    <wp:simplePos x="0" y="0"/>
                    <wp:positionH relativeFrom="margin">
                      <wp:posOffset>-519430</wp:posOffset>
                    </wp:positionH>
                    <wp:positionV relativeFrom="paragraph">
                      <wp:posOffset>86995</wp:posOffset>
                    </wp:positionV>
                    <wp:extent cx="4775982" cy="1876425"/>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982" cy="1876425"/>
                            </a:xfrm>
                            <a:prstGeom prst="rect">
                              <a:avLst/>
                            </a:prstGeom>
                            <a:noFill/>
                            <a:ln w="9525">
                              <a:noFill/>
                              <a:miter lim="800000"/>
                              <a:headEnd/>
                              <a:tailEnd/>
                            </a:ln>
                          </wps:spPr>
                          <wps:txbx>
                            <w:txbxContent>
                              <w:p w14:paraId="300751F7" w14:textId="271C4057" w:rsidR="00F177B7" w:rsidRPr="00186938" w:rsidRDefault="005A4B9F" w:rsidP="00E43D2C">
                                <w:pPr>
                                  <w:rPr>
                                    <w:b/>
                                    <w:bCs/>
                                    <w:color w:val="003E69" w:themeColor="accent1"/>
                                    <w:sz w:val="96"/>
                                    <w:szCs w:val="96"/>
                                  </w:rPr>
                                </w:pPr>
                                <w:r w:rsidRPr="00186938">
                                  <w:rPr>
                                    <w:b/>
                                    <w:bCs/>
                                    <w:color w:val="003E69" w:themeColor="accent1"/>
                                    <w:sz w:val="96"/>
                                    <w:szCs w:val="96"/>
                                  </w:rPr>
                                  <w:t>Movement and Place Policy</w:t>
                                </w:r>
                              </w:p>
                              <w:p w14:paraId="2C727F15" w14:textId="74BA7E00" w:rsidR="005A4B9F" w:rsidRPr="00186938" w:rsidRDefault="008D627A" w:rsidP="00E43D2C">
                                <w:pPr>
                                  <w:rPr>
                                    <w:color w:val="003E69" w:themeColor="accent1"/>
                                    <w:sz w:val="48"/>
                                    <w:szCs w:val="48"/>
                                  </w:rPr>
                                </w:pPr>
                                <w:r>
                                  <w:rPr>
                                    <w:color w:val="003E69" w:themeColor="accent1"/>
                                    <w:sz w:val="48"/>
                                    <w:szCs w:val="48"/>
                                  </w:rPr>
                                  <w:t>December</w:t>
                                </w:r>
                                <w:r w:rsidR="005024DD" w:rsidRPr="00186938">
                                  <w:rPr>
                                    <w:color w:val="003E69" w:themeColor="accent1"/>
                                    <w:sz w:val="48"/>
                                    <w:szCs w:val="48"/>
                                  </w:rPr>
                                  <w:t xml:space="preserve"> </w:t>
                                </w:r>
                                <w:r w:rsidR="005A4B9F" w:rsidRPr="00186938">
                                  <w:rPr>
                                    <w:color w:val="003E69" w:themeColor="accent1"/>
                                    <w:sz w:val="48"/>
                                    <w:szCs w:val="48"/>
                                  </w:rPr>
                                  <w:t>202</w:t>
                                </w:r>
                                <w:r w:rsidR="004C4C2B" w:rsidRPr="00186938">
                                  <w:rPr>
                                    <w:color w:val="003E69" w:themeColor="accent1"/>
                                    <w:sz w:val="48"/>
                                    <w:szCs w:val="4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8F9A0" id="_x0000_t202" coordsize="21600,21600" o:spt="202" path="m,l,21600r21600,l21600,xe">
                    <v:stroke joinstyle="miter"/>
                    <v:path gradientshapeok="t" o:connecttype="rect"/>
                  </v:shapetype>
                  <v:shape id="Text Box 11" o:spid="_x0000_s1026" type="#_x0000_t202" alt="&quot;&quot;" style="position:absolute;margin-left:-40.9pt;margin-top:6.85pt;width:376.05pt;height:147.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" filled="f" stroked="f">
                    <v:textbox>
                      <w:txbxContent>
                        <w:p w14:paraId="300751F7" w14:textId="271C4057" w:rsidR="00F177B7" w:rsidRPr="00186938" w:rsidRDefault="005A4B9F" w:rsidP="00E43D2C">
                          <w:pPr>
                            <w:rPr>
                              <w:b/>
                              <w:bCs/>
                              <w:color w:val="003E69" w:themeColor="accent1"/>
                              <w:sz w:val="96"/>
                              <w:szCs w:val="96"/>
                            </w:rPr>
                          </w:pPr>
                          <w:r w:rsidRPr="00186938">
                            <w:rPr>
                              <w:b/>
                              <w:bCs/>
                              <w:color w:val="003E69" w:themeColor="accent1"/>
                              <w:sz w:val="96"/>
                              <w:szCs w:val="96"/>
                            </w:rPr>
                            <w:t>Movement and Place Policy</w:t>
                          </w:r>
                        </w:p>
                        <w:p w14:paraId="2C727F15" w14:textId="74BA7E00" w:rsidR="005A4B9F" w:rsidRPr="00186938" w:rsidRDefault="008D627A" w:rsidP="00E43D2C">
                          <w:pPr>
                            <w:rPr>
                              <w:color w:val="003E69" w:themeColor="accent1"/>
                              <w:sz w:val="48"/>
                              <w:szCs w:val="48"/>
                            </w:rPr>
                          </w:pPr>
                          <w:r>
                            <w:rPr>
                              <w:color w:val="003E69" w:themeColor="accent1"/>
                              <w:sz w:val="48"/>
                              <w:szCs w:val="48"/>
                            </w:rPr>
                            <w:t>December</w:t>
                          </w:r>
                          <w:r w:rsidR="005024DD" w:rsidRPr="00186938">
                            <w:rPr>
                              <w:color w:val="003E69" w:themeColor="accent1"/>
                              <w:sz w:val="48"/>
                              <w:szCs w:val="48"/>
                            </w:rPr>
                            <w:t xml:space="preserve"> </w:t>
                          </w:r>
                          <w:r w:rsidR="005A4B9F" w:rsidRPr="00186938">
                            <w:rPr>
                              <w:color w:val="003E69" w:themeColor="accent1"/>
                              <w:sz w:val="48"/>
                              <w:szCs w:val="48"/>
                            </w:rPr>
                            <w:t>202</w:t>
                          </w:r>
                          <w:r w:rsidR="004C4C2B" w:rsidRPr="00186938">
                            <w:rPr>
                              <w:color w:val="003E69" w:themeColor="accent1"/>
                              <w:sz w:val="48"/>
                              <w:szCs w:val="48"/>
                            </w:rPr>
                            <w:t>4</w:t>
                          </w:r>
                        </w:p>
                      </w:txbxContent>
                    </v:textbox>
                    <w10:wrap anchorx="margin"/>
                  </v:shape>
                </w:pict>
              </mc:Fallback>
            </mc:AlternateContent>
          </w:r>
          <w:r w:rsidRPr="005A4B9F">
            <w:rPr>
              <w:rFonts w:eastAsiaTheme="majorEastAsia" w:cstheme="majorBidi"/>
              <w:b/>
              <w:noProof/>
              <w:color w:val="FFFFFF" w:themeColor="background1"/>
              <w:sz w:val="32"/>
              <w:szCs w:val="28"/>
            </w:rPr>
            <w:drawing>
              <wp:anchor distT="0" distB="0" distL="114300" distR="114300" simplePos="0" relativeHeight="251658240" behindDoc="1" locked="1" layoutInCell="1" allowOverlap="1" wp14:anchorId="73392B39" wp14:editId="58C34421">
                <wp:simplePos x="0" y="0"/>
                <wp:positionH relativeFrom="page">
                  <wp:align>left</wp:align>
                </wp:positionH>
                <wp:positionV relativeFrom="page">
                  <wp:align>top</wp:align>
                </wp:positionV>
                <wp:extent cx="7557770" cy="10690860"/>
                <wp:effectExtent l="0" t="0" r="508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theme="majorBidi"/>
              <w:b/>
              <w:color w:val="FFFFFF" w:themeColor="background1"/>
              <w:sz w:val="32"/>
              <w:szCs w:val="28"/>
            </w:rPr>
            <w:br w:type="page"/>
          </w:r>
        </w:p>
      </w:sdtContent>
    </w:sdt>
    <w:p w14:paraId="4EF79842" w14:textId="77777777" w:rsidR="007473C4" w:rsidRPr="00CC2C37" w:rsidRDefault="007473C4" w:rsidP="007473C4">
      <w:pPr>
        <w:rPr>
          <w:rFonts w:eastAsia="Times New Roman" w:cs="Arial"/>
          <w:b/>
          <w:bCs/>
          <w:szCs w:val="24"/>
          <w:lang w:eastAsia="en-AU"/>
        </w:rPr>
      </w:pPr>
      <w:r w:rsidRPr="00CC2C37">
        <w:rPr>
          <w:rFonts w:eastAsia="Times New Roman" w:cs="Arial"/>
          <w:b/>
          <w:bCs/>
          <w:szCs w:val="24"/>
          <w:lang w:eastAsia="en-AU"/>
        </w:rPr>
        <w:lastRenderedPageBreak/>
        <w:t>Copyright information</w:t>
      </w:r>
    </w:p>
    <w:p w14:paraId="0B990E52" w14:textId="77777777" w:rsidR="007473C4" w:rsidRPr="00CC2C37" w:rsidRDefault="007473C4" w:rsidP="007473C4">
      <w:pPr>
        <w:rPr>
          <w:rFonts w:eastAsia="Times New Roman" w:cs="Arial"/>
          <w:szCs w:val="24"/>
          <w:lang w:eastAsia="en-AU"/>
        </w:rPr>
      </w:pPr>
      <w:r w:rsidRPr="00CC2C37">
        <w:rPr>
          <w:rFonts w:eastAsia="Times New Roman" w:cs="Arial"/>
          <w:szCs w:val="24"/>
          <w:lang w:eastAsia="en-AU"/>
        </w:rPr>
        <w:t>© State of Queensland (Department of Transport and Main Roads) 2024</w:t>
      </w:r>
    </w:p>
    <w:p w14:paraId="11F4D0BD" w14:textId="77777777" w:rsidR="00DF14D0" w:rsidRPr="00CC2C37" w:rsidRDefault="00DF14D0" w:rsidP="007473C4">
      <w:pPr>
        <w:rPr>
          <w:rFonts w:eastAsia="Times New Roman" w:cs="Arial"/>
          <w:szCs w:val="24"/>
          <w:lang w:eastAsia="en-AU"/>
        </w:rPr>
      </w:pPr>
    </w:p>
    <w:p w14:paraId="4DD938E9" w14:textId="77777777" w:rsidR="00DF14D0" w:rsidRPr="00CC2C37" w:rsidRDefault="00DF14D0" w:rsidP="007473C4">
      <w:pPr>
        <w:rPr>
          <w:rFonts w:eastAsia="Times New Roman" w:cs="Arial"/>
          <w:szCs w:val="24"/>
          <w:lang w:eastAsia="en-AU"/>
        </w:rPr>
      </w:pPr>
      <w:r w:rsidRPr="00CC2C37">
        <w:rPr>
          <w:noProof/>
          <w:sz w:val="32"/>
          <w:szCs w:val="28"/>
          <w:lang w:eastAsia="en-AU"/>
        </w:rPr>
        <w:drawing>
          <wp:inline distT="0" distB="0" distL="0" distR="0" wp14:anchorId="794E0C2C" wp14:editId="32EA8F1E">
            <wp:extent cx="528320" cy="527050"/>
            <wp:effectExtent l="0" t="0" r="5080" b="6350"/>
            <wp:docPr id="1" name="Picture 1" descr="Interpreter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preter_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320" cy="527050"/>
                    </a:xfrm>
                    <a:prstGeom prst="rect">
                      <a:avLst/>
                    </a:prstGeom>
                    <a:noFill/>
                  </pic:spPr>
                </pic:pic>
              </a:graphicData>
            </a:graphic>
          </wp:inline>
        </w:drawing>
      </w:r>
    </w:p>
    <w:p w14:paraId="09C71A50" w14:textId="2F93A2CC" w:rsidR="007473C4" w:rsidRPr="00CC2C37" w:rsidRDefault="007473C4" w:rsidP="007473C4">
      <w:pPr>
        <w:rPr>
          <w:rFonts w:eastAsia="Times New Roman" w:cs="Arial"/>
          <w:szCs w:val="24"/>
          <w:lang w:eastAsia="en-AU"/>
        </w:rPr>
      </w:pPr>
      <w:r w:rsidRPr="00CC2C37">
        <w:rPr>
          <w:rFonts w:eastAsia="Times New Roman" w:cs="Arial"/>
          <w:szCs w:val="24"/>
          <w:lang w:eastAsia="en-AU"/>
        </w:rPr>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p w14:paraId="1DCFCE3D" w14:textId="77777777" w:rsidR="0044632A" w:rsidRPr="00CC2C37" w:rsidRDefault="0044632A" w:rsidP="007473C4">
      <w:pPr>
        <w:rPr>
          <w:rFonts w:eastAsia="Times New Roman" w:cs="Arial"/>
          <w:szCs w:val="24"/>
          <w:lang w:eastAsia="en-AU"/>
        </w:rPr>
      </w:pPr>
    </w:p>
    <w:p w14:paraId="36491D38" w14:textId="504617CA" w:rsidR="007473C4" w:rsidRPr="00CC2C37" w:rsidRDefault="007473C4" w:rsidP="007473C4">
      <w:pPr>
        <w:rPr>
          <w:rFonts w:eastAsia="Times New Roman" w:cs="Arial"/>
          <w:b/>
          <w:bCs/>
          <w:szCs w:val="24"/>
          <w:lang w:eastAsia="en-AU"/>
        </w:rPr>
      </w:pPr>
      <w:r w:rsidRPr="00CC2C37">
        <w:rPr>
          <w:rFonts w:eastAsia="Times New Roman" w:cs="Arial"/>
          <w:b/>
          <w:bCs/>
          <w:szCs w:val="24"/>
          <w:lang w:eastAsia="en-AU"/>
        </w:rPr>
        <w:t>Disclaimer</w:t>
      </w:r>
    </w:p>
    <w:p w14:paraId="1DE0B008" w14:textId="2DF2C2FD" w:rsidR="007473C4" w:rsidRPr="00CC2C37" w:rsidRDefault="007473C4" w:rsidP="00971735">
      <w:pPr>
        <w:rPr>
          <w:rFonts w:eastAsia="Times New Roman" w:cs="Arial"/>
          <w:szCs w:val="24"/>
          <w:lang w:eastAsia="en-AU"/>
        </w:rPr>
      </w:pPr>
      <w:r w:rsidRPr="00CC2C37">
        <w:rPr>
          <w:rFonts w:eastAsia="Times New Roman" w:cs="Arial"/>
          <w:szCs w:val="24"/>
          <w:lang w:eastAsia="en-AU"/>
        </w:rPr>
        <w:t>While every care has been taken in preparing this publication, the State of Queensland accepts no responsibility for decisions or actions taken as a result of any data, information, statement or advice, expressed or implied, contained within. To the best of our knowledge, the content was correct at the time of publishing.</w:t>
      </w:r>
    </w:p>
    <w:p w14:paraId="1B7B2649" w14:textId="165AB0C2" w:rsidR="00E43D2C" w:rsidRDefault="00E43D2C" w:rsidP="00971735">
      <w:pPr>
        <w:spacing w:after="120"/>
        <w:rPr>
          <w:rFonts w:cs="Arial"/>
          <w:b/>
          <w:bCs/>
          <w:sz w:val="40"/>
          <w:szCs w:val="40"/>
        </w:rPr>
      </w:pPr>
      <w:r w:rsidRPr="00A84736">
        <w:rPr>
          <w:rFonts w:ascii="Calibri" w:hAnsi="Calibri"/>
        </w:rPr>
        <w:br w:type="page"/>
      </w:r>
      <w:bookmarkStart w:id="0" w:name="_Toc140481892"/>
      <w:bookmarkStart w:id="1" w:name="_Toc142059180"/>
      <w:bookmarkStart w:id="2" w:name="_Toc142473700"/>
      <w:bookmarkStart w:id="3" w:name="_Toc64633531"/>
      <w:r w:rsidRPr="00D32180">
        <w:rPr>
          <w:rFonts w:cs="Arial"/>
          <w:b/>
          <w:bCs/>
          <w:color w:val="003C69"/>
          <w:sz w:val="40"/>
          <w:szCs w:val="40"/>
        </w:rPr>
        <w:lastRenderedPageBreak/>
        <w:t>Contents</w:t>
      </w:r>
      <w:bookmarkEnd w:id="0"/>
      <w:bookmarkEnd w:id="1"/>
      <w:bookmarkEnd w:id="2"/>
      <w:r w:rsidRPr="00D32180">
        <w:rPr>
          <w:rFonts w:cs="Arial"/>
          <w:b/>
          <w:bCs/>
          <w:sz w:val="40"/>
          <w:szCs w:val="40"/>
        </w:rPr>
        <w:t xml:space="preserve"> </w:t>
      </w:r>
      <w:bookmarkStart w:id="4" w:name="TOC"/>
      <w:bookmarkEnd w:id="3"/>
    </w:p>
    <w:p w14:paraId="01FA506F" w14:textId="2FAF36EB" w:rsidR="00B43BF0" w:rsidRPr="00D34B3F" w:rsidRDefault="00E43D2C" w:rsidP="00D74A79">
      <w:pPr>
        <w:pStyle w:val="TOC3"/>
        <w:rPr>
          <w:rFonts w:asciiTheme="minorHAnsi" w:eastAsiaTheme="minorEastAsia" w:hAnsiTheme="minorHAnsi"/>
          <w:kern w:val="2"/>
          <w:sz w:val="22"/>
          <w:lang w:eastAsia="en-AU"/>
          <w14:ligatures w14:val="standardContextual"/>
        </w:rPr>
      </w:pPr>
      <w:r w:rsidRPr="007F5F5C">
        <w:rPr>
          <w:rFonts w:asciiTheme="minorHAnsi" w:eastAsia="Times New Roman" w:hAnsiTheme="minorHAnsi"/>
          <w:noProof w:val="0"/>
          <w:color w:val="003C69"/>
          <w:kern w:val="32"/>
          <w:lang w:eastAsia="en-AU"/>
        </w:rPr>
        <w:fldChar w:fldCharType="begin"/>
      </w:r>
      <w:r w:rsidRPr="007F5F5C">
        <w:instrText xml:space="preserve"> TOC \h \z \t "Heading 1,1,Heading 2,2,Heading 3,3,Alt Heading 1,4,Alt Heading 2,5,Alt Heading 3,6" </w:instrText>
      </w:r>
      <w:r w:rsidRPr="007F5F5C">
        <w:rPr>
          <w:rFonts w:cs="Arial"/>
          <w:sz w:val="22"/>
          <w:szCs w:val="22"/>
        </w:rPr>
        <w:fldChar w:fldCharType="separate"/>
      </w:r>
      <w:hyperlink w:anchor="_Toc173245758" w:history="1">
        <w:r w:rsidR="00B43BF0" w:rsidRPr="00D34B3F">
          <w:rPr>
            <w:rStyle w:val="Hyperlink"/>
          </w:rPr>
          <w:t>TMR’s Movement and Place Vision</w:t>
        </w:r>
        <w:r w:rsidR="00B43BF0" w:rsidRPr="00D34B3F">
          <w:rPr>
            <w:webHidden/>
          </w:rPr>
          <w:tab/>
        </w:r>
        <w:r w:rsidR="00B43BF0" w:rsidRPr="007F5F5C">
          <w:rPr>
            <w:webHidden/>
          </w:rPr>
          <w:fldChar w:fldCharType="begin"/>
        </w:r>
        <w:r w:rsidR="00B43BF0" w:rsidRPr="00D34B3F">
          <w:rPr>
            <w:webHidden/>
          </w:rPr>
          <w:instrText xml:space="preserve"> PAGEREF _Toc173245758 \h </w:instrText>
        </w:r>
        <w:r w:rsidR="00B43BF0" w:rsidRPr="007F5F5C">
          <w:rPr>
            <w:webHidden/>
          </w:rPr>
        </w:r>
        <w:r w:rsidR="00B43BF0" w:rsidRPr="007F5F5C">
          <w:rPr>
            <w:webHidden/>
          </w:rPr>
          <w:fldChar w:fldCharType="separate"/>
        </w:r>
        <w:r w:rsidR="00B43BF0" w:rsidRPr="00D34B3F">
          <w:rPr>
            <w:webHidden/>
          </w:rPr>
          <w:t>3</w:t>
        </w:r>
        <w:r w:rsidR="00B43BF0" w:rsidRPr="007F5F5C">
          <w:rPr>
            <w:webHidden/>
          </w:rPr>
          <w:fldChar w:fldCharType="end"/>
        </w:r>
      </w:hyperlink>
    </w:p>
    <w:p w14:paraId="7AEC60A0" w14:textId="16D031DC" w:rsidR="00B43BF0" w:rsidRPr="00D34B3F" w:rsidRDefault="007A1A5A">
      <w:pPr>
        <w:pStyle w:val="TOC4"/>
        <w:rPr>
          <w:rFonts w:eastAsiaTheme="minorEastAsia"/>
          <w:noProof/>
          <w:kern w:val="2"/>
          <w:sz w:val="22"/>
          <w:lang w:eastAsia="en-AU"/>
          <w14:ligatures w14:val="standardContextual"/>
        </w:rPr>
      </w:pPr>
      <w:hyperlink w:anchor="_Toc173245759" w:history="1">
        <w:r w:rsidR="00B43BF0" w:rsidRPr="00D34B3F">
          <w:rPr>
            <w:rStyle w:val="Hyperlink"/>
            <w:rFonts w:eastAsiaTheme="majorEastAsia"/>
            <w:noProof/>
            <w14:scene3d>
              <w14:camera w14:prst="orthographicFront"/>
              <w14:lightRig w14:rig="threePt" w14:dir="t">
                <w14:rot w14:lat="0" w14:lon="0" w14:rev="0"/>
              </w14:lightRig>
            </w14:scene3d>
          </w:rPr>
          <w:t>1.</w:t>
        </w:r>
        <w:r w:rsidR="00B43BF0" w:rsidRPr="00D34B3F">
          <w:rPr>
            <w:rFonts w:eastAsiaTheme="minorEastAsia"/>
            <w:noProof/>
            <w:kern w:val="2"/>
            <w:sz w:val="22"/>
            <w:lang w:eastAsia="en-AU"/>
            <w14:ligatures w14:val="standardContextual"/>
          </w:rPr>
          <w:tab/>
        </w:r>
        <w:r w:rsidR="00B43BF0" w:rsidRPr="00D34B3F">
          <w:rPr>
            <w:rStyle w:val="Hyperlink"/>
            <w:noProof/>
          </w:rPr>
          <w:t>Purpose</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_Toc173245759 \h </w:instrText>
        </w:r>
        <w:r w:rsidR="00B43BF0" w:rsidRPr="007F5F5C">
          <w:rPr>
            <w:noProof/>
            <w:webHidden/>
          </w:rPr>
        </w:r>
        <w:r w:rsidR="00B43BF0" w:rsidRPr="007F5F5C">
          <w:rPr>
            <w:noProof/>
            <w:webHidden/>
          </w:rPr>
          <w:fldChar w:fldCharType="separate"/>
        </w:r>
        <w:r w:rsidR="00B43BF0" w:rsidRPr="00D34B3F">
          <w:rPr>
            <w:noProof/>
            <w:webHidden/>
          </w:rPr>
          <w:t>3</w:t>
        </w:r>
        <w:r w:rsidR="00B43BF0" w:rsidRPr="007F5F5C">
          <w:rPr>
            <w:noProof/>
            <w:webHidden/>
          </w:rPr>
          <w:fldChar w:fldCharType="end"/>
        </w:r>
      </w:hyperlink>
    </w:p>
    <w:p w14:paraId="5943E412" w14:textId="22B6A9E4" w:rsidR="00B43BF0" w:rsidRPr="00D34B3F" w:rsidRDefault="007A1A5A">
      <w:pPr>
        <w:pStyle w:val="TOC4"/>
        <w:rPr>
          <w:rFonts w:eastAsiaTheme="minorEastAsia"/>
          <w:noProof/>
          <w:kern w:val="2"/>
          <w:sz w:val="22"/>
          <w:lang w:eastAsia="en-AU"/>
          <w14:ligatures w14:val="standardContextual"/>
        </w:rPr>
      </w:pPr>
      <w:hyperlink w:anchor="_Toc173245760" w:history="1">
        <w:r w:rsidR="00B43BF0" w:rsidRPr="00D34B3F">
          <w:rPr>
            <w:rStyle w:val="Hyperlink"/>
            <w:noProof/>
            <w14:scene3d>
              <w14:camera w14:prst="orthographicFront"/>
              <w14:lightRig w14:rig="threePt" w14:dir="t">
                <w14:rot w14:lat="0" w14:lon="0" w14:rev="0"/>
              </w14:lightRig>
            </w14:scene3d>
          </w:rPr>
          <w:t>2.</w:t>
        </w:r>
        <w:r w:rsidR="00B43BF0" w:rsidRPr="00D34B3F">
          <w:rPr>
            <w:rFonts w:eastAsiaTheme="minorEastAsia"/>
            <w:noProof/>
            <w:kern w:val="2"/>
            <w:sz w:val="22"/>
            <w:lang w:eastAsia="en-AU"/>
            <w14:ligatures w14:val="standardContextual"/>
          </w:rPr>
          <w:tab/>
        </w:r>
        <w:r w:rsidR="00B43BF0" w:rsidRPr="00D34B3F">
          <w:rPr>
            <w:rStyle w:val="Hyperlink"/>
            <w:noProof/>
          </w:rPr>
          <w:t>Policy statement</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_Toc173245760 \h </w:instrText>
        </w:r>
        <w:r w:rsidR="00B43BF0" w:rsidRPr="007F5F5C">
          <w:rPr>
            <w:noProof/>
            <w:webHidden/>
          </w:rPr>
        </w:r>
        <w:r w:rsidR="00B43BF0" w:rsidRPr="007F5F5C">
          <w:rPr>
            <w:noProof/>
            <w:webHidden/>
          </w:rPr>
          <w:fldChar w:fldCharType="separate"/>
        </w:r>
        <w:r w:rsidR="00B43BF0" w:rsidRPr="00D34B3F">
          <w:rPr>
            <w:noProof/>
            <w:webHidden/>
          </w:rPr>
          <w:t>4</w:t>
        </w:r>
        <w:r w:rsidR="00B43BF0" w:rsidRPr="007F5F5C">
          <w:rPr>
            <w:noProof/>
            <w:webHidden/>
          </w:rPr>
          <w:fldChar w:fldCharType="end"/>
        </w:r>
      </w:hyperlink>
    </w:p>
    <w:p w14:paraId="1C916061" w14:textId="794478B1" w:rsidR="00B43BF0" w:rsidRPr="00D34B3F" w:rsidRDefault="007A1A5A">
      <w:pPr>
        <w:pStyle w:val="TOC4"/>
        <w:rPr>
          <w:rFonts w:eastAsiaTheme="minorEastAsia"/>
          <w:noProof/>
          <w:kern w:val="2"/>
          <w:sz w:val="22"/>
          <w:lang w:eastAsia="en-AU"/>
          <w14:ligatures w14:val="standardContextual"/>
        </w:rPr>
      </w:pPr>
      <w:hyperlink w:anchor="_Toc173245761" w:history="1">
        <w:r w:rsidR="00B43BF0" w:rsidRPr="00D34B3F">
          <w:rPr>
            <w:rStyle w:val="Hyperlink"/>
            <w:noProof/>
            <w14:scene3d>
              <w14:camera w14:prst="orthographicFront"/>
              <w14:lightRig w14:rig="threePt" w14:dir="t">
                <w14:rot w14:lat="0" w14:lon="0" w14:rev="0"/>
              </w14:lightRig>
            </w14:scene3d>
          </w:rPr>
          <w:t>3.</w:t>
        </w:r>
        <w:r w:rsidR="00B43BF0" w:rsidRPr="00D34B3F">
          <w:rPr>
            <w:rFonts w:eastAsiaTheme="minorEastAsia"/>
            <w:noProof/>
            <w:kern w:val="2"/>
            <w:sz w:val="22"/>
            <w:lang w:eastAsia="en-AU"/>
            <w14:ligatures w14:val="standardContextual"/>
          </w:rPr>
          <w:tab/>
        </w:r>
        <w:r w:rsidR="00B43BF0" w:rsidRPr="00D34B3F">
          <w:rPr>
            <w:rStyle w:val="Hyperlink"/>
            <w:noProof/>
          </w:rPr>
          <w:t>Policy principles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_Toc173245761 \h </w:instrText>
        </w:r>
        <w:r w:rsidR="00B43BF0" w:rsidRPr="007F5F5C">
          <w:rPr>
            <w:noProof/>
            <w:webHidden/>
          </w:rPr>
        </w:r>
        <w:r w:rsidR="00B43BF0" w:rsidRPr="007F5F5C">
          <w:rPr>
            <w:noProof/>
            <w:webHidden/>
          </w:rPr>
          <w:fldChar w:fldCharType="separate"/>
        </w:r>
        <w:r w:rsidR="00B43BF0" w:rsidRPr="00D34B3F">
          <w:rPr>
            <w:noProof/>
            <w:webHidden/>
          </w:rPr>
          <w:t>5</w:t>
        </w:r>
        <w:r w:rsidR="00B43BF0" w:rsidRPr="007F5F5C">
          <w:rPr>
            <w:noProof/>
            <w:webHidden/>
          </w:rPr>
          <w:fldChar w:fldCharType="end"/>
        </w:r>
      </w:hyperlink>
    </w:p>
    <w:p w14:paraId="102B3AEA" w14:textId="2F28F3EA" w:rsidR="00B43BF0" w:rsidRPr="00D34B3F" w:rsidRDefault="007A1A5A">
      <w:pPr>
        <w:pStyle w:val="TOC4"/>
        <w:rPr>
          <w:rFonts w:eastAsiaTheme="minorEastAsia"/>
          <w:noProof/>
          <w:kern w:val="2"/>
          <w:sz w:val="22"/>
          <w:lang w:eastAsia="en-AU"/>
          <w14:ligatures w14:val="standardContextual"/>
        </w:rPr>
      </w:pPr>
      <w:hyperlink w:anchor="_Toc173245762" w:history="1">
        <w:r w:rsidR="00B43BF0" w:rsidRPr="00D34B3F">
          <w:rPr>
            <w:rStyle w:val="Hyperlink"/>
            <w:rFonts w:eastAsiaTheme="majorEastAsia"/>
            <w:noProof/>
            <w14:scene3d>
              <w14:camera w14:prst="orthographicFront"/>
              <w14:lightRig w14:rig="threePt" w14:dir="t">
                <w14:rot w14:lat="0" w14:lon="0" w14:rev="0"/>
              </w14:lightRig>
            </w14:scene3d>
          </w:rPr>
          <w:t>4.</w:t>
        </w:r>
        <w:r w:rsidR="00B43BF0" w:rsidRPr="00D34B3F">
          <w:rPr>
            <w:rFonts w:eastAsiaTheme="minorEastAsia"/>
            <w:noProof/>
            <w:kern w:val="2"/>
            <w:sz w:val="22"/>
            <w:lang w:eastAsia="en-AU"/>
            <w14:ligatures w14:val="standardContextual"/>
          </w:rPr>
          <w:tab/>
        </w:r>
        <w:r w:rsidR="00B43BF0" w:rsidRPr="00D34B3F">
          <w:rPr>
            <w:rStyle w:val="Hyperlink"/>
            <w:noProof/>
          </w:rPr>
          <w:t>Objectives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_Toc173245762 \h </w:instrText>
        </w:r>
        <w:r w:rsidR="00B43BF0" w:rsidRPr="007F5F5C">
          <w:rPr>
            <w:noProof/>
            <w:webHidden/>
          </w:rPr>
        </w:r>
        <w:r w:rsidR="00B43BF0" w:rsidRPr="007F5F5C">
          <w:rPr>
            <w:noProof/>
            <w:webHidden/>
          </w:rPr>
          <w:fldChar w:fldCharType="separate"/>
        </w:r>
        <w:r w:rsidR="00B43BF0" w:rsidRPr="00D34B3F">
          <w:rPr>
            <w:noProof/>
            <w:webHidden/>
          </w:rPr>
          <w:t>6</w:t>
        </w:r>
        <w:r w:rsidR="00B43BF0" w:rsidRPr="007F5F5C">
          <w:rPr>
            <w:noProof/>
            <w:webHidden/>
          </w:rPr>
          <w:fldChar w:fldCharType="end"/>
        </w:r>
      </w:hyperlink>
    </w:p>
    <w:p w14:paraId="657FD608" w14:textId="2489320A" w:rsidR="00B43BF0" w:rsidRPr="00D34B3F" w:rsidRDefault="007A1A5A">
      <w:pPr>
        <w:pStyle w:val="TOC5"/>
        <w:rPr>
          <w:rFonts w:eastAsiaTheme="minorEastAsia"/>
          <w:noProof/>
          <w:kern w:val="2"/>
          <w:sz w:val="22"/>
          <w:lang w:eastAsia="en-AU"/>
          <w14:ligatures w14:val="standardContextual"/>
        </w:rPr>
      </w:pPr>
      <w:hyperlink w:anchor="_Toc173245763" w:history="1">
        <w:r w:rsidR="00B43BF0" w:rsidRPr="00D34B3F">
          <w:rPr>
            <w:rStyle w:val="Hyperlink"/>
            <w:noProof/>
            <w14:scene3d>
              <w14:camera w14:prst="orthographicFront"/>
              <w14:lightRig w14:rig="threePt" w14:dir="t">
                <w14:rot w14:lat="0" w14:lon="0" w14:rev="0"/>
              </w14:lightRig>
            </w14:scene3d>
          </w:rPr>
          <w:t>4.1</w:t>
        </w:r>
        <w:r w:rsidR="00B43BF0" w:rsidRPr="00D34B3F">
          <w:rPr>
            <w:rFonts w:eastAsiaTheme="minorEastAsia"/>
            <w:noProof/>
            <w:kern w:val="2"/>
            <w:sz w:val="22"/>
            <w:lang w:eastAsia="en-AU"/>
            <w14:ligatures w14:val="standardContextual"/>
          </w:rPr>
          <w:tab/>
        </w:r>
        <w:r w:rsidR="00B43BF0" w:rsidRPr="00D34B3F">
          <w:rPr>
            <w:rStyle w:val="Hyperlink"/>
            <w:noProof/>
          </w:rPr>
          <w:t>Performance Indicators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_Toc173245763 \h </w:instrText>
        </w:r>
        <w:r w:rsidR="00B43BF0" w:rsidRPr="007F5F5C">
          <w:rPr>
            <w:noProof/>
            <w:webHidden/>
          </w:rPr>
        </w:r>
        <w:r w:rsidR="00B43BF0" w:rsidRPr="007F5F5C">
          <w:rPr>
            <w:noProof/>
            <w:webHidden/>
          </w:rPr>
          <w:fldChar w:fldCharType="separate"/>
        </w:r>
        <w:r w:rsidR="00B43BF0" w:rsidRPr="00D34B3F">
          <w:rPr>
            <w:noProof/>
            <w:webHidden/>
          </w:rPr>
          <w:t>7</w:t>
        </w:r>
        <w:r w:rsidR="00B43BF0" w:rsidRPr="007F5F5C">
          <w:rPr>
            <w:noProof/>
            <w:webHidden/>
          </w:rPr>
          <w:fldChar w:fldCharType="end"/>
        </w:r>
      </w:hyperlink>
    </w:p>
    <w:p w14:paraId="7442E57E" w14:textId="3B7AB6BA" w:rsidR="00B43BF0" w:rsidRPr="00D34B3F" w:rsidRDefault="007A1A5A">
      <w:pPr>
        <w:pStyle w:val="TOC4"/>
        <w:rPr>
          <w:rFonts w:eastAsiaTheme="minorEastAsia"/>
          <w:noProof/>
          <w:kern w:val="2"/>
          <w:sz w:val="22"/>
          <w:lang w:eastAsia="en-AU"/>
          <w14:ligatures w14:val="standardContextual"/>
        </w:rPr>
      </w:pPr>
      <w:hyperlink w:anchor="_Toc173245764" w:history="1">
        <w:r w:rsidR="00B43BF0" w:rsidRPr="00D34B3F">
          <w:rPr>
            <w:rStyle w:val="Hyperlink"/>
            <w:noProof/>
            <w14:scene3d>
              <w14:camera w14:prst="orthographicFront"/>
              <w14:lightRig w14:rig="threePt" w14:dir="t">
                <w14:rot w14:lat="0" w14:lon="0" w14:rev="0"/>
              </w14:lightRig>
            </w14:scene3d>
          </w:rPr>
          <w:t>5.</w:t>
        </w:r>
        <w:r w:rsidR="00B43BF0" w:rsidRPr="00D34B3F">
          <w:rPr>
            <w:rFonts w:eastAsiaTheme="minorEastAsia"/>
            <w:noProof/>
            <w:kern w:val="2"/>
            <w:sz w:val="22"/>
            <w:lang w:eastAsia="en-AU"/>
            <w14:ligatures w14:val="standardContextual"/>
          </w:rPr>
          <w:tab/>
        </w:r>
        <w:r w:rsidR="00B43BF0" w:rsidRPr="00D34B3F">
          <w:rPr>
            <w:rStyle w:val="Hyperlink"/>
            <w:noProof/>
          </w:rPr>
          <w:t>Scope</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_Toc173245764 \h </w:instrText>
        </w:r>
        <w:r w:rsidR="00B43BF0" w:rsidRPr="007F5F5C">
          <w:rPr>
            <w:noProof/>
            <w:webHidden/>
          </w:rPr>
        </w:r>
        <w:r w:rsidR="00B43BF0" w:rsidRPr="007F5F5C">
          <w:rPr>
            <w:noProof/>
            <w:webHidden/>
          </w:rPr>
          <w:fldChar w:fldCharType="separate"/>
        </w:r>
        <w:r w:rsidR="00B43BF0" w:rsidRPr="00D34B3F">
          <w:rPr>
            <w:noProof/>
            <w:webHidden/>
          </w:rPr>
          <w:t>10</w:t>
        </w:r>
        <w:r w:rsidR="00B43BF0" w:rsidRPr="007F5F5C">
          <w:rPr>
            <w:noProof/>
            <w:webHidden/>
          </w:rPr>
          <w:fldChar w:fldCharType="end"/>
        </w:r>
      </w:hyperlink>
    </w:p>
    <w:p w14:paraId="456B04E4" w14:textId="31FF74B4" w:rsidR="00B43BF0" w:rsidRPr="00D34B3F" w:rsidRDefault="007A1A5A">
      <w:pPr>
        <w:pStyle w:val="TOC4"/>
        <w:rPr>
          <w:rFonts w:eastAsiaTheme="minorEastAsia"/>
          <w:noProof/>
          <w:kern w:val="2"/>
          <w:sz w:val="22"/>
          <w:lang w:eastAsia="en-AU"/>
          <w14:ligatures w14:val="standardContextual"/>
        </w:rPr>
      </w:pPr>
      <w:hyperlink w:anchor="_Toc173245765" w:history="1">
        <w:r w:rsidR="00B43BF0" w:rsidRPr="00D34B3F">
          <w:rPr>
            <w:rStyle w:val="Hyperlink"/>
            <w:noProof/>
            <w14:scene3d>
              <w14:camera w14:prst="orthographicFront"/>
              <w14:lightRig w14:rig="threePt" w14:dir="t">
                <w14:rot w14:lat="0" w14:lon="0" w14:rev="0"/>
              </w14:lightRig>
            </w14:scene3d>
          </w:rPr>
          <w:t>6.</w:t>
        </w:r>
        <w:r w:rsidR="00B43BF0" w:rsidRPr="00D34B3F">
          <w:rPr>
            <w:rFonts w:eastAsiaTheme="minorEastAsia"/>
            <w:noProof/>
            <w:kern w:val="2"/>
            <w:sz w:val="22"/>
            <w:lang w:eastAsia="en-AU"/>
            <w14:ligatures w14:val="standardContextual"/>
          </w:rPr>
          <w:tab/>
        </w:r>
        <w:r w:rsidR="00B43BF0" w:rsidRPr="00D34B3F">
          <w:rPr>
            <w:rStyle w:val="Hyperlink"/>
            <w:noProof/>
          </w:rPr>
          <w:t>Defining Movement and Place</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_Toc173245765 \h </w:instrText>
        </w:r>
        <w:r w:rsidR="00B43BF0" w:rsidRPr="007F5F5C">
          <w:rPr>
            <w:noProof/>
            <w:webHidden/>
          </w:rPr>
        </w:r>
        <w:r w:rsidR="00B43BF0" w:rsidRPr="007F5F5C">
          <w:rPr>
            <w:noProof/>
            <w:webHidden/>
          </w:rPr>
          <w:fldChar w:fldCharType="separate"/>
        </w:r>
        <w:r w:rsidR="00B43BF0" w:rsidRPr="00D34B3F">
          <w:rPr>
            <w:noProof/>
            <w:webHidden/>
          </w:rPr>
          <w:t>10</w:t>
        </w:r>
        <w:r w:rsidR="00B43BF0" w:rsidRPr="007F5F5C">
          <w:rPr>
            <w:noProof/>
            <w:webHidden/>
          </w:rPr>
          <w:fldChar w:fldCharType="end"/>
        </w:r>
      </w:hyperlink>
    </w:p>
    <w:p w14:paraId="35A76AE2" w14:textId="369BAA0F" w:rsidR="00B43BF0" w:rsidRPr="00D34B3F" w:rsidRDefault="007A1A5A">
      <w:pPr>
        <w:pStyle w:val="TOC5"/>
        <w:rPr>
          <w:rFonts w:eastAsiaTheme="minorEastAsia"/>
          <w:noProof/>
          <w:kern w:val="2"/>
          <w:sz w:val="22"/>
          <w:lang w:eastAsia="en-AU"/>
          <w14:ligatures w14:val="standardContextual"/>
        </w:rPr>
      </w:pPr>
      <w:hyperlink w:anchor="_Toc173245766" w:history="1">
        <w:r w:rsidR="00B43BF0" w:rsidRPr="00D34B3F">
          <w:rPr>
            <w:rStyle w:val="Hyperlink"/>
            <w:noProof/>
            <w14:scene3d>
              <w14:camera w14:prst="orthographicFront"/>
              <w14:lightRig w14:rig="threePt" w14:dir="t">
                <w14:rot w14:lat="0" w14:lon="0" w14:rev="0"/>
              </w14:lightRig>
            </w14:scene3d>
          </w:rPr>
          <w:t>6.1</w:t>
        </w:r>
        <w:r w:rsidR="00B43BF0" w:rsidRPr="00D34B3F">
          <w:rPr>
            <w:rFonts w:eastAsiaTheme="minorEastAsia"/>
            <w:noProof/>
            <w:kern w:val="2"/>
            <w:sz w:val="22"/>
            <w:lang w:eastAsia="en-AU"/>
            <w14:ligatures w14:val="standardContextual"/>
          </w:rPr>
          <w:tab/>
        </w:r>
        <w:r w:rsidR="00B43BF0" w:rsidRPr="00D34B3F">
          <w:rPr>
            <w:rStyle w:val="Hyperlink"/>
            <w:noProof/>
          </w:rPr>
          <w:t>Defining movement</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_Toc173245766 \h </w:instrText>
        </w:r>
        <w:r w:rsidR="00B43BF0" w:rsidRPr="007F5F5C">
          <w:rPr>
            <w:noProof/>
            <w:webHidden/>
          </w:rPr>
        </w:r>
        <w:r w:rsidR="00B43BF0" w:rsidRPr="007F5F5C">
          <w:rPr>
            <w:noProof/>
            <w:webHidden/>
          </w:rPr>
          <w:fldChar w:fldCharType="separate"/>
        </w:r>
        <w:r w:rsidR="00B43BF0" w:rsidRPr="00D34B3F">
          <w:rPr>
            <w:noProof/>
            <w:webHidden/>
          </w:rPr>
          <w:t>10</w:t>
        </w:r>
        <w:r w:rsidR="00B43BF0" w:rsidRPr="007F5F5C">
          <w:rPr>
            <w:noProof/>
            <w:webHidden/>
          </w:rPr>
          <w:fldChar w:fldCharType="end"/>
        </w:r>
      </w:hyperlink>
    </w:p>
    <w:p w14:paraId="72BC2196" w14:textId="4C6C733A" w:rsidR="00B43BF0" w:rsidRPr="00D34B3F" w:rsidRDefault="007A1A5A">
      <w:pPr>
        <w:pStyle w:val="TOC5"/>
        <w:rPr>
          <w:rFonts w:eastAsiaTheme="minorEastAsia"/>
          <w:noProof/>
          <w:kern w:val="2"/>
          <w:sz w:val="22"/>
          <w:lang w:eastAsia="en-AU"/>
          <w14:ligatures w14:val="standardContextual"/>
        </w:rPr>
      </w:pPr>
      <w:hyperlink w:anchor="_Toc173245767" w:history="1">
        <w:r w:rsidR="00B43BF0" w:rsidRPr="00D34B3F">
          <w:rPr>
            <w:rStyle w:val="Hyperlink"/>
            <w:noProof/>
            <w14:scene3d>
              <w14:camera w14:prst="orthographicFront"/>
              <w14:lightRig w14:rig="threePt" w14:dir="t">
                <w14:rot w14:lat="0" w14:lon="0" w14:rev="0"/>
              </w14:lightRig>
            </w14:scene3d>
          </w:rPr>
          <w:t>6.2</w:t>
        </w:r>
        <w:r w:rsidR="00B43BF0" w:rsidRPr="00D34B3F">
          <w:rPr>
            <w:rFonts w:eastAsiaTheme="minorEastAsia"/>
            <w:noProof/>
            <w:kern w:val="2"/>
            <w:sz w:val="22"/>
            <w:lang w:eastAsia="en-AU"/>
            <w14:ligatures w14:val="standardContextual"/>
          </w:rPr>
          <w:tab/>
        </w:r>
        <w:r w:rsidR="00B43BF0" w:rsidRPr="00D34B3F">
          <w:rPr>
            <w:rStyle w:val="Hyperlink"/>
            <w:noProof/>
          </w:rPr>
          <w:t xml:space="preserve">Understanding </w:t>
        </w:r>
        <w:r w:rsidR="00B43BF0" w:rsidRPr="00D34B3F">
          <w:rPr>
            <w:rStyle w:val="Hyperlink"/>
            <w:i/>
            <w:noProof/>
          </w:rPr>
          <w:t>place</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_Toc173245767 \h </w:instrText>
        </w:r>
        <w:r w:rsidR="00B43BF0" w:rsidRPr="007F5F5C">
          <w:rPr>
            <w:noProof/>
            <w:webHidden/>
          </w:rPr>
        </w:r>
        <w:r w:rsidR="00B43BF0" w:rsidRPr="007F5F5C">
          <w:rPr>
            <w:noProof/>
            <w:webHidden/>
          </w:rPr>
          <w:fldChar w:fldCharType="separate"/>
        </w:r>
        <w:r w:rsidR="00B43BF0" w:rsidRPr="00D34B3F">
          <w:rPr>
            <w:noProof/>
            <w:webHidden/>
          </w:rPr>
          <w:t>11</w:t>
        </w:r>
        <w:r w:rsidR="00B43BF0" w:rsidRPr="007F5F5C">
          <w:rPr>
            <w:noProof/>
            <w:webHidden/>
          </w:rPr>
          <w:fldChar w:fldCharType="end"/>
        </w:r>
      </w:hyperlink>
    </w:p>
    <w:p w14:paraId="36616E41" w14:textId="3C7D391A" w:rsidR="00B43BF0" w:rsidRPr="00D34B3F" w:rsidRDefault="007A1A5A">
      <w:pPr>
        <w:pStyle w:val="TOC4"/>
        <w:rPr>
          <w:rFonts w:eastAsiaTheme="minorEastAsia"/>
          <w:noProof/>
          <w:kern w:val="2"/>
          <w:sz w:val="22"/>
          <w:lang w:eastAsia="en-AU"/>
          <w14:ligatures w14:val="standardContextual"/>
        </w:rPr>
      </w:pPr>
      <w:hyperlink w:anchor="_Toc173245768" w:history="1">
        <w:r w:rsidR="00B43BF0" w:rsidRPr="00D34B3F">
          <w:rPr>
            <w:rStyle w:val="Hyperlink"/>
            <w:rFonts w:eastAsiaTheme="majorEastAsia"/>
            <w:noProof/>
            <w14:scene3d>
              <w14:camera w14:prst="orthographicFront"/>
              <w14:lightRig w14:rig="threePt" w14:dir="t">
                <w14:rot w14:lat="0" w14:lon="0" w14:rev="0"/>
              </w14:lightRig>
            </w14:scene3d>
          </w:rPr>
          <w:t>7.</w:t>
        </w:r>
        <w:r w:rsidR="00B43BF0" w:rsidRPr="00D34B3F">
          <w:rPr>
            <w:rFonts w:eastAsiaTheme="minorEastAsia"/>
            <w:noProof/>
            <w:kern w:val="2"/>
            <w:sz w:val="22"/>
            <w:lang w:eastAsia="en-AU"/>
            <w14:ligatures w14:val="standardContextual"/>
          </w:rPr>
          <w:tab/>
        </w:r>
        <w:r w:rsidR="00B43BF0" w:rsidRPr="00D34B3F">
          <w:rPr>
            <w:rStyle w:val="Hyperlink"/>
            <w:noProof/>
          </w:rPr>
          <w:t>Benefits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_Toc173245768 \h </w:instrText>
        </w:r>
        <w:r w:rsidR="00B43BF0" w:rsidRPr="007F5F5C">
          <w:rPr>
            <w:noProof/>
            <w:webHidden/>
          </w:rPr>
        </w:r>
        <w:r w:rsidR="00B43BF0" w:rsidRPr="007F5F5C">
          <w:rPr>
            <w:noProof/>
            <w:webHidden/>
          </w:rPr>
          <w:fldChar w:fldCharType="separate"/>
        </w:r>
        <w:r w:rsidR="00B43BF0" w:rsidRPr="00D34B3F">
          <w:rPr>
            <w:noProof/>
            <w:webHidden/>
          </w:rPr>
          <w:t>12</w:t>
        </w:r>
        <w:r w:rsidR="00B43BF0" w:rsidRPr="007F5F5C">
          <w:rPr>
            <w:noProof/>
            <w:webHidden/>
          </w:rPr>
          <w:fldChar w:fldCharType="end"/>
        </w:r>
      </w:hyperlink>
    </w:p>
    <w:p w14:paraId="52CF89B4" w14:textId="75E03DFD" w:rsidR="00B43BF0" w:rsidRPr="00D34B3F" w:rsidRDefault="007A1A5A">
      <w:pPr>
        <w:pStyle w:val="TOC4"/>
        <w:rPr>
          <w:rFonts w:eastAsiaTheme="minorEastAsia"/>
          <w:noProof/>
          <w:kern w:val="2"/>
          <w:sz w:val="22"/>
          <w:lang w:eastAsia="en-AU"/>
          <w14:ligatures w14:val="standardContextual"/>
        </w:rPr>
      </w:pPr>
      <w:hyperlink w:anchor="_Toc173245769" w:history="1">
        <w:r w:rsidR="00B43BF0" w:rsidRPr="00D34B3F">
          <w:rPr>
            <w:rStyle w:val="Hyperlink"/>
            <w:noProof/>
            <w14:scene3d>
              <w14:camera w14:prst="orthographicFront"/>
              <w14:lightRig w14:rig="threePt" w14:dir="t">
                <w14:rot w14:lat="0" w14:lon="0" w14:rev="0"/>
              </w14:lightRig>
            </w14:scene3d>
          </w:rPr>
          <w:t>8.</w:t>
        </w:r>
        <w:r w:rsidR="00B43BF0" w:rsidRPr="00D34B3F">
          <w:rPr>
            <w:rFonts w:eastAsiaTheme="minorEastAsia"/>
            <w:noProof/>
            <w:kern w:val="2"/>
            <w:sz w:val="22"/>
            <w:lang w:eastAsia="en-AU"/>
            <w14:ligatures w14:val="standardContextual"/>
          </w:rPr>
          <w:tab/>
        </w:r>
        <w:r w:rsidR="00B43BF0" w:rsidRPr="00D34B3F">
          <w:rPr>
            <w:rStyle w:val="Hyperlink"/>
            <w:noProof/>
          </w:rPr>
          <w:t>Applicability</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_Toc173245769 \h </w:instrText>
        </w:r>
        <w:r w:rsidR="00B43BF0" w:rsidRPr="007F5F5C">
          <w:rPr>
            <w:noProof/>
            <w:webHidden/>
          </w:rPr>
        </w:r>
        <w:r w:rsidR="00B43BF0" w:rsidRPr="007F5F5C">
          <w:rPr>
            <w:noProof/>
            <w:webHidden/>
          </w:rPr>
          <w:fldChar w:fldCharType="separate"/>
        </w:r>
        <w:r w:rsidR="00B43BF0" w:rsidRPr="00D34B3F">
          <w:rPr>
            <w:noProof/>
            <w:webHidden/>
          </w:rPr>
          <w:t>12</w:t>
        </w:r>
        <w:r w:rsidR="00B43BF0" w:rsidRPr="007F5F5C">
          <w:rPr>
            <w:noProof/>
            <w:webHidden/>
          </w:rPr>
          <w:fldChar w:fldCharType="end"/>
        </w:r>
      </w:hyperlink>
    </w:p>
    <w:p w14:paraId="7EE2B346" w14:textId="58086C74" w:rsidR="00B43BF0" w:rsidRPr="00D34B3F" w:rsidRDefault="007A1A5A">
      <w:pPr>
        <w:pStyle w:val="TOC5"/>
        <w:rPr>
          <w:rFonts w:eastAsiaTheme="minorEastAsia"/>
          <w:noProof/>
          <w:kern w:val="2"/>
          <w:sz w:val="22"/>
          <w:lang w:eastAsia="en-AU"/>
          <w14:ligatures w14:val="standardContextual"/>
        </w:rPr>
      </w:pPr>
      <w:hyperlink w:anchor="_Toc173245770" w:history="1">
        <w:r w:rsidR="00B43BF0" w:rsidRPr="00D34B3F">
          <w:rPr>
            <w:rStyle w:val="Hyperlink"/>
            <w:noProof/>
            <w14:scene3d>
              <w14:camera w14:prst="orthographicFront"/>
              <w14:lightRig w14:rig="threePt" w14:dir="t">
                <w14:rot w14:lat="0" w14:lon="0" w14:rev="0"/>
              </w14:lightRig>
            </w14:scene3d>
          </w:rPr>
          <w:t>8.1</w:t>
        </w:r>
        <w:r w:rsidR="00B43BF0" w:rsidRPr="00D34B3F">
          <w:rPr>
            <w:rFonts w:eastAsiaTheme="minorEastAsia"/>
            <w:noProof/>
            <w:kern w:val="2"/>
            <w:sz w:val="22"/>
            <w:lang w:eastAsia="en-AU"/>
            <w14:ligatures w14:val="standardContextual"/>
          </w:rPr>
          <w:tab/>
        </w:r>
        <w:r w:rsidR="00B43BF0" w:rsidRPr="00D34B3F">
          <w:rPr>
            <w:rStyle w:val="Hyperlink"/>
            <w:noProof/>
          </w:rPr>
          <w:t>Stakeholders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_Toc173245770 \h </w:instrText>
        </w:r>
        <w:r w:rsidR="00B43BF0" w:rsidRPr="007F5F5C">
          <w:rPr>
            <w:noProof/>
            <w:webHidden/>
          </w:rPr>
        </w:r>
        <w:r w:rsidR="00B43BF0" w:rsidRPr="007F5F5C">
          <w:rPr>
            <w:noProof/>
            <w:webHidden/>
          </w:rPr>
          <w:fldChar w:fldCharType="separate"/>
        </w:r>
        <w:r w:rsidR="00B43BF0" w:rsidRPr="00D34B3F">
          <w:rPr>
            <w:noProof/>
            <w:webHidden/>
          </w:rPr>
          <w:t>12</w:t>
        </w:r>
        <w:r w:rsidR="00B43BF0" w:rsidRPr="007F5F5C">
          <w:rPr>
            <w:noProof/>
            <w:webHidden/>
          </w:rPr>
          <w:fldChar w:fldCharType="end"/>
        </w:r>
      </w:hyperlink>
    </w:p>
    <w:p w14:paraId="5A04926B" w14:textId="43681B9A" w:rsidR="00B43BF0" w:rsidRPr="00D34B3F" w:rsidRDefault="007A1A5A">
      <w:pPr>
        <w:pStyle w:val="TOC5"/>
        <w:rPr>
          <w:rFonts w:eastAsiaTheme="minorEastAsia"/>
          <w:noProof/>
          <w:kern w:val="2"/>
          <w:sz w:val="22"/>
          <w:lang w:eastAsia="en-AU"/>
          <w14:ligatures w14:val="standardContextual"/>
        </w:rPr>
      </w:pPr>
      <w:hyperlink w:anchor="_Toc173245771" w:history="1">
        <w:r w:rsidR="00B43BF0" w:rsidRPr="00D34B3F">
          <w:rPr>
            <w:rStyle w:val="Hyperlink"/>
            <w:noProof/>
            <w14:scene3d>
              <w14:camera w14:prst="orthographicFront"/>
              <w14:lightRig w14:rig="threePt" w14:dir="t">
                <w14:rot w14:lat="0" w14:lon="0" w14:rev="0"/>
              </w14:lightRig>
            </w14:scene3d>
          </w:rPr>
          <w:t>8.2</w:t>
        </w:r>
        <w:r w:rsidR="00B43BF0" w:rsidRPr="00D34B3F">
          <w:rPr>
            <w:rFonts w:eastAsiaTheme="minorEastAsia"/>
            <w:noProof/>
            <w:kern w:val="2"/>
            <w:sz w:val="22"/>
            <w:lang w:eastAsia="en-AU"/>
            <w14:ligatures w14:val="standardContextual"/>
          </w:rPr>
          <w:tab/>
        </w:r>
        <w:r w:rsidR="00B43BF0" w:rsidRPr="00D34B3F">
          <w:rPr>
            <w:rStyle w:val="Hyperlink"/>
            <w:noProof/>
          </w:rPr>
          <w:t>Aboriginal and Torres Strait Islander considerations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_Toc173245771 \h </w:instrText>
        </w:r>
        <w:r w:rsidR="00B43BF0" w:rsidRPr="007F5F5C">
          <w:rPr>
            <w:noProof/>
            <w:webHidden/>
          </w:rPr>
        </w:r>
        <w:r w:rsidR="00B43BF0" w:rsidRPr="007F5F5C">
          <w:rPr>
            <w:noProof/>
            <w:webHidden/>
          </w:rPr>
          <w:fldChar w:fldCharType="separate"/>
        </w:r>
        <w:r w:rsidR="00B43BF0" w:rsidRPr="00D34B3F">
          <w:rPr>
            <w:noProof/>
            <w:webHidden/>
          </w:rPr>
          <w:t>13</w:t>
        </w:r>
        <w:r w:rsidR="00B43BF0" w:rsidRPr="007F5F5C">
          <w:rPr>
            <w:noProof/>
            <w:webHidden/>
          </w:rPr>
          <w:fldChar w:fldCharType="end"/>
        </w:r>
      </w:hyperlink>
    </w:p>
    <w:p w14:paraId="7C71F4CD" w14:textId="6C9C10EC" w:rsidR="00B43BF0" w:rsidRPr="00D34B3F" w:rsidRDefault="007A1A5A">
      <w:pPr>
        <w:pStyle w:val="TOC5"/>
        <w:rPr>
          <w:rFonts w:eastAsiaTheme="minorEastAsia"/>
          <w:noProof/>
          <w:kern w:val="2"/>
          <w:sz w:val="22"/>
          <w:lang w:eastAsia="en-AU"/>
          <w14:ligatures w14:val="standardContextual"/>
        </w:rPr>
      </w:pPr>
      <w:hyperlink w:anchor="_Toc173245772" w:history="1">
        <w:r w:rsidR="00B43BF0" w:rsidRPr="00D34B3F">
          <w:rPr>
            <w:rStyle w:val="Hyperlink"/>
            <w:noProof/>
            <w14:scene3d>
              <w14:camera w14:prst="orthographicFront"/>
              <w14:lightRig w14:rig="threePt" w14:dir="t">
                <w14:rot w14:lat="0" w14:lon="0" w14:rev="0"/>
              </w14:lightRig>
            </w14:scene3d>
          </w:rPr>
          <w:t>8.3</w:t>
        </w:r>
        <w:r w:rsidR="00B43BF0" w:rsidRPr="00D34B3F">
          <w:rPr>
            <w:rFonts w:eastAsiaTheme="minorEastAsia"/>
            <w:noProof/>
            <w:kern w:val="2"/>
            <w:sz w:val="22"/>
            <w:lang w:eastAsia="en-AU"/>
            <w14:ligatures w14:val="standardContextual"/>
          </w:rPr>
          <w:tab/>
        </w:r>
        <w:r w:rsidR="00B43BF0" w:rsidRPr="00D34B3F">
          <w:rPr>
            <w:rStyle w:val="Hyperlink"/>
            <w:noProof/>
          </w:rPr>
          <w:t>Human Rights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_Toc173245772 \h </w:instrText>
        </w:r>
        <w:r w:rsidR="00B43BF0" w:rsidRPr="007F5F5C">
          <w:rPr>
            <w:noProof/>
            <w:webHidden/>
          </w:rPr>
        </w:r>
        <w:r w:rsidR="00B43BF0" w:rsidRPr="007F5F5C">
          <w:rPr>
            <w:noProof/>
            <w:webHidden/>
          </w:rPr>
          <w:fldChar w:fldCharType="separate"/>
        </w:r>
        <w:r w:rsidR="00B43BF0" w:rsidRPr="00D34B3F">
          <w:rPr>
            <w:noProof/>
            <w:webHidden/>
          </w:rPr>
          <w:t>13</w:t>
        </w:r>
        <w:r w:rsidR="00B43BF0" w:rsidRPr="007F5F5C">
          <w:rPr>
            <w:noProof/>
            <w:webHidden/>
          </w:rPr>
          <w:fldChar w:fldCharType="end"/>
        </w:r>
      </w:hyperlink>
    </w:p>
    <w:p w14:paraId="3AC945D3" w14:textId="34C60B4E" w:rsidR="00B43BF0" w:rsidRPr="00D34B3F" w:rsidRDefault="007A1A5A">
      <w:pPr>
        <w:pStyle w:val="TOC4"/>
        <w:rPr>
          <w:rFonts w:eastAsiaTheme="minorEastAsia"/>
          <w:noProof/>
          <w:kern w:val="2"/>
          <w:sz w:val="22"/>
          <w:lang w:eastAsia="en-AU"/>
          <w14:ligatures w14:val="standardContextual"/>
        </w:rPr>
      </w:pPr>
      <w:hyperlink w:anchor="_Toc173245773" w:history="1">
        <w:r w:rsidR="00B43BF0" w:rsidRPr="00D34B3F">
          <w:rPr>
            <w:rStyle w:val="Hyperlink"/>
            <w:noProof/>
            <w14:scene3d>
              <w14:camera w14:prst="orthographicFront"/>
              <w14:lightRig w14:rig="threePt" w14:dir="t">
                <w14:rot w14:lat="0" w14:lon="0" w14:rev="0"/>
              </w14:lightRig>
            </w14:scene3d>
          </w:rPr>
          <w:t>9.</w:t>
        </w:r>
        <w:r w:rsidR="00B43BF0" w:rsidRPr="00D34B3F">
          <w:rPr>
            <w:rFonts w:eastAsiaTheme="minorEastAsia"/>
            <w:noProof/>
            <w:kern w:val="2"/>
            <w:sz w:val="22"/>
            <w:lang w:eastAsia="en-AU"/>
            <w14:ligatures w14:val="standardContextual"/>
          </w:rPr>
          <w:tab/>
        </w:r>
        <w:r w:rsidR="00B43BF0" w:rsidRPr="00D34B3F">
          <w:rPr>
            <w:rStyle w:val="Hyperlink"/>
            <w:noProof/>
          </w:rPr>
          <w:t>Compliance</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_Toc173245773 \h </w:instrText>
        </w:r>
        <w:r w:rsidR="00B43BF0" w:rsidRPr="007F5F5C">
          <w:rPr>
            <w:noProof/>
            <w:webHidden/>
          </w:rPr>
        </w:r>
        <w:r w:rsidR="00B43BF0" w:rsidRPr="007F5F5C">
          <w:rPr>
            <w:noProof/>
            <w:webHidden/>
          </w:rPr>
          <w:fldChar w:fldCharType="separate"/>
        </w:r>
        <w:r w:rsidR="00B43BF0" w:rsidRPr="00D34B3F">
          <w:rPr>
            <w:noProof/>
            <w:webHidden/>
          </w:rPr>
          <w:t>13</w:t>
        </w:r>
        <w:r w:rsidR="00B43BF0" w:rsidRPr="007F5F5C">
          <w:rPr>
            <w:noProof/>
            <w:webHidden/>
          </w:rPr>
          <w:fldChar w:fldCharType="end"/>
        </w:r>
      </w:hyperlink>
    </w:p>
    <w:p w14:paraId="5688721D" w14:textId="262E36CA" w:rsidR="00B43BF0" w:rsidRPr="00D34B3F" w:rsidRDefault="007A1A5A">
      <w:pPr>
        <w:pStyle w:val="TOC4"/>
        <w:rPr>
          <w:rFonts w:eastAsiaTheme="minorEastAsia"/>
          <w:noProof/>
          <w:kern w:val="2"/>
          <w:sz w:val="22"/>
          <w:lang w:eastAsia="en-AU"/>
          <w14:ligatures w14:val="standardContextual"/>
        </w:rPr>
      </w:pPr>
      <w:hyperlink w:anchor="_Toc173245774" w:history="1">
        <w:r w:rsidR="00B43BF0" w:rsidRPr="00D34B3F">
          <w:rPr>
            <w:rStyle w:val="Hyperlink"/>
            <w:noProof/>
            <w14:scene3d>
              <w14:camera w14:prst="orthographicFront"/>
              <w14:lightRig w14:rig="threePt" w14:dir="t">
                <w14:rot w14:lat="0" w14:lon="0" w14:rev="0"/>
              </w14:lightRig>
            </w14:scene3d>
          </w:rPr>
          <w:t>10.</w:t>
        </w:r>
        <w:r w:rsidR="00B43BF0" w:rsidRPr="00D34B3F">
          <w:rPr>
            <w:rFonts w:eastAsiaTheme="minorEastAsia"/>
            <w:noProof/>
            <w:kern w:val="2"/>
            <w:sz w:val="22"/>
            <w:lang w:eastAsia="en-AU"/>
            <w14:ligatures w14:val="standardContextual"/>
          </w:rPr>
          <w:tab/>
        </w:r>
        <w:r w:rsidR="00B43BF0" w:rsidRPr="00D34B3F">
          <w:rPr>
            <w:rStyle w:val="Hyperlink"/>
            <w:noProof/>
          </w:rPr>
          <w:t>Authority</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_Toc173245774 \h </w:instrText>
        </w:r>
        <w:r w:rsidR="00B43BF0" w:rsidRPr="007F5F5C">
          <w:rPr>
            <w:noProof/>
            <w:webHidden/>
          </w:rPr>
        </w:r>
        <w:r w:rsidR="00B43BF0" w:rsidRPr="007F5F5C">
          <w:rPr>
            <w:noProof/>
            <w:webHidden/>
          </w:rPr>
          <w:fldChar w:fldCharType="separate"/>
        </w:r>
        <w:r w:rsidR="00B43BF0" w:rsidRPr="00D34B3F">
          <w:rPr>
            <w:noProof/>
            <w:webHidden/>
          </w:rPr>
          <w:t>15</w:t>
        </w:r>
        <w:r w:rsidR="00B43BF0" w:rsidRPr="007F5F5C">
          <w:rPr>
            <w:noProof/>
            <w:webHidden/>
          </w:rPr>
          <w:fldChar w:fldCharType="end"/>
        </w:r>
      </w:hyperlink>
    </w:p>
    <w:p w14:paraId="4B8EA0CB" w14:textId="3EA68770" w:rsidR="00B43BF0" w:rsidRPr="00D34B3F" w:rsidRDefault="007A1A5A">
      <w:pPr>
        <w:pStyle w:val="TOC5"/>
        <w:rPr>
          <w:rFonts w:eastAsiaTheme="minorEastAsia"/>
          <w:noProof/>
          <w:kern w:val="2"/>
          <w:sz w:val="22"/>
          <w:lang w:eastAsia="en-AU"/>
          <w14:ligatures w14:val="standardContextual"/>
        </w:rPr>
      </w:pPr>
      <w:hyperlink w:anchor="_Toc173245775" w:history="1">
        <w:r w:rsidR="00B43BF0" w:rsidRPr="00D34B3F">
          <w:rPr>
            <w:rStyle w:val="Hyperlink"/>
            <w:rFonts w:eastAsiaTheme="majorEastAsia"/>
            <w:noProof/>
            <w14:scene3d>
              <w14:camera w14:prst="orthographicFront"/>
              <w14:lightRig w14:rig="threePt" w14:dir="t">
                <w14:rot w14:lat="0" w14:lon="0" w14:rev="0"/>
              </w14:lightRig>
            </w14:scene3d>
          </w:rPr>
          <w:t>10.1</w:t>
        </w:r>
        <w:r w:rsidR="00B43BF0" w:rsidRPr="00D34B3F">
          <w:rPr>
            <w:rFonts w:eastAsiaTheme="minorEastAsia"/>
            <w:noProof/>
            <w:kern w:val="2"/>
            <w:sz w:val="22"/>
            <w:lang w:eastAsia="en-AU"/>
            <w14:ligatures w14:val="standardContextual"/>
          </w:rPr>
          <w:tab/>
        </w:r>
        <w:r w:rsidR="00B43BF0" w:rsidRPr="00D34B3F">
          <w:rPr>
            <w:rStyle w:val="Hyperlink"/>
            <w:noProof/>
          </w:rPr>
          <w:t>Accountability</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_Toc173245775 \h </w:instrText>
        </w:r>
        <w:r w:rsidR="00B43BF0" w:rsidRPr="007F5F5C">
          <w:rPr>
            <w:noProof/>
            <w:webHidden/>
          </w:rPr>
        </w:r>
        <w:r w:rsidR="00B43BF0" w:rsidRPr="007F5F5C">
          <w:rPr>
            <w:noProof/>
            <w:webHidden/>
          </w:rPr>
          <w:fldChar w:fldCharType="separate"/>
        </w:r>
        <w:r w:rsidR="00B43BF0" w:rsidRPr="00D34B3F">
          <w:rPr>
            <w:noProof/>
            <w:webHidden/>
          </w:rPr>
          <w:t>15</w:t>
        </w:r>
        <w:r w:rsidR="00B43BF0" w:rsidRPr="007F5F5C">
          <w:rPr>
            <w:noProof/>
            <w:webHidden/>
          </w:rPr>
          <w:fldChar w:fldCharType="end"/>
        </w:r>
      </w:hyperlink>
    </w:p>
    <w:p w14:paraId="39BB78EB" w14:textId="2A32C4E1" w:rsidR="00B43BF0" w:rsidRPr="00D34B3F" w:rsidRDefault="007A1A5A">
      <w:pPr>
        <w:pStyle w:val="TOC4"/>
        <w:rPr>
          <w:rFonts w:eastAsiaTheme="minorEastAsia"/>
          <w:noProof/>
          <w:kern w:val="2"/>
          <w:sz w:val="22"/>
          <w:lang w:eastAsia="en-AU"/>
          <w14:ligatures w14:val="standardContextual"/>
        </w:rPr>
      </w:pPr>
      <w:hyperlink w:anchor="_Toc173245776" w:history="1">
        <w:r w:rsidR="00B43BF0" w:rsidRPr="00D34B3F">
          <w:rPr>
            <w:rStyle w:val="Hyperlink"/>
            <w:rFonts w:eastAsiaTheme="majorEastAsia"/>
            <w:noProof/>
            <w14:scene3d>
              <w14:camera w14:prst="orthographicFront"/>
              <w14:lightRig w14:rig="threePt" w14:dir="t">
                <w14:rot w14:lat="0" w14:lon="0" w14:rev="0"/>
              </w14:lightRig>
            </w14:scene3d>
          </w:rPr>
          <w:t>11.</w:t>
        </w:r>
        <w:r w:rsidR="00B43BF0" w:rsidRPr="00D34B3F">
          <w:rPr>
            <w:rFonts w:eastAsiaTheme="minorEastAsia"/>
            <w:noProof/>
            <w:kern w:val="2"/>
            <w:sz w:val="22"/>
            <w:lang w:eastAsia="en-AU"/>
            <w14:ligatures w14:val="standardContextual"/>
          </w:rPr>
          <w:tab/>
        </w:r>
        <w:r w:rsidR="00B43BF0" w:rsidRPr="00D34B3F">
          <w:rPr>
            <w:rStyle w:val="Hyperlink"/>
            <w:noProof/>
          </w:rPr>
          <w:t>Responsibility</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_Toc173245776 \h </w:instrText>
        </w:r>
        <w:r w:rsidR="00B43BF0" w:rsidRPr="007F5F5C">
          <w:rPr>
            <w:noProof/>
            <w:webHidden/>
          </w:rPr>
        </w:r>
        <w:r w:rsidR="00B43BF0" w:rsidRPr="007F5F5C">
          <w:rPr>
            <w:noProof/>
            <w:webHidden/>
          </w:rPr>
          <w:fldChar w:fldCharType="separate"/>
        </w:r>
        <w:r w:rsidR="00B43BF0" w:rsidRPr="00D34B3F">
          <w:rPr>
            <w:noProof/>
            <w:webHidden/>
          </w:rPr>
          <w:t>15</w:t>
        </w:r>
        <w:r w:rsidR="00B43BF0" w:rsidRPr="007F5F5C">
          <w:rPr>
            <w:noProof/>
            <w:webHidden/>
          </w:rPr>
          <w:fldChar w:fldCharType="end"/>
        </w:r>
      </w:hyperlink>
    </w:p>
    <w:p w14:paraId="681A9BCC" w14:textId="47C1EB1B" w:rsidR="00B43BF0" w:rsidRPr="00D34B3F" w:rsidRDefault="007A1A5A">
      <w:pPr>
        <w:pStyle w:val="TOC5"/>
        <w:rPr>
          <w:rFonts w:eastAsiaTheme="minorEastAsia"/>
          <w:noProof/>
          <w:kern w:val="2"/>
          <w:sz w:val="22"/>
          <w:lang w:eastAsia="en-AU"/>
          <w14:ligatures w14:val="standardContextual"/>
        </w:rPr>
      </w:pPr>
      <w:hyperlink w:anchor="_Toc173245777" w:history="1">
        <w:r w:rsidR="00B43BF0" w:rsidRPr="00D34B3F">
          <w:rPr>
            <w:rStyle w:val="Hyperlink"/>
            <w:rFonts w:eastAsiaTheme="majorEastAsia"/>
            <w:noProof/>
            <w14:scene3d>
              <w14:camera w14:prst="orthographicFront"/>
              <w14:lightRig w14:rig="threePt" w14:dir="t">
                <w14:rot w14:lat="0" w14:lon="0" w14:rev="0"/>
              </w14:lightRig>
            </w14:scene3d>
          </w:rPr>
          <w:t>11.1</w:t>
        </w:r>
        <w:r w:rsidR="00B43BF0" w:rsidRPr="00D34B3F">
          <w:rPr>
            <w:rFonts w:eastAsiaTheme="minorEastAsia"/>
            <w:noProof/>
            <w:kern w:val="2"/>
            <w:sz w:val="22"/>
            <w:lang w:eastAsia="en-AU"/>
            <w14:ligatures w14:val="standardContextual"/>
          </w:rPr>
          <w:tab/>
        </w:r>
        <w:r w:rsidR="00B43BF0" w:rsidRPr="00D34B3F">
          <w:rPr>
            <w:rStyle w:val="Hyperlink"/>
            <w:noProof/>
          </w:rPr>
          <w:t>Functional responsibility</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_Toc173245777 \h </w:instrText>
        </w:r>
        <w:r w:rsidR="00B43BF0" w:rsidRPr="007F5F5C">
          <w:rPr>
            <w:noProof/>
            <w:webHidden/>
          </w:rPr>
        </w:r>
        <w:r w:rsidR="00B43BF0" w:rsidRPr="007F5F5C">
          <w:rPr>
            <w:noProof/>
            <w:webHidden/>
          </w:rPr>
          <w:fldChar w:fldCharType="separate"/>
        </w:r>
        <w:r w:rsidR="00B43BF0" w:rsidRPr="00D34B3F">
          <w:rPr>
            <w:noProof/>
            <w:webHidden/>
          </w:rPr>
          <w:t>15</w:t>
        </w:r>
        <w:r w:rsidR="00B43BF0" w:rsidRPr="007F5F5C">
          <w:rPr>
            <w:noProof/>
            <w:webHidden/>
          </w:rPr>
          <w:fldChar w:fldCharType="end"/>
        </w:r>
      </w:hyperlink>
    </w:p>
    <w:p w14:paraId="5FD7C570" w14:textId="70CE8965" w:rsidR="00B43BF0" w:rsidRPr="00D34B3F" w:rsidRDefault="007A1A5A">
      <w:pPr>
        <w:pStyle w:val="TOC4"/>
        <w:rPr>
          <w:rFonts w:eastAsiaTheme="minorEastAsia"/>
          <w:noProof/>
          <w:kern w:val="2"/>
          <w:sz w:val="22"/>
          <w:lang w:eastAsia="en-AU"/>
          <w14:ligatures w14:val="standardContextual"/>
        </w:rPr>
      </w:pPr>
      <w:hyperlink w:anchor="_Toc173245778" w:history="1">
        <w:r w:rsidR="00B43BF0" w:rsidRPr="00D34B3F">
          <w:rPr>
            <w:rStyle w:val="Hyperlink"/>
            <w:rFonts w:eastAsiaTheme="majorEastAsia"/>
            <w:noProof/>
            <w14:scene3d>
              <w14:camera w14:prst="orthographicFront"/>
              <w14:lightRig w14:rig="threePt" w14:dir="t">
                <w14:rot w14:lat="0" w14:lon="0" w14:rev="0"/>
              </w14:lightRig>
            </w14:scene3d>
          </w:rPr>
          <w:t>12.</w:t>
        </w:r>
        <w:r w:rsidR="00B43BF0" w:rsidRPr="00D34B3F">
          <w:rPr>
            <w:rFonts w:eastAsiaTheme="minorEastAsia"/>
            <w:noProof/>
            <w:kern w:val="2"/>
            <w:sz w:val="22"/>
            <w:lang w:eastAsia="en-AU"/>
            <w14:ligatures w14:val="standardContextual"/>
          </w:rPr>
          <w:tab/>
        </w:r>
        <w:r w:rsidR="00B43BF0" w:rsidRPr="00D34B3F">
          <w:rPr>
            <w:rStyle w:val="Hyperlink"/>
            <w:noProof/>
          </w:rPr>
          <w:t>Supporting documents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_Toc173245778 \h </w:instrText>
        </w:r>
        <w:r w:rsidR="00B43BF0" w:rsidRPr="007F5F5C">
          <w:rPr>
            <w:noProof/>
            <w:webHidden/>
          </w:rPr>
        </w:r>
        <w:r w:rsidR="00B43BF0" w:rsidRPr="007F5F5C">
          <w:rPr>
            <w:noProof/>
            <w:webHidden/>
          </w:rPr>
          <w:fldChar w:fldCharType="separate"/>
        </w:r>
        <w:r w:rsidR="00B43BF0" w:rsidRPr="00D34B3F">
          <w:rPr>
            <w:noProof/>
            <w:webHidden/>
          </w:rPr>
          <w:t>15</w:t>
        </w:r>
        <w:r w:rsidR="00B43BF0" w:rsidRPr="007F5F5C">
          <w:rPr>
            <w:noProof/>
            <w:webHidden/>
          </w:rPr>
          <w:fldChar w:fldCharType="end"/>
        </w:r>
      </w:hyperlink>
    </w:p>
    <w:p w14:paraId="73BE3BD7" w14:textId="2761EC02" w:rsidR="00B43BF0" w:rsidRPr="00D34B3F" w:rsidRDefault="007A1A5A">
      <w:pPr>
        <w:pStyle w:val="TOC4"/>
        <w:rPr>
          <w:rFonts w:eastAsiaTheme="minorEastAsia"/>
          <w:noProof/>
          <w:kern w:val="2"/>
          <w:sz w:val="22"/>
          <w:lang w:eastAsia="en-AU"/>
          <w14:ligatures w14:val="standardContextual"/>
        </w:rPr>
      </w:pPr>
      <w:hyperlink w:anchor="_Toc173245779" w:history="1">
        <w:r w:rsidR="00B43BF0" w:rsidRPr="00D34B3F">
          <w:rPr>
            <w:rStyle w:val="Hyperlink"/>
            <w:rFonts w:eastAsiaTheme="majorEastAsia"/>
            <w:noProof/>
            <w14:scene3d>
              <w14:camera w14:prst="orthographicFront"/>
              <w14:lightRig w14:rig="threePt" w14:dir="t">
                <w14:rot w14:lat="0" w14:lon="0" w14:rev="0"/>
              </w14:lightRig>
            </w14:scene3d>
          </w:rPr>
          <w:t>13.</w:t>
        </w:r>
        <w:r w:rsidR="00B43BF0" w:rsidRPr="00D34B3F">
          <w:rPr>
            <w:rFonts w:eastAsiaTheme="minorEastAsia"/>
            <w:noProof/>
            <w:kern w:val="2"/>
            <w:sz w:val="22"/>
            <w:lang w:eastAsia="en-AU"/>
            <w14:ligatures w14:val="standardContextual"/>
          </w:rPr>
          <w:tab/>
        </w:r>
        <w:r w:rsidR="00B43BF0" w:rsidRPr="00D34B3F">
          <w:rPr>
            <w:rStyle w:val="Hyperlink"/>
            <w:noProof/>
          </w:rPr>
          <w:t>Implementation and review</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_Toc173245779 \h </w:instrText>
        </w:r>
        <w:r w:rsidR="00B43BF0" w:rsidRPr="007F5F5C">
          <w:rPr>
            <w:noProof/>
            <w:webHidden/>
          </w:rPr>
        </w:r>
        <w:r w:rsidR="00B43BF0" w:rsidRPr="007F5F5C">
          <w:rPr>
            <w:noProof/>
            <w:webHidden/>
          </w:rPr>
          <w:fldChar w:fldCharType="separate"/>
        </w:r>
        <w:r w:rsidR="00B43BF0" w:rsidRPr="00D34B3F">
          <w:rPr>
            <w:noProof/>
            <w:webHidden/>
          </w:rPr>
          <w:t>16</w:t>
        </w:r>
        <w:r w:rsidR="00B43BF0" w:rsidRPr="007F5F5C">
          <w:rPr>
            <w:noProof/>
            <w:webHidden/>
          </w:rPr>
          <w:fldChar w:fldCharType="end"/>
        </w:r>
      </w:hyperlink>
    </w:p>
    <w:p w14:paraId="640AA55C" w14:textId="3D87C14D" w:rsidR="00B43BF0" w:rsidRPr="00D34B3F" w:rsidRDefault="007A1A5A">
      <w:pPr>
        <w:pStyle w:val="TOC4"/>
        <w:rPr>
          <w:rFonts w:eastAsiaTheme="minorEastAsia"/>
          <w:noProof/>
          <w:kern w:val="2"/>
          <w:sz w:val="22"/>
          <w:lang w:eastAsia="en-AU"/>
          <w14:ligatures w14:val="standardContextual"/>
        </w:rPr>
      </w:pPr>
      <w:hyperlink w:anchor="_Toc173245780" w:history="1">
        <w:r w:rsidR="00B43BF0" w:rsidRPr="00D34B3F">
          <w:rPr>
            <w:rStyle w:val="Hyperlink"/>
            <w:noProof/>
            <w14:scene3d>
              <w14:camera w14:prst="orthographicFront"/>
              <w14:lightRig w14:rig="threePt" w14:dir="t">
                <w14:rot w14:lat="0" w14:lon="0" w14:rev="0"/>
              </w14:lightRig>
            </w14:scene3d>
          </w:rPr>
          <w:t>14.</w:t>
        </w:r>
        <w:r w:rsidR="00B43BF0" w:rsidRPr="00D34B3F">
          <w:rPr>
            <w:rFonts w:eastAsiaTheme="minorEastAsia"/>
            <w:noProof/>
            <w:kern w:val="2"/>
            <w:sz w:val="22"/>
            <w:lang w:eastAsia="en-AU"/>
            <w14:ligatures w14:val="standardContextual"/>
          </w:rPr>
          <w:tab/>
        </w:r>
        <w:r w:rsidR="00B43BF0" w:rsidRPr="00D34B3F">
          <w:rPr>
            <w:rStyle w:val="Hyperlink"/>
            <w:noProof/>
          </w:rPr>
          <w:t>Definitions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_Toc173245780 \h </w:instrText>
        </w:r>
        <w:r w:rsidR="00B43BF0" w:rsidRPr="007F5F5C">
          <w:rPr>
            <w:noProof/>
            <w:webHidden/>
          </w:rPr>
        </w:r>
        <w:r w:rsidR="00B43BF0" w:rsidRPr="007F5F5C">
          <w:rPr>
            <w:noProof/>
            <w:webHidden/>
          </w:rPr>
          <w:fldChar w:fldCharType="separate"/>
        </w:r>
        <w:r w:rsidR="00B43BF0" w:rsidRPr="00D34B3F">
          <w:rPr>
            <w:noProof/>
            <w:webHidden/>
          </w:rPr>
          <w:t>17</w:t>
        </w:r>
        <w:r w:rsidR="00B43BF0" w:rsidRPr="007F5F5C">
          <w:rPr>
            <w:noProof/>
            <w:webHidden/>
          </w:rPr>
          <w:fldChar w:fldCharType="end"/>
        </w:r>
      </w:hyperlink>
    </w:p>
    <w:p w14:paraId="077696D0" w14:textId="3C1E951D" w:rsidR="00B43BF0" w:rsidRPr="00D34B3F" w:rsidRDefault="007A1A5A">
      <w:pPr>
        <w:pStyle w:val="TOC4"/>
        <w:rPr>
          <w:rFonts w:eastAsiaTheme="minorEastAsia"/>
          <w:noProof/>
          <w:kern w:val="2"/>
          <w:sz w:val="22"/>
          <w:lang w:eastAsia="en-AU"/>
          <w14:ligatures w14:val="standardContextual"/>
        </w:rPr>
      </w:pPr>
      <w:hyperlink w:anchor="_Toc173245781" w:history="1">
        <w:r w:rsidR="00B43BF0" w:rsidRPr="00D34B3F">
          <w:rPr>
            <w:rStyle w:val="Hyperlink"/>
            <w:noProof/>
            <w14:scene3d>
              <w14:camera w14:prst="orthographicFront"/>
              <w14:lightRig w14:rig="threePt" w14:dir="t">
                <w14:rot w14:lat="0" w14:lon="0" w14:rev="0"/>
              </w14:lightRig>
            </w14:scene3d>
          </w:rPr>
          <w:t>15.</w:t>
        </w:r>
        <w:r w:rsidR="00B43BF0" w:rsidRPr="00D34B3F">
          <w:rPr>
            <w:rFonts w:eastAsiaTheme="minorEastAsia"/>
            <w:noProof/>
            <w:kern w:val="2"/>
            <w:sz w:val="22"/>
            <w:lang w:eastAsia="en-AU"/>
            <w14:ligatures w14:val="standardContextual"/>
          </w:rPr>
          <w:tab/>
        </w:r>
        <w:r w:rsidR="00B43BF0" w:rsidRPr="00D34B3F">
          <w:rPr>
            <w:rStyle w:val="Hyperlink"/>
            <w:noProof/>
          </w:rPr>
          <w:t>References</w:t>
        </w:r>
        <w:r w:rsidR="00B43BF0" w:rsidRPr="00D34B3F">
          <w:rPr>
            <w:noProof/>
            <w:webHidden/>
          </w:rPr>
          <w:tab/>
        </w:r>
        <w:r w:rsidR="00B43BF0" w:rsidRPr="007F5F5C">
          <w:rPr>
            <w:noProof/>
            <w:webHidden/>
          </w:rPr>
          <w:fldChar w:fldCharType="begin"/>
        </w:r>
        <w:r w:rsidR="00B43BF0" w:rsidRPr="00D34B3F">
          <w:rPr>
            <w:noProof/>
            <w:webHidden/>
          </w:rPr>
          <w:instrText xml:space="preserve"> PAGEREF _Toc173245781 \h </w:instrText>
        </w:r>
        <w:r w:rsidR="00B43BF0" w:rsidRPr="007F5F5C">
          <w:rPr>
            <w:noProof/>
            <w:webHidden/>
          </w:rPr>
        </w:r>
        <w:r w:rsidR="00B43BF0" w:rsidRPr="007F5F5C">
          <w:rPr>
            <w:noProof/>
            <w:webHidden/>
          </w:rPr>
          <w:fldChar w:fldCharType="separate"/>
        </w:r>
        <w:r w:rsidR="00B43BF0" w:rsidRPr="00D34B3F">
          <w:rPr>
            <w:noProof/>
            <w:webHidden/>
          </w:rPr>
          <w:t>18</w:t>
        </w:r>
        <w:r w:rsidR="00B43BF0" w:rsidRPr="007F5F5C">
          <w:rPr>
            <w:noProof/>
            <w:webHidden/>
          </w:rPr>
          <w:fldChar w:fldCharType="end"/>
        </w:r>
      </w:hyperlink>
    </w:p>
    <w:p w14:paraId="4C6C1DAC" w14:textId="577434DA" w:rsidR="00E43D2C" w:rsidRDefault="00E43D2C" w:rsidP="008271FB">
      <w:pPr>
        <w:sectPr w:rsidR="00E43D2C" w:rsidSect="00406ADB">
          <w:headerReference w:type="even" r:id="rId13"/>
          <w:headerReference w:type="default" r:id="rId14"/>
          <w:footerReference w:type="even" r:id="rId15"/>
          <w:footerReference w:type="default" r:id="rId16"/>
          <w:headerReference w:type="first" r:id="rId17"/>
          <w:footerReference w:type="first" r:id="rId18"/>
          <w:pgSz w:w="11906" w:h="16838" w:code="9"/>
          <w:pgMar w:top="1843" w:right="1418" w:bottom="1559" w:left="1418" w:header="567" w:footer="510" w:gutter="0"/>
          <w:pgNumType w:start="0"/>
          <w:cols w:space="708"/>
          <w:docGrid w:linePitch="360"/>
        </w:sectPr>
      </w:pPr>
      <w:r w:rsidRPr="007F5F5C">
        <w:rPr>
          <w:rFonts w:cs="Arial"/>
          <w:noProof/>
          <w:sz w:val="22"/>
        </w:rPr>
        <w:fldChar w:fldCharType="end"/>
      </w:r>
      <w:bookmarkEnd w:id="4"/>
    </w:p>
    <w:p w14:paraId="1237B6AA" w14:textId="73A5BF32" w:rsidR="00A010CD" w:rsidRPr="005A406A" w:rsidRDefault="004E3690" w:rsidP="00617B09">
      <w:pPr>
        <w:pStyle w:val="Heading3"/>
        <w:rPr>
          <w:rStyle w:val="Strong"/>
          <w:b/>
          <w:bCs w:val="0"/>
        </w:rPr>
      </w:pPr>
      <w:bookmarkStart w:id="5" w:name="_Toc153960159"/>
      <w:bookmarkStart w:id="6" w:name="_Toc173245758"/>
      <w:r>
        <w:rPr>
          <w:noProof/>
        </w:rPr>
        <w:lastRenderedPageBreak/>
        <mc:AlternateContent>
          <mc:Choice Requires="wps">
            <w:drawing>
              <wp:anchor distT="0" distB="0" distL="114300" distR="114300" simplePos="0" relativeHeight="251658242" behindDoc="1" locked="0" layoutInCell="1" allowOverlap="1" wp14:anchorId="35A1B9C4" wp14:editId="30609BEA">
                <wp:simplePos x="0" y="0"/>
                <wp:positionH relativeFrom="margin">
                  <wp:posOffset>-153007</wp:posOffset>
                </wp:positionH>
                <wp:positionV relativeFrom="paragraph">
                  <wp:posOffset>-73025</wp:posOffset>
                </wp:positionV>
                <wp:extent cx="6066845" cy="1446999"/>
                <wp:effectExtent l="0" t="0" r="0" b="127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66845" cy="144699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E78E51" id="Rectangle 6" o:spid="_x0000_s1026" alt="&quot;&quot;" style="position:absolute;margin-left:-12.05pt;margin-top:-5.75pt;width:477.7pt;height:113.95pt;z-index:-2516582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" fillcolor="#f2f2f2 [3052]" stroked="f" strokeweight="1pt">
                <w10:wrap anchorx="margin"/>
              </v:rect>
            </w:pict>
          </mc:Fallback>
        </mc:AlternateContent>
      </w:r>
      <w:r w:rsidR="009C46CE">
        <w:rPr>
          <w:rStyle w:val="Strong"/>
          <w:b/>
          <w:bCs w:val="0"/>
        </w:rPr>
        <w:t>TMR</w:t>
      </w:r>
      <w:r w:rsidR="00714764">
        <w:rPr>
          <w:rStyle w:val="Strong"/>
          <w:b/>
          <w:bCs w:val="0"/>
        </w:rPr>
        <w:t>’</w:t>
      </w:r>
      <w:r w:rsidR="009C46CE">
        <w:rPr>
          <w:rStyle w:val="Strong"/>
          <w:b/>
          <w:bCs w:val="0"/>
        </w:rPr>
        <w:t>s</w:t>
      </w:r>
      <w:r w:rsidR="009C46CE" w:rsidRPr="008B1E2C">
        <w:rPr>
          <w:rStyle w:val="Strong"/>
          <w:b/>
          <w:bCs w:val="0"/>
        </w:rPr>
        <w:t xml:space="preserve"> </w:t>
      </w:r>
      <w:r w:rsidR="00A010CD" w:rsidRPr="008B1E2C">
        <w:rPr>
          <w:rStyle w:val="Strong"/>
          <w:b/>
          <w:bCs w:val="0"/>
        </w:rPr>
        <w:t xml:space="preserve">Movement and Place </w:t>
      </w:r>
      <w:r w:rsidR="009C46CE">
        <w:rPr>
          <w:rStyle w:val="Strong"/>
          <w:b/>
          <w:bCs w:val="0"/>
        </w:rPr>
        <w:t>V</w:t>
      </w:r>
      <w:r w:rsidR="00A010CD" w:rsidRPr="008B1E2C">
        <w:rPr>
          <w:rStyle w:val="Strong"/>
          <w:b/>
          <w:bCs w:val="0"/>
        </w:rPr>
        <w:t>ision</w:t>
      </w:r>
      <w:bookmarkEnd w:id="5"/>
      <w:bookmarkEnd w:id="6"/>
    </w:p>
    <w:p w14:paraId="13E85B0B" w14:textId="01CAC680" w:rsidR="00A010CD" w:rsidRPr="00971735" w:rsidRDefault="00A010CD" w:rsidP="005A406A">
      <w:pPr>
        <w:spacing w:after="120"/>
        <w:rPr>
          <w:lang w:eastAsia="en-AU"/>
        </w:rPr>
      </w:pPr>
      <w:r w:rsidRPr="00971735">
        <w:rPr>
          <w:rFonts w:eastAsia="Times New Roman"/>
        </w:rPr>
        <w:t xml:space="preserve">With collaboration and inclusivity at the centre of what we do, we consider the </w:t>
      </w:r>
      <w:r w:rsidR="005A421E" w:rsidRPr="00971735">
        <w:rPr>
          <w:rFonts w:eastAsia="Times New Roman"/>
        </w:rPr>
        <w:t>compl</w:t>
      </w:r>
      <w:r w:rsidR="002F5321" w:rsidRPr="00971735">
        <w:rPr>
          <w:rFonts w:eastAsia="Times New Roman"/>
        </w:rPr>
        <w:t>e</w:t>
      </w:r>
      <w:r w:rsidR="005A421E" w:rsidRPr="00971735">
        <w:rPr>
          <w:rFonts w:eastAsia="Times New Roman"/>
        </w:rPr>
        <w:t xml:space="preserve">mentary </w:t>
      </w:r>
      <w:r w:rsidR="00C3753C" w:rsidRPr="00971735">
        <w:rPr>
          <w:rFonts w:eastAsia="Times New Roman"/>
        </w:rPr>
        <w:t xml:space="preserve">and </w:t>
      </w:r>
      <w:r w:rsidR="005A421E" w:rsidRPr="00971735">
        <w:rPr>
          <w:rFonts w:eastAsia="Times New Roman"/>
        </w:rPr>
        <w:t xml:space="preserve">essential </w:t>
      </w:r>
      <w:r w:rsidR="00C72285" w:rsidRPr="00971735">
        <w:rPr>
          <w:rFonts w:eastAsia="Times New Roman"/>
        </w:rPr>
        <w:t xml:space="preserve">contributory </w:t>
      </w:r>
      <w:r w:rsidRPr="00971735">
        <w:rPr>
          <w:rFonts w:eastAsia="Times New Roman"/>
        </w:rPr>
        <w:t xml:space="preserve">functions of movement and place together to </w:t>
      </w:r>
      <w:r w:rsidR="005A421E" w:rsidRPr="00971735">
        <w:rPr>
          <w:rFonts w:eastAsia="Times New Roman"/>
        </w:rPr>
        <w:t xml:space="preserve">deliver </w:t>
      </w:r>
      <w:r w:rsidRPr="00971735">
        <w:rPr>
          <w:rFonts w:eastAsia="Times New Roman"/>
        </w:rPr>
        <w:t xml:space="preserve">multiple-value outcomes </w:t>
      </w:r>
      <w:r w:rsidR="005A421E" w:rsidRPr="00971735">
        <w:rPr>
          <w:rFonts w:eastAsia="Times New Roman"/>
        </w:rPr>
        <w:t xml:space="preserve">from </w:t>
      </w:r>
      <w:r w:rsidRPr="00971735">
        <w:rPr>
          <w:rFonts w:eastAsia="Times New Roman"/>
        </w:rPr>
        <w:t>our transport network.</w:t>
      </w:r>
      <w:r w:rsidR="005A406A" w:rsidRPr="00971735">
        <w:rPr>
          <w:rFonts w:eastAsia="Times New Roman"/>
        </w:rPr>
        <w:t xml:space="preserve"> </w:t>
      </w:r>
      <w:r w:rsidRPr="00971735">
        <w:rPr>
          <w:rFonts w:eastAsia="Times New Roman"/>
        </w:rPr>
        <w:t xml:space="preserve">In doing so, we </w:t>
      </w:r>
      <w:r w:rsidR="00FE2826" w:rsidRPr="00971735">
        <w:rPr>
          <w:rFonts w:eastAsia="Times New Roman"/>
        </w:rPr>
        <w:t xml:space="preserve">positively </w:t>
      </w:r>
      <w:r w:rsidRPr="00971735">
        <w:rPr>
          <w:rFonts w:eastAsia="Times New Roman"/>
        </w:rPr>
        <w:t xml:space="preserve">contribute to the </w:t>
      </w:r>
      <w:r w:rsidR="00FE2826" w:rsidRPr="00971735">
        <w:rPr>
          <w:rFonts w:eastAsia="Times New Roman"/>
        </w:rPr>
        <w:t xml:space="preserve">creation </w:t>
      </w:r>
      <w:r w:rsidRPr="00971735">
        <w:rPr>
          <w:rFonts w:eastAsia="Times New Roman"/>
        </w:rPr>
        <w:t xml:space="preserve">of more connected, liveable and sustainable neighbourhoods, cities and regions for all </w:t>
      </w:r>
      <w:r w:rsidR="000D54AC" w:rsidRPr="00971735">
        <w:rPr>
          <w:rFonts w:eastAsia="Times New Roman"/>
        </w:rPr>
        <w:t>Q</w:t>
      </w:r>
      <w:r w:rsidRPr="00971735">
        <w:rPr>
          <w:rFonts w:eastAsia="Times New Roman"/>
        </w:rPr>
        <w:t>ueenslanders.</w:t>
      </w:r>
    </w:p>
    <w:p w14:paraId="27E5E0AF" w14:textId="427AC0AB" w:rsidR="00A010CD" w:rsidRPr="002A2BA8" w:rsidRDefault="00A010CD" w:rsidP="009D4E1B">
      <w:pPr>
        <w:pStyle w:val="AltHeading1"/>
        <w:tabs>
          <w:tab w:val="clear" w:pos="1134"/>
          <w:tab w:val="left" w:pos="902"/>
        </w:tabs>
        <w:spacing w:before="240" w:after="120"/>
        <w:ind w:left="0" w:firstLine="0"/>
        <w:rPr>
          <w:rStyle w:val="Heading1Char"/>
          <w:rFonts w:cs="Arial"/>
          <w:color w:val="003C69"/>
          <w:sz w:val="16"/>
          <w:szCs w:val="16"/>
        </w:rPr>
      </w:pPr>
      <w:bookmarkStart w:id="7" w:name="_Toc173245759"/>
      <w:r>
        <w:t>Purpose</w:t>
      </w:r>
      <w:bookmarkEnd w:id="7"/>
    </w:p>
    <w:p w14:paraId="4223AD52" w14:textId="229D5C09" w:rsidR="00DE34E5" w:rsidRPr="000B14AA" w:rsidRDefault="00DE34E5" w:rsidP="006B54F1">
      <w:pPr>
        <w:spacing w:after="120"/>
      </w:pPr>
      <w:r w:rsidRPr="006B54F1" w:rsidDel="00A872C7">
        <w:rPr>
          <w:i/>
          <w:iCs/>
          <w:lang w:eastAsia="en-AU"/>
        </w:rPr>
        <w:t>Movement and</w:t>
      </w:r>
      <w:r w:rsidRPr="006B54F1">
        <w:rPr>
          <w:i/>
          <w:iCs/>
          <w:lang w:eastAsia="en-AU"/>
        </w:rPr>
        <w:t xml:space="preserve"> p</w:t>
      </w:r>
      <w:r w:rsidRPr="006B54F1" w:rsidDel="00A872C7">
        <w:rPr>
          <w:i/>
          <w:iCs/>
          <w:lang w:eastAsia="en-AU"/>
        </w:rPr>
        <w:t>lace</w:t>
      </w:r>
      <w:r w:rsidRPr="006B54F1" w:rsidDel="00A872C7">
        <w:rPr>
          <w:lang w:eastAsia="en-AU"/>
        </w:rPr>
        <w:t xml:space="preserve"> </w:t>
      </w:r>
      <w:r w:rsidRPr="006B54F1">
        <w:rPr>
          <w:lang w:eastAsia="en-AU"/>
        </w:rPr>
        <w:t>is an internationally recognised best practice planning and design approach that seeks to balance the transport network</w:t>
      </w:r>
      <w:r w:rsidR="00BA6747">
        <w:rPr>
          <w:lang w:eastAsia="en-AU"/>
        </w:rPr>
        <w:t>’</w:t>
      </w:r>
      <w:r w:rsidRPr="006B54F1">
        <w:rPr>
          <w:lang w:eastAsia="en-AU"/>
        </w:rPr>
        <w:t xml:space="preserve">s function in moving people and goods with the role of transport corridors, nodes and precincts as places that are essential to social and economic activity. It </w:t>
      </w:r>
      <w:r w:rsidRPr="006B54F1" w:rsidDel="00A872C7">
        <w:rPr>
          <w:lang w:eastAsia="en-AU"/>
        </w:rPr>
        <w:t>help</w:t>
      </w:r>
      <w:r w:rsidRPr="006B54F1">
        <w:rPr>
          <w:lang w:eastAsia="en-AU"/>
        </w:rPr>
        <w:t>s</w:t>
      </w:r>
      <w:r w:rsidRPr="006B54F1" w:rsidDel="00A872C7">
        <w:rPr>
          <w:lang w:eastAsia="en-AU"/>
        </w:rPr>
        <w:t xml:space="preserve"> </w:t>
      </w:r>
      <w:r w:rsidRPr="006B54F1">
        <w:rPr>
          <w:lang w:eastAsia="en-AU"/>
        </w:rPr>
        <w:t xml:space="preserve">decision makers </w:t>
      </w:r>
      <w:r w:rsidRPr="006B54F1" w:rsidDel="00A872C7">
        <w:rPr>
          <w:lang w:eastAsia="en-AU"/>
        </w:rPr>
        <w:t xml:space="preserve">balance the </w:t>
      </w:r>
      <w:r w:rsidRPr="006B54F1">
        <w:rPr>
          <w:lang w:eastAsia="en-AU"/>
        </w:rPr>
        <w:t xml:space="preserve">functional requirements of </w:t>
      </w:r>
      <w:r w:rsidRPr="006B54F1" w:rsidDel="00A872C7">
        <w:rPr>
          <w:lang w:eastAsia="en-AU"/>
        </w:rPr>
        <w:t xml:space="preserve">movement </w:t>
      </w:r>
      <w:r w:rsidRPr="006B54F1">
        <w:rPr>
          <w:lang w:eastAsia="en-AU"/>
        </w:rPr>
        <w:t>infrastructure</w:t>
      </w:r>
      <w:r w:rsidRPr="006B54F1" w:rsidDel="00A872C7">
        <w:rPr>
          <w:lang w:eastAsia="en-AU"/>
        </w:rPr>
        <w:t xml:space="preserve"> with </w:t>
      </w:r>
      <w:r w:rsidRPr="006B54F1">
        <w:rPr>
          <w:lang w:eastAsia="en-AU"/>
        </w:rPr>
        <w:t>the needs of people and the lifestyle characteristics and distinctive qualities of places</w:t>
      </w:r>
      <w:r w:rsidRPr="006B54F1" w:rsidDel="00A872C7">
        <w:rPr>
          <w:lang w:eastAsia="en-AU"/>
        </w:rPr>
        <w:t>.</w:t>
      </w:r>
      <w:r w:rsidRPr="006B54F1">
        <w:rPr>
          <w:lang w:eastAsia="en-AU"/>
        </w:rPr>
        <w:t xml:space="preserve"> It emphasises the role of movement infrastructure as a critical contributory element in the creation of great places.</w:t>
      </w:r>
    </w:p>
    <w:p w14:paraId="2DC2C585" w14:textId="6F5C1A0C" w:rsidR="002C4244" w:rsidRDefault="00A010CD" w:rsidP="004D6D71">
      <w:pPr>
        <w:spacing w:after="120"/>
        <w:rPr>
          <w:lang w:eastAsia="en-AU"/>
        </w:rPr>
      </w:pPr>
      <w:r w:rsidRPr="2271323C">
        <w:rPr>
          <w:lang w:eastAsia="en-AU"/>
        </w:rPr>
        <w:t xml:space="preserve">Queensland’s population </w:t>
      </w:r>
      <w:r w:rsidR="00B6035E">
        <w:rPr>
          <w:lang w:eastAsia="en-AU"/>
        </w:rPr>
        <w:t xml:space="preserve">is forecast to continue to grow strongly in </w:t>
      </w:r>
      <w:r w:rsidRPr="2271323C">
        <w:rPr>
          <w:lang w:eastAsia="en-AU"/>
        </w:rPr>
        <w:t xml:space="preserve">coming decades, </w:t>
      </w:r>
      <w:r w:rsidR="00EB142A">
        <w:rPr>
          <w:lang w:eastAsia="en-AU"/>
        </w:rPr>
        <w:t>increasing</w:t>
      </w:r>
      <w:r w:rsidR="00EB142A" w:rsidRPr="2271323C">
        <w:rPr>
          <w:lang w:eastAsia="en-AU"/>
        </w:rPr>
        <w:t xml:space="preserve"> </w:t>
      </w:r>
      <w:r w:rsidRPr="2271323C">
        <w:rPr>
          <w:lang w:eastAsia="en-AU"/>
        </w:rPr>
        <w:t>from</w:t>
      </w:r>
      <w:r w:rsidR="00C01D72" w:rsidRPr="2271323C">
        <w:rPr>
          <w:lang w:eastAsia="en-AU"/>
        </w:rPr>
        <w:t xml:space="preserve"> </w:t>
      </w:r>
      <w:r w:rsidRPr="2271323C">
        <w:rPr>
          <w:lang w:eastAsia="en-AU"/>
        </w:rPr>
        <w:t>5.</w:t>
      </w:r>
      <w:r w:rsidR="25B2A134" w:rsidRPr="56526B94">
        <w:rPr>
          <w:lang w:eastAsia="en-AU"/>
        </w:rPr>
        <w:t>2</w:t>
      </w:r>
      <w:r w:rsidRPr="2271323C">
        <w:rPr>
          <w:lang w:eastAsia="en-AU"/>
        </w:rPr>
        <w:t xml:space="preserve"> million to </w:t>
      </w:r>
      <w:r w:rsidR="2A7E8A73" w:rsidRPr="56526B94">
        <w:rPr>
          <w:lang w:eastAsia="en-AU"/>
        </w:rPr>
        <w:t>around 7.3</w:t>
      </w:r>
      <w:r w:rsidRPr="2271323C">
        <w:rPr>
          <w:lang w:eastAsia="en-AU"/>
        </w:rPr>
        <w:t xml:space="preserve"> million by 2046</w:t>
      </w:r>
      <w:r w:rsidR="4A5F875F" w:rsidRPr="56526B94">
        <w:rPr>
          <w:lang w:eastAsia="en-AU"/>
        </w:rPr>
        <w:t xml:space="preserve"> and </w:t>
      </w:r>
      <w:r w:rsidR="4A5F875F" w:rsidRPr="0D82351F">
        <w:rPr>
          <w:rFonts w:eastAsia="Arial" w:cs="Arial"/>
        </w:rPr>
        <w:t>to over 9.2 million by 2071</w:t>
      </w:r>
      <w:r w:rsidR="006408B5" w:rsidRPr="0D82351F">
        <w:rPr>
          <w:rStyle w:val="FootnoteReference"/>
          <w:rFonts w:eastAsia="Arial" w:cs="Arial"/>
        </w:rPr>
        <w:footnoteReference w:id="2"/>
      </w:r>
      <w:r w:rsidRPr="56526B94">
        <w:rPr>
          <w:lang w:eastAsia="en-AU"/>
        </w:rPr>
        <w:t>.</w:t>
      </w:r>
      <w:r w:rsidRPr="2271323C">
        <w:rPr>
          <w:lang w:eastAsia="en-AU"/>
        </w:rPr>
        <w:t xml:space="preserve"> </w:t>
      </w:r>
      <w:r w:rsidR="00955855">
        <w:rPr>
          <w:lang w:eastAsia="en-AU"/>
        </w:rPr>
        <w:t>As t</w:t>
      </w:r>
      <w:r w:rsidRPr="2271323C">
        <w:rPr>
          <w:lang w:eastAsia="en-AU"/>
        </w:rPr>
        <w:t>his growth will create additional demand and pressure on our networks and systems</w:t>
      </w:r>
      <w:r w:rsidR="00071C83">
        <w:rPr>
          <w:lang w:eastAsia="en-AU"/>
        </w:rPr>
        <w:t xml:space="preserve">, </w:t>
      </w:r>
      <w:r w:rsidR="00955855" w:rsidRPr="00735858">
        <w:rPr>
          <w:bCs/>
        </w:rPr>
        <w:t xml:space="preserve">we must ensure that </w:t>
      </w:r>
      <w:r w:rsidR="00B75F8B">
        <w:rPr>
          <w:bCs/>
        </w:rPr>
        <w:t>the decisions we make now</w:t>
      </w:r>
      <w:r w:rsidR="00955855" w:rsidRPr="00735858">
        <w:rPr>
          <w:bCs/>
        </w:rPr>
        <w:t xml:space="preserve"> </w:t>
      </w:r>
      <w:r w:rsidR="00954D92">
        <w:rPr>
          <w:bCs/>
        </w:rPr>
        <w:t xml:space="preserve">help to create and maintain </w:t>
      </w:r>
      <w:r w:rsidR="00955855" w:rsidRPr="00735858">
        <w:rPr>
          <w:bCs/>
        </w:rPr>
        <w:t>great places to live, work, shop, and socialise</w:t>
      </w:r>
      <w:r w:rsidR="0030134E">
        <w:rPr>
          <w:bCs/>
        </w:rPr>
        <w:t xml:space="preserve"> into the future</w:t>
      </w:r>
      <w:r w:rsidRPr="2271323C">
        <w:rPr>
          <w:lang w:eastAsia="en-AU"/>
        </w:rPr>
        <w:t>.</w:t>
      </w:r>
    </w:p>
    <w:p w14:paraId="38E96720" w14:textId="5CEB7FA2" w:rsidR="00A010CD" w:rsidRPr="00882A57" w:rsidRDefault="00A010CD" w:rsidP="004D6D71">
      <w:pPr>
        <w:spacing w:after="120"/>
        <w:rPr>
          <w:lang w:eastAsia="en-AU"/>
        </w:rPr>
      </w:pPr>
      <w:r w:rsidRPr="2271323C">
        <w:rPr>
          <w:rFonts w:eastAsia="Times New Roman"/>
          <w:lang w:eastAsia="en-AU"/>
        </w:rPr>
        <w:t>The Department of Transport and Main Roads</w:t>
      </w:r>
      <w:r w:rsidRPr="2271323C">
        <w:rPr>
          <w:lang w:eastAsia="en-AU"/>
        </w:rPr>
        <w:t xml:space="preserve"> (TMR) has a responsibility to plan and provide for the associated increase in the movement of people and goods while considering the relationship, </w:t>
      </w:r>
      <w:r w:rsidR="00CC2C37" w:rsidRPr="2271323C">
        <w:rPr>
          <w:lang w:eastAsia="en-AU"/>
        </w:rPr>
        <w:t>influence,</w:t>
      </w:r>
      <w:r w:rsidRPr="2271323C">
        <w:rPr>
          <w:lang w:eastAsia="en-AU"/>
        </w:rPr>
        <w:t xml:space="preserve"> and opportunities of this movement within </w:t>
      </w:r>
      <w:r w:rsidR="00A0054A">
        <w:rPr>
          <w:lang w:eastAsia="en-AU"/>
        </w:rPr>
        <w:t xml:space="preserve">the context of </w:t>
      </w:r>
      <w:r w:rsidR="008E3DE1">
        <w:rPr>
          <w:lang w:eastAsia="en-AU"/>
        </w:rPr>
        <w:t>‘</w:t>
      </w:r>
      <w:r w:rsidRPr="2271323C">
        <w:rPr>
          <w:lang w:eastAsia="en-AU"/>
        </w:rPr>
        <w:t>place</w:t>
      </w:r>
      <w:r w:rsidR="008E3DE1">
        <w:rPr>
          <w:lang w:eastAsia="en-AU"/>
        </w:rPr>
        <w:t>’</w:t>
      </w:r>
      <w:r w:rsidRPr="2271323C">
        <w:rPr>
          <w:lang w:eastAsia="en-AU"/>
        </w:rPr>
        <w:t>.</w:t>
      </w:r>
    </w:p>
    <w:p w14:paraId="6D261063" w14:textId="518C432A" w:rsidR="00A010CD" w:rsidRPr="00882A57" w:rsidRDefault="00533437" w:rsidP="004D6D71">
      <w:pPr>
        <w:spacing w:after="120"/>
        <w:rPr>
          <w:lang w:eastAsia="en-AU"/>
        </w:rPr>
      </w:pPr>
      <w:r w:rsidRPr="008B1E2C">
        <w:rPr>
          <w:i/>
          <w:iCs/>
        </w:rPr>
        <w:t xml:space="preserve">Movement and </w:t>
      </w:r>
      <w:r w:rsidR="00DC317F">
        <w:rPr>
          <w:i/>
          <w:iCs/>
        </w:rPr>
        <w:t>p</w:t>
      </w:r>
      <w:r w:rsidRPr="008B1E2C">
        <w:rPr>
          <w:i/>
          <w:iCs/>
        </w:rPr>
        <w:t>lace</w:t>
      </w:r>
      <w:r>
        <w:t xml:space="preserve"> is </w:t>
      </w:r>
      <w:r w:rsidRPr="00080B50">
        <w:t xml:space="preserve">about acknowledging </w:t>
      </w:r>
      <w:r w:rsidR="009E45E4">
        <w:t xml:space="preserve">and managing </w:t>
      </w:r>
      <w:r w:rsidRPr="00080B50">
        <w:t>the conflicts and trade</w:t>
      </w:r>
      <w:r>
        <w:t>-</w:t>
      </w:r>
      <w:r w:rsidRPr="00080B50">
        <w:t xml:space="preserve">offs that need to occur </w:t>
      </w:r>
      <w:r>
        <w:t xml:space="preserve">in order </w:t>
      </w:r>
      <w:r w:rsidRPr="00080B50">
        <w:t>to improve outcomes.</w:t>
      </w:r>
      <w:r>
        <w:t xml:space="preserve"> </w:t>
      </w:r>
      <w:r w:rsidR="00A010CD" w:rsidRPr="0D82351F">
        <w:rPr>
          <w:lang w:eastAsia="en-AU"/>
        </w:rPr>
        <w:t xml:space="preserve">The </w:t>
      </w:r>
      <w:r w:rsidR="00A010CD" w:rsidRPr="0D82351F">
        <w:rPr>
          <w:b/>
          <w:lang w:eastAsia="en-AU"/>
        </w:rPr>
        <w:t>Movement and Place Policy</w:t>
      </w:r>
      <w:r w:rsidR="00A010CD" w:rsidRPr="0D82351F">
        <w:rPr>
          <w:lang w:eastAsia="en-AU"/>
        </w:rPr>
        <w:t xml:space="preserve"> (the Policy) and associated framework provides guidance to assess these challenges and competing demands </w:t>
      </w:r>
      <w:r w:rsidR="00C01D72" w:rsidRPr="0D82351F">
        <w:rPr>
          <w:lang w:eastAsia="en-AU"/>
        </w:rPr>
        <w:t xml:space="preserve">to </w:t>
      </w:r>
      <w:r w:rsidR="00A010CD" w:rsidRPr="0D82351F">
        <w:rPr>
          <w:lang w:eastAsia="en-AU"/>
        </w:rPr>
        <w:t xml:space="preserve">consider the contributory role and value that both </w:t>
      </w:r>
      <w:r w:rsidR="00144F50" w:rsidRPr="0D82351F">
        <w:rPr>
          <w:lang w:eastAsia="en-AU"/>
        </w:rPr>
        <w:t>‘</w:t>
      </w:r>
      <w:r w:rsidR="00A010CD" w:rsidRPr="0D82351F">
        <w:rPr>
          <w:lang w:eastAsia="en-AU"/>
        </w:rPr>
        <w:t>movement</w:t>
      </w:r>
      <w:r w:rsidR="00144F50" w:rsidRPr="0D82351F">
        <w:rPr>
          <w:lang w:eastAsia="en-AU"/>
        </w:rPr>
        <w:t>’</w:t>
      </w:r>
      <w:r w:rsidR="00A010CD" w:rsidRPr="0D82351F">
        <w:rPr>
          <w:lang w:eastAsia="en-AU"/>
        </w:rPr>
        <w:t xml:space="preserve"> and </w:t>
      </w:r>
      <w:r w:rsidR="00144F50" w:rsidRPr="0D82351F">
        <w:rPr>
          <w:lang w:eastAsia="en-AU"/>
        </w:rPr>
        <w:t>‘</w:t>
      </w:r>
      <w:r w:rsidR="00A010CD" w:rsidRPr="0D82351F">
        <w:rPr>
          <w:lang w:eastAsia="en-AU"/>
        </w:rPr>
        <w:t>place</w:t>
      </w:r>
      <w:r w:rsidR="00144F50" w:rsidRPr="0D82351F">
        <w:rPr>
          <w:lang w:eastAsia="en-AU"/>
        </w:rPr>
        <w:t>’</w:t>
      </w:r>
      <w:r w:rsidR="00A010CD" w:rsidRPr="0D82351F">
        <w:rPr>
          <w:lang w:eastAsia="en-AU"/>
        </w:rPr>
        <w:t xml:space="preserve"> elements provide to the social, </w:t>
      </w:r>
      <w:r w:rsidR="00CC2C37" w:rsidRPr="0D82351F">
        <w:rPr>
          <w:lang w:eastAsia="en-AU"/>
        </w:rPr>
        <w:t>economic,</w:t>
      </w:r>
      <w:r w:rsidR="00A010CD" w:rsidRPr="0D82351F">
        <w:rPr>
          <w:lang w:eastAsia="en-AU"/>
        </w:rPr>
        <w:t xml:space="preserve"> and environmental success of Queensland into the future.</w:t>
      </w:r>
    </w:p>
    <w:p w14:paraId="684F9708" w14:textId="63D13F7E" w:rsidR="00A010CD" w:rsidRPr="00882A57" w:rsidRDefault="00A010CD" w:rsidP="004D6D71">
      <w:pPr>
        <w:spacing w:after="120"/>
        <w:rPr>
          <w:szCs w:val="24"/>
          <w:lang w:eastAsia="en-AU"/>
        </w:rPr>
      </w:pPr>
      <w:r w:rsidRPr="00882A57">
        <w:rPr>
          <w:szCs w:val="24"/>
          <w:lang w:eastAsia="en-AU"/>
        </w:rPr>
        <w:t xml:space="preserve">The purpose of the Policy is to define and establish a </w:t>
      </w:r>
      <w:r w:rsidRPr="00882A57">
        <w:rPr>
          <w:i/>
          <w:iCs/>
          <w:szCs w:val="24"/>
          <w:lang w:eastAsia="en-AU"/>
        </w:rPr>
        <w:t xml:space="preserve">movement and place </w:t>
      </w:r>
      <w:r w:rsidRPr="00882A57">
        <w:rPr>
          <w:szCs w:val="24"/>
          <w:lang w:eastAsia="en-AU"/>
        </w:rPr>
        <w:t xml:space="preserve">process responsive to the Queensland context. The Policy outlines the principles, objectives, scope and definitions of a </w:t>
      </w:r>
      <w:r w:rsidRPr="00882A57">
        <w:rPr>
          <w:i/>
          <w:iCs/>
          <w:szCs w:val="24"/>
          <w:lang w:eastAsia="en-AU"/>
        </w:rPr>
        <w:t>movement</w:t>
      </w:r>
      <w:r w:rsidRPr="00882A57">
        <w:rPr>
          <w:szCs w:val="24"/>
          <w:lang w:eastAsia="en-AU"/>
        </w:rPr>
        <w:t xml:space="preserve"> and </w:t>
      </w:r>
      <w:r w:rsidRPr="00882A57">
        <w:rPr>
          <w:i/>
          <w:iCs/>
          <w:szCs w:val="24"/>
          <w:lang w:eastAsia="en-AU"/>
        </w:rPr>
        <w:t xml:space="preserve">place </w:t>
      </w:r>
      <w:r w:rsidRPr="00882A57">
        <w:rPr>
          <w:szCs w:val="24"/>
          <w:lang w:eastAsia="en-AU"/>
        </w:rPr>
        <w:t xml:space="preserve">approach, as well as </w:t>
      </w:r>
      <w:r w:rsidR="006173F5">
        <w:rPr>
          <w:szCs w:val="24"/>
          <w:lang w:eastAsia="en-AU"/>
        </w:rPr>
        <w:t>identifying</w:t>
      </w:r>
      <w:r w:rsidR="006173F5" w:rsidRPr="00882A57">
        <w:rPr>
          <w:szCs w:val="24"/>
          <w:lang w:eastAsia="en-AU"/>
        </w:rPr>
        <w:t xml:space="preserve"> </w:t>
      </w:r>
      <w:r w:rsidRPr="00882A57">
        <w:rPr>
          <w:szCs w:val="24"/>
          <w:lang w:eastAsia="en-AU"/>
        </w:rPr>
        <w:t xml:space="preserve">key performance indicators to guide TMR in achieving significant benefits and outcomes. The Policy reflects a commitment to sustainable development, economic prosperity, social well-being, and effective governance; addressing the multifaceted challenges </w:t>
      </w:r>
      <w:r w:rsidRPr="00882A57">
        <w:rPr>
          <w:szCs w:val="24"/>
          <w:lang w:eastAsia="en-AU"/>
        </w:rPr>
        <w:lastRenderedPageBreak/>
        <w:t>and opportunities associated with the dynamic nature of urban and rural environments in Queensland.</w:t>
      </w:r>
    </w:p>
    <w:p w14:paraId="68700D57" w14:textId="7D57DDAE" w:rsidR="00DE34E5" w:rsidRPr="00882A57" w:rsidRDefault="00DE34E5" w:rsidP="00DE34E5">
      <w:pPr>
        <w:spacing w:after="120"/>
        <w:rPr>
          <w:szCs w:val="24"/>
          <w:lang w:eastAsia="en-AU"/>
        </w:rPr>
      </w:pPr>
      <w:r w:rsidRPr="00882A57">
        <w:rPr>
          <w:b/>
          <w:bCs/>
          <w:szCs w:val="24"/>
          <w:lang w:eastAsia="en-AU"/>
        </w:rPr>
        <w:t>Vision and validate</w:t>
      </w:r>
      <w:r w:rsidRPr="00882A57">
        <w:rPr>
          <w:szCs w:val="24"/>
          <w:lang w:eastAsia="en-AU"/>
        </w:rPr>
        <w:t xml:space="preserve"> describes the approach used in the </w:t>
      </w:r>
      <w:r w:rsidRPr="008B1E2C">
        <w:rPr>
          <w:i/>
          <w:iCs/>
          <w:szCs w:val="24"/>
          <w:lang w:eastAsia="en-AU"/>
        </w:rPr>
        <w:t>movement and place</w:t>
      </w:r>
      <w:r w:rsidRPr="00882A57">
        <w:rPr>
          <w:szCs w:val="24"/>
          <w:lang w:eastAsia="en-AU"/>
        </w:rPr>
        <w:t xml:space="preserve"> process</w:t>
      </w:r>
      <w:r w:rsidR="00A865E7">
        <w:rPr>
          <w:szCs w:val="24"/>
          <w:lang w:eastAsia="en-AU"/>
        </w:rPr>
        <w:t xml:space="preserve">. It </w:t>
      </w:r>
      <w:r w:rsidR="00A865E7" w:rsidRPr="00882A57">
        <w:rPr>
          <w:szCs w:val="24"/>
          <w:lang w:eastAsia="en-AU"/>
        </w:rPr>
        <w:t xml:space="preserve">defines a </w:t>
      </w:r>
      <w:r w:rsidR="00A865E7">
        <w:t xml:space="preserve">preferred </w:t>
      </w:r>
      <w:r w:rsidR="00A865E7" w:rsidRPr="003630F3">
        <w:t xml:space="preserve">vision </w:t>
      </w:r>
      <w:r w:rsidR="00A865E7">
        <w:t xml:space="preserve">and objectives </w:t>
      </w:r>
      <w:r w:rsidR="00A865E7" w:rsidRPr="003630F3">
        <w:t>for the future</w:t>
      </w:r>
      <w:r w:rsidR="00A865E7">
        <w:t>, and identifies the option(s) that is most likely to achieve it</w:t>
      </w:r>
      <w:r w:rsidR="00A865E7" w:rsidRPr="00882A57">
        <w:rPr>
          <w:szCs w:val="24"/>
          <w:lang w:eastAsia="en-AU"/>
        </w:rPr>
        <w:t>. It does this through collaboratively creating a shared future vision for a location or project, identifying and developing strategies and initiatives to achieve the agreed vision, and testing and validating these strategies and initiatives to ensure they can deliver the agreed vision.</w:t>
      </w:r>
      <w:r w:rsidR="00A865E7">
        <w:rPr>
          <w:szCs w:val="24"/>
          <w:lang w:eastAsia="en-AU"/>
        </w:rPr>
        <w:t xml:space="preserve"> Vision and validate</w:t>
      </w:r>
      <w:r w:rsidRPr="00882A57">
        <w:rPr>
          <w:szCs w:val="24"/>
          <w:lang w:eastAsia="en-AU"/>
        </w:rPr>
        <w:t xml:space="preserve"> replaces the historic </w:t>
      </w:r>
      <w:r>
        <w:rPr>
          <w:szCs w:val="24"/>
          <w:lang w:eastAsia="en-AU"/>
        </w:rPr>
        <w:t>‘</w:t>
      </w:r>
      <w:r w:rsidRPr="00882A57">
        <w:rPr>
          <w:szCs w:val="24"/>
          <w:lang w:eastAsia="en-AU"/>
        </w:rPr>
        <w:t>predict and provide</w:t>
      </w:r>
      <w:r>
        <w:rPr>
          <w:szCs w:val="24"/>
          <w:lang w:eastAsia="en-AU"/>
        </w:rPr>
        <w:t>’</w:t>
      </w:r>
      <w:r w:rsidRPr="00882A57">
        <w:rPr>
          <w:szCs w:val="24"/>
          <w:lang w:eastAsia="en-AU"/>
        </w:rPr>
        <w:t xml:space="preserve"> method</w:t>
      </w:r>
      <w:r w:rsidR="00A865E7">
        <w:rPr>
          <w:szCs w:val="24"/>
          <w:lang w:eastAsia="en-AU"/>
        </w:rPr>
        <w:t xml:space="preserve">, which </w:t>
      </w:r>
      <w:r w:rsidRPr="00882A57">
        <w:rPr>
          <w:szCs w:val="24"/>
          <w:lang w:eastAsia="en-AU"/>
        </w:rPr>
        <w:t xml:space="preserve">estimates </w:t>
      </w:r>
      <w:r>
        <w:rPr>
          <w:szCs w:val="24"/>
          <w:lang w:eastAsia="en-AU"/>
        </w:rPr>
        <w:t xml:space="preserve">future </w:t>
      </w:r>
      <w:r w:rsidRPr="00882A57">
        <w:rPr>
          <w:szCs w:val="24"/>
          <w:lang w:eastAsia="en-AU"/>
        </w:rPr>
        <w:t xml:space="preserve">requirements </w:t>
      </w:r>
      <w:r>
        <w:rPr>
          <w:szCs w:val="24"/>
          <w:lang w:eastAsia="en-AU"/>
        </w:rPr>
        <w:t xml:space="preserve">based on historic patterns </w:t>
      </w:r>
      <w:r w:rsidRPr="00882A57">
        <w:rPr>
          <w:szCs w:val="24"/>
          <w:lang w:eastAsia="en-AU"/>
        </w:rPr>
        <w:t>and aims to meet them</w:t>
      </w:r>
      <w:r w:rsidR="00A865E7">
        <w:rPr>
          <w:szCs w:val="24"/>
          <w:lang w:eastAsia="en-AU"/>
        </w:rPr>
        <w:t>.</w:t>
      </w:r>
    </w:p>
    <w:p w14:paraId="57941597" w14:textId="22A824D4" w:rsidR="00A010CD" w:rsidRPr="00882A57" w:rsidRDefault="00A010CD" w:rsidP="004D6D71">
      <w:pPr>
        <w:spacing w:after="120"/>
        <w:rPr>
          <w:szCs w:val="24"/>
          <w:lang w:eastAsia="en-AU"/>
        </w:rPr>
      </w:pPr>
      <w:r w:rsidRPr="00882A57">
        <w:rPr>
          <w:szCs w:val="24"/>
          <w:lang w:eastAsia="en-AU"/>
        </w:rPr>
        <w:t xml:space="preserve">Through </w:t>
      </w:r>
      <w:r w:rsidR="00C01D72">
        <w:rPr>
          <w:szCs w:val="24"/>
          <w:lang w:eastAsia="en-AU"/>
        </w:rPr>
        <w:t>the</w:t>
      </w:r>
      <w:r w:rsidRPr="00882A57">
        <w:rPr>
          <w:szCs w:val="24"/>
          <w:lang w:eastAsia="en-AU"/>
        </w:rPr>
        <w:t xml:space="preserve"> </w:t>
      </w:r>
      <w:r w:rsidRPr="00882A57">
        <w:rPr>
          <w:b/>
          <w:bCs/>
          <w:szCs w:val="24"/>
          <w:lang w:eastAsia="en-AU"/>
        </w:rPr>
        <w:t>vision and validate</w:t>
      </w:r>
      <w:r w:rsidRPr="00882A57">
        <w:rPr>
          <w:szCs w:val="24"/>
          <w:lang w:eastAsia="en-AU"/>
        </w:rPr>
        <w:t xml:space="preserve"> approach intrinsic to </w:t>
      </w:r>
      <w:r w:rsidRPr="00882A57">
        <w:rPr>
          <w:i/>
          <w:iCs/>
          <w:szCs w:val="24"/>
          <w:lang w:eastAsia="en-AU"/>
        </w:rPr>
        <w:t>movement and place</w:t>
      </w:r>
      <w:r w:rsidRPr="00882A57">
        <w:rPr>
          <w:szCs w:val="24"/>
          <w:lang w:eastAsia="en-AU"/>
        </w:rPr>
        <w:t>, the Policy seeks to prioritise the delivery of safe, accessible public places that reflect the unique character and identity of our communities and First Nations people. Its goals are to promote social equity, economic vitality, health and well-being while supporting the delivery of well connected, efficient, sustainable and resilient multi-modal transport choices for our customers.</w:t>
      </w:r>
    </w:p>
    <w:p w14:paraId="0078A479" w14:textId="0DA2EED0" w:rsidR="00A010CD" w:rsidRPr="00882A57" w:rsidRDefault="00A010CD" w:rsidP="004D6D71">
      <w:pPr>
        <w:spacing w:after="120"/>
        <w:rPr>
          <w:szCs w:val="24"/>
          <w:lang w:eastAsia="en-AU"/>
        </w:rPr>
      </w:pPr>
      <w:r w:rsidRPr="00882A57">
        <w:rPr>
          <w:szCs w:val="24"/>
          <w:lang w:eastAsia="en-AU"/>
        </w:rPr>
        <w:t xml:space="preserve">The Policy </w:t>
      </w:r>
      <w:r w:rsidR="00FB03C8">
        <w:rPr>
          <w:szCs w:val="24"/>
          <w:lang w:eastAsia="en-AU"/>
        </w:rPr>
        <w:t xml:space="preserve">also </w:t>
      </w:r>
      <w:r w:rsidRPr="00882A57">
        <w:rPr>
          <w:szCs w:val="24"/>
          <w:lang w:eastAsia="en-AU"/>
        </w:rPr>
        <w:t xml:space="preserve">establishes a </w:t>
      </w:r>
      <w:r w:rsidRPr="00882A57">
        <w:rPr>
          <w:b/>
          <w:bCs/>
          <w:szCs w:val="24"/>
          <w:lang w:eastAsia="en-AU"/>
        </w:rPr>
        <w:t>common language</w:t>
      </w:r>
      <w:r w:rsidRPr="00882A57">
        <w:rPr>
          <w:szCs w:val="24"/>
          <w:lang w:eastAsia="en-AU"/>
        </w:rPr>
        <w:t xml:space="preserve"> to bring partners</w:t>
      </w:r>
      <w:r w:rsidR="00C22E9D">
        <w:rPr>
          <w:szCs w:val="24"/>
          <w:lang w:eastAsia="en-AU"/>
        </w:rPr>
        <w:t xml:space="preserve"> and stakeholders</w:t>
      </w:r>
      <w:r w:rsidRPr="00882A57">
        <w:rPr>
          <w:szCs w:val="24"/>
          <w:lang w:eastAsia="en-AU"/>
        </w:rPr>
        <w:t xml:space="preserve"> together to help guide investment decision making, planning, design and operations of the transport network and enhance TMR places such as roads and streets, train and bus stations, precincts and rest areas.</w:t>
      </w:r>
    </w:p>
    <w:p w14:paraId="2F4A6B15" w14:textId="77777777" w:rsidR="00A010CD" w:rsidRPr="00C4126C" w:rsidRDefault="00A010CD" w:rsidP="007B214F">
      <w:pPr>
        <w:pStyle w:val="AltHeading1"/>
        <w:tabs>
          <w:tab w:val="clear" w:pos="1134"/>
          <w:tab w:val="left" w:pos="902"/>
        </w:tabs>
        <w:spacing w:before="240" w:after="120"/>
        <w:ind w:left="0" w:right="709" w:firstLine="1"/>
      </w:pPr>
      <w:bookmarkStart w:id="8" w:name="_Toc153186148"/>
      <w:bookmarkStart w:id="9" w:name="_Toc173245760"/>
      <w:bookmarkEnd w:id="8"/>
      <w:r w:rsidRPr="00C4126C">
        <w:t>Policy statement</w:t>
      </w:r>
      <w:bookmarkEnd w:id="9"/>
    </w:p>
    <w:p w14:paraId="54FAD627" w14:textId="67F77DDB" w:rsidR="00A010CD" w:rsidRPr="00FB3188" w:rsidRDefault="00A010CD" w:rsidP="00FB3188">
      <w:pPr>
        <w:spacing w:after="120"/>
        <w:rPr>
          <w:rFonts w:asciiTheme="minorHAnsi" w:hAnsiTheme="minorHAnsi" w:cstheme="minorHAnsi"/>
          <w:lang w:eastAsia="en-AU"/>
        </w:rPr>
      </w:pPr>
      <w:r w:rsidRPr="00FB3188">
        <w:rPr>
          <w:rFonts w:asciiTheme="minorHAnsi" w:hAnsiTheme="minorHAnsi" w:cstheme="minorHAnsi"/>
          <w:lang w:eastAsia="en-AU"/>
        </w:rPr>
        <w:t>The Policy confirms and guides our commitment to enhancing and creating a seamless and integrated network that prioritises the needs of Queensland communities and the environment. It supports integrated transport planning</w:t>
      </w:r>
      <w:r w:rsidR="00A865E7">
        <w:rPr>
          <w:rFonts w:asciiTheme="minorHAnsi" w:hAnsiTheme="minorHAnsi" w:cstheme="minorHAnsi"/>
          <w:lang w:eastAsia="en-AU"/>
        </w:rPr>
        <w:t>,</w:t>
      </w:r>
      <w:r w:rsidRPr="00FB3188">
        <w:rPr>
          <w:rFonts w:asciiTheme="minorHAnsi" w:hAnsiTheme="minorHAnsi" w:cstheme="minorHAnsi"/>
          <w:lang w:eastAsia="en-AU"/>
        </w:rPr>
        <w:t xml:space="preserve"> ensuring the needs of movement and placemaking are considered simultaneously when planning for and developing our transport network.</w:t>
      </w:r>
    </w:p>
    <w:p w14:paraId="35F66D20" w14:textId="67E7A31A" w:rsidR="00A010CD" w:rsidRPr="00FB3188" w:rsidRDefault="00A010CD" w:rsidP="00FB3188">
      <w:pPr>
        <w:spacing w:after="120"/>
        <w:rPr>
          <w:rFonts w:asciiTheme="minorHAnsi" w:hAnsiTheme="minorHAnsi" w:cstheme="minorHAnsi"/>
          <w:lang w:eastAsia="en-AU"/>
        </w:rPr>
      </w:pPr>
      <w:r w:rsidRPr="00FB3188">
        <w:rPr>
          <w:rFonts w:asciiTheme="minorHAnsi" w:hAnsiTheme="minorHAnsi" w:cstheme="minorHAnsi"/>
          <w:lang w:eastAsia="en-AU"/>
        </w:rPr>
        <w:t>It aligns with our strategic direction and, in collaboration with multi</w:t>
      </w:r>
      <w:r w:rsidR="00FB605C">
        <w:rPr>
          <w:rFonts w:asciiTheme="minorHAnsi" w:hAnsiTheme="minorHAnsi" w:cstheme="minorHAnsi"/>
          <w:lang w:eastAsia="en-AU"/>
        </w:rPr>
        <w:t>-</w:t>
      </w:r>
      <w:r w:rsidRPr="00FB3188">
        <w:rPr>
          <w:rFonts w:asciiTheme="minorHAnsi" w:hAnsiTheme="minorHAnsi" w:cstheme="minorHAnsi"/>
          <w:lang w:eastAsia="en-AU"/>
        </w:rPr>
        <w:t>disciplinary and cross</w:t>
      </w:r>
      <w:r w:rsidR="00E037B4">
        <w:rPr>
          <w:rFonts w:asciiTheme="minorHAnsi" w:hAnsiTheme="minorHAnsi" w:cstheme="minorHAnsi"/>
          <w:lang w:eastAsia="en-AU"/>
        </w:rPr>
        <w:t>-</w:t>
      </w:r>
      <w:r w:rsidRPr="00FB3188">
        <w:rPr>
          <w:rFonts w:asciiTheme="minorHAnsi" w:hAnsiTheme="minorHAnsi" w:cstheme="minorHAnsi"/>
          <w:lang w:eastAsia="en-AU"/>
        </w:rPr>
        <w:t>jurisdictional stakeholders, will enable better planning and management of our transport network to foster vibrant communities, enhance quality of life, and enable the safe, efficient and reliable movement of people and goods. It will contribute to delivering more liveable and sustainable neighbourhoods, cities and regions, and evolve Queensland</w:t>
      </w:r>
      <w:r w:rsidR="006C044B">
        <w:rPr>
          <w:rFonts w:asciiTheme="minorHAnsi" w:hAnsiTheme="minorHAnsi" w:cstheme="minorHAnsi"/>
          <w:lang w:eastAsia="en-AU"/>
        </w:rPr>
        <w:t>’</w:t>
      </w:r>
      <w:r w:rsidRPr="00FB3188">
        <w:rPr>
          <w:rFonts w:asciiTheme="minorHAnsi" w:hAnsiTheme="minorHAnsi" w:cstheme="minorHAnsi"/>
          <w:lang w:eastAsia="en-AU"/>
        </w:rPr>
        <w:t>s transport system for the benefit of people of all backgrounds and abilities.</w:t>
      </w:r>
    </w:p>
    <w:p w14:paraId="49C5236A" w14:textId="447E9025" w:rsidR="00A010CD" w:rsidRPr="0008210B" w:rsidRDefault="00A010CD" w:rsidP="00A33DF0">
      <w:pPr>
        <w:spacing w:after="120"/>
        <w:rPr>
          <w:rFonts w:asciiTheme="minorHAnsi" w:hAnsiTheme="minorHAnsi" w:cstheme="minorHAnsi"/>
          <w:color w:val="080C0F" w:themeColor="text1"/>
          <w:lang w:eastAsia="en-AU"/>
        </w:rPr>
      </w:pPr>
      <w:r w:rsidRPr="0008210B">
        <w:rPr>
          <w:rFonts w:asciiTheme="minorHAnsi" w:hAnsiTheme="minorHAnsi" w:cstheme="minorHAnsi"/>
          <w:color w:val="080C0F" w:themeColor="text1"/>
          <w:lang w:eastAsia="en-AU"/>
        </w:rPr>
        <w:t>The Policy guides TMR to achieve multiple-value outcomes for our customers:</w:t>
      </w:r>
    </w:p>
    <w:p w14:paraId="2AEC7B97" w14:textId="3C68F8FB" w:rsidR="00A010CD" w:rsidRPr="0008210B" w:rsidRDefault="00A010CD" w:rsidP="00971735">
      <w:pPr>
        <w:pStyle w:val="ListParagraph"/>
        <w:numPr>
          <w:ilvl w:val="0"/>
          <w:numId w:val="23"/>
        </w:numPr>
        <w:spacing w:after="120"/>
        <w:contextualSpacing w:val="0"/>
        <w:rPr>
          <w:rFonts w:asciiTheme="minorHAnsi" w:hAnsiTheme="minorHAnsi" w:cstheme="minorHAnsi"/>
          <w:color w:val="080C0F" w:themeColor="text1"/>
        </w:rPr>
      </w:pPr>
      <w:r w:rsidRPr="0008210B">
        <w:rPr>
          <w:rStyle w:val="cf11"/>
          <w:rFonts w:asciiTheme="minorHAnsi" w:hAnsiTheme="minorHAnsi" w:cstheme="minorHAnsi"/>
          <w:color w:val="080C0F" w:themeColor="text1"/>
          <w:sz w:val="24"/>
          <w:szCs w:val="24"/>
        </w:rPr>
        <w:t xml:space="preserve">Better, safer and healthier movement and place options: </w:t>
      </w:r>
      <w:r w:rsidRPr="00E037B4">
        <w:rPr>
          <w:rStyle w:val="cf11"/>
          <w:rFonts w:asciiTheme="minorHAnsi" w:hAnsiTheme="minorHAnsi" w:cstheme="minorHAnsi"/>
          <w:b w:val="0"/>
          <w:bCs w:val="0"/>
          <w:color w:val="080C0F" w:themeColor="text1"/>
          <w:sz w:val="24"/>
          <w:szCs w:val="24"/>
        </w:rPr>
        <w:t xml:space="preserve">Adopt a customer-centric approach to </w:t>
      </w:r>
      <w:r w:rsidR="00E037B4">
        <w:rPr>
          <w:rStyle w:val="cf11"/>
          <w:rFonts w:asciiTheme="minorHAnsi" w:hAnsiTheme="minorHAnsi" w:cstheme="minorHAnsi"/>
          <w:b w:val="0"/>
          <w:bCs w:val="0"/>
          <w:color w:val="080C0F" w:themeColor="text1"/>
          <w:sz w:val="24"/>
          <w:szCs w:val="24"/>
        </w:rPr>
        <w:t xml:space="preserve">the </w:t>
      </w:r>
      <w:r w:rsidRPr="0008210B">
        <w:rPr>
          <w:rFonts w:asciiTheme="minorHAnsi" w:hAnsiTheme="minorHAnsi" w:cstheme="minorHAnsi"/>
          <w:color w:val="080C0F" w:themeColor="text1"/>
        </w:rPr>
        <w:t>design and develop</w:t>
      </w:r>
      <w:r w:rsidR="00E037B4">
        <w:rPr>
          <w:rFonts w:asciiTheme="minorHAnsi" w:hAnsiTheme="minorHAnsi" w:cstheme="minorHAnsi"/>
          <w:color w:val="080C0F" w:themeColor="text1"/>
        </w:rPr>
        <w:t>ment of</w:t>
      </w:r>
      <w:r w:rsidRPr="0008210B">
        <w:rPr>
          <w:rFonts w:asciiTheme="minorHAnsi" w:hAnsiTheme="minorHAnsi" w:cstheme="minorHAnsi"/>
          <w:color w:val="080C0F" w:themeColor="text1"/>
        </w:rPr>
        <w:t xml:space="preserve"> our network, across a range of scales, enhanc</w:t>
      </w:r>
      <w:r w:rsidR="002A0A51">
        <w:rPr>
          <w:rFonts w:asciiTheme="minorHAnsi" w:hAnsiTheme="minorHAnsi" w:cstheme="minorHAnsi"/>
          <w:color w:val="080C0F" w:themeColor="text1"/>
        </w:rPr>
        <w:t>ing</w:t>
      </w:r>
      <w:r w:rsidRPr="0008210B">
        <w:rPr>
          <w:rFonts w:asciiTheme="minorHAnsi" w:hAnsiTheme="minorHAnsi" w:cstheme="minorHAnsi"/>
          <w:color w:val="080C0F" w:themeColor="text1"/>
        </w:rPr>
        <w:t xml:space="preserve"> and contribut</w:t>
      </w:r>
      <w:r w:rsidR="002A0A51">
        <w:rPr>
          <w:rFonts w:asciiTheme="minorHAnsi" w:hAnsiTheme="minorHAnsi" w:cstheme="minorHAnsi"/>
          <w:color w:val="080C0F" w:themeColor="text1"/>
        </w:rPr>
        <w:t>ing</w:t>
      </w:r>
      <w:r w:rsidRPr="0008210B">
        <w:rPr>
          <w:rFonts w:asciiTheme="minorHAnsi" w:hAnsiTheme="minorHAnsi" w:cstheme="minorHAnsi"/>
          <w:color w:val="080C0F" w:themeColor="text1"/>
        </w:rPr>
        <w:t xml:space="preserve"> to </w:t>
      </w:r>
      <w:r w:rsidRPr="0008210B">
        <w:rPr>
          <w:rStyle w:val="cf01"/>
          <w:rFonts w:asciiTheme="minorHAnsi" w:hAnsiTheme="minorHAnsi" w:cstheme="minorHAnsi"/>
          <w:color w:val="080C0F" w:themeColor="text1"/>
          <w:sz w:val="24"/>
          <w:szCs w:val="24"/>
        </w:rPr>
        <w:t>safe, convenient and accessible movement and places.</w:t>
      </w:r>
    </w:p>
    <w:p w14:paraId="4D4E20C7" w14:textId="3D3B21B6" w:rsidR="00A010CD" w:rsidRPr="0008210B" w:rsidRDefault="00A010CD" w:rsidP="00971735">
      <w:pPr>
        <w:pStyle w:val="ListParagraph"/>
        <w:numPr>
          <w:ilvl w:val="0"/>
          <w:numId w:val="23"/>
        </w:numPr>
        <w:spacing w:after="120"/>
        <w:contextualSpacing w:val="0"/>
        <w:rPr>
          <w:rFonts w:asciiTheme="minorHAnsi" w:hAnsiTheme="minorHAnsi" w:cstheme="minorHAnsi"/>
          <w:color w:val="080C0F" w:themeColor="text1"/>
        </w:rPr>
      </w:pPr>
      <w:r w:rsidRPr="0008210B">
        <w:rPr>
          <w:rStyle w:val="cf11"/>
          <w:rFonts w:asciiTheme="minorHAnsi" w:hAnsiTheme="minorHAnsi" w:cstheme="minorHAnsi"/>
          <w:color w:val="080C0F" w:themeColor="text1"/>
          <w:sz w:val="24"/>
          <w:szCs w:val="24"/>
        </w:rPr>
        <w:lastRenderedPageBreak/>
        <w:t>Sustainability:</w:t>
      </w:r>
      <w:r w:rsidRPr="0008210B">
        <w:rPr>
          <w:rStyle w:val="cf01"/>
          <w:rFonts w:asciiTheme="minorHAnsi" w:hAnsiTheme="minorHAnsi" w:cstheme="minorHAnsi"/>
          <w:color w:val="080C0F" w:themeColor="text1"/>
          <w:sz w:val="24"/>
          <w:szCs w:val="24"/>
        </w:rPr>
        <w:t xml:space="preserve"> Promote the use of active transport modes, creating opportunities to reduce emissions, and delivering resilient and environmentally sustainable infrastructure.</w:t>
      </w:r>
    </w:p>
    <w:p w14:paraId="494C52BA" w14:textId="66356656" w:rsidR="00A010CD" w:rsidRPr="0008210B" w:rsidRDefault="00A010CD" w:rsidP="00971735">
      <w:pPr>
        <w:pStyle w:val="ListParagraph"/>
        <w:numPr>
          <w:ilvl w:val="0"/>
          <w:numId w:val="23"/>
        </w:numPr>
        <w:spacing w:after="120"/>
        <w:contextualSpacing w:val="0"/>
        <w:rPr>
          <w:rFonts w:asciiTheme="minorHAnsi" w:hAnsiTheme="minorHAnsi" w:cstheme="minorHAnsi"/>
          <w:color w:val="080C0F" w:themeColor="text1"/>
        </w:rPr>
      </w:pPr>
      <w:r w:rsidRPr="0008210B">
        <w:rPr>
          <w:rStyle w:val="cf11"/>
          <w:rFonts w:asciiTheme="minorHAnsi" w:hAnsiTheme="minorHAnsi" w:cstheme="minorHAnsi"/>
          <w:color w:val="080C0F" w:themeColor="text1"/>
          <w:sz w:val="24"/>
          <w:szCs w:val="24"/>
        </w:rPr>
        <w:t>Efficiency:</w:t>
      </w:r>
      <w:r w:rsidRPr="0008210B">
        <w:rPr>
          <w:rStyle w:val="cf01"/>
          <w:rFonts w:asciiTheme="minorHAnsi" w:hAnsiTheme="minorHAnsi" w:cstheme="minorHAnsi"/>
          <w:color w:val="080C0F" w:themeColor="text1"/>
          <w:sz w:val="24"/>
          <w:szCs w:val="24"/>
        </w:rPr>
        <w:t xml:space="preserve"> Optimise efficient and accessible transport networks to seamlessly integrate different modes of travel, to maximise the convenient movement of people and goods.</w:t>
      </w:r>
    </w:p>
    <w:p w14:paraId="100E7AA5" w14:textId="0ED21A2F" w:rsidR="00A010CD" w:rsidRPr="0008210B" w:rsidRDefault="00A010CD" w:rsidP="00971735">
      <w:pPr>
        <w:pStyle w:val="ListParagraph"/>
        <w:numPr>
          <w:ilvl w:val="0"/>
          <w:numId w:val="23"/>
        </w:numPr>
        <w:spacing w:after="120"/>
        <w:contextualSpacing w:val="0"/>
        <w:rPr>
          <w:rFonts w:asciiTheme="minorHAnsi" w:hAnsiTheme="minorHAnsi" w:cstheme="minorHAnsi"/>
          <w:color w:val="080C0F" w:themeColor="text1"/>
        </w:rPr>
      </w:pPr>
      <w:r w:rsidRPr="0008210B">
        <w:rPr>
          <w:rStyle w:val="cf11"/>
          <w:rFonts w:asciiTheme="minorHAnsi" w:hAnsiTheme="minorHAnsi" w:cstheme="minorHAnsi"/>
          <w:color w:val="080C0F" w:themeColor="text1"/>
          <w:sz w:val="24"/>
          <w:szCs w:val="24"/>
        </w:rPr>
        <w:t>Cultural identity and community need:</w:t>
      </w:r>
      <w:r w:rsidRPr="0008210B">
        <w:rPr>
          <w:rStyle w:val="cf01"/>
          <w:rFonts w:asciiTheme="minorHAnsi" w:hAnsiTheme="minorHAnsi" w:cstheme="minorHAnsi"/>
          <w:color w:val="080C0F" w:themeColor="text1"/>
          <w:sz w:val="24"/>
          <w:szCs w:val="24"/>
        </w:rPr>
        <w:t xml:space="preserve"> Collaboratively engage</w:t>
      </w:r>
      <w:r w:rsidRPr="0008210B">
        <w:rPr>
          <w:rFonts w:asciiTheme="minorHAnsi" w:hAnsiTheme="minorHAnsi" w:cstheme="minorHAnsi"/>
          <w:color w:val="080C0F" w:themeColor="text1"/>
        </w:rPr>
        <w:t xml:space="preserve"> with community (including First Nations people)</w:t>
      </w:r>
      <w:r w:rsidR="00094534">
        <w:rPr>
          <w:rFonts w:asciiTheme="minorHAnsi" w:hAnsiTheme="minorHAnsi" w:cstheme="minorHAnsi"/>
          <w:color w:val="080C0F" w:themeColor="text1"/>
        </w:rPr>
        <w:t>,</w:t>
      </w:r>
      <w:r w:rsidRPr="0008210B">
        <w:rPr>
          <w:rFonts w:asciiTheme="minorHAnsi" w:hAnsiTheme="minorHAnsi" w:cstheme="minorHAnsi"/>
          <w:color w:val="080C0F" w:themeColor="text1"/>
        </w:rPr>
        <w:t xml:space="preserve"> </w:t>
      </w:r>
      <w:r w:rsidR="00094534">
        <w:rPr>
          <w:rFonts w:asciiTheme="minorHAnsi" w:hAnsiTheme="minorHAnsi" w:cstheme="minorHAnsi"/>
          <w:color w:val="080C0F" w:themeColor="text1"/>
        </w:rPr>
        <w:t xml:space="preserve">local government </w:t>
      </w:r>
      <w:r w:rsidRPr="0008210B">
        <w:rPr>
          <w:rFonts w:asciiTheme="minorHAnsi" w:hAnsiTheme="minorHAnsi" w:cstheme="minorHAnsi"/>
          <w:color w:val="080C0F" w:themeColor="text1"/>
        </w:rPr>
        <w:t>and industry to</w:t>
      </w:r>
      <w:r w:rsidRPr="0008210B">
        <w:rPr>
          <w:rStyle w:val="cf01"/>
          <w:rFonts w:asciiTheme="minorHAnsi" w:hAnsiTheme="minorHAnsi" w:cstheme="minorHAnsi"/>
          <w:color w:val="080C0F" w:themeColor="text1"/>
          <w:sz w:val="24"/>
          <w:szCs w:val="24"/>
        </w:rPr>
        <w:t xml:space="preserve"> design and shape </w:t>
      </w:r>
      <w:r w:rsidRPr="0008210B">
        <w:rPr>
          <w:rStyle w:val="cf01"/>
          <w:rFonts w:asciiTheme="minorHAnsi" w:hAnsiTheme="minorHAnsi" w:cstheme="minorHAnsi"/>
          <w:i/>
          <w:iCs/>
          <w:color w:val="080C0F" w:themeColor="text1"/>
          <w:sz w:val="24"/>
          <w:szCs w:val="24"/>
        </w:rPr>
        <w:t>movement and place</w:t>
      </w:r>
      <w:r w:rsidRPr="0008210B">
        <w:rPr>
          <w:rStyle w:val="cf01"/>
          <w:rFonts w:asciiTheme="minorHAnsi" w:hAnsiTheme="minorHAnsi" w:cstheme="minorHAnsi"/>
          <w:color w:val="080C0F" w:themeColor="text1"/>
          <w:sz w:val="24"/>
          <w:szCs w:val="24"/>
        </w:rPr>
        <w:t xml:space="preserve"> outcomes that align with and benefit cultural identity, community needs and foster economic growth.</w:t>
      </w:r>
    </w:p>
    <w:p w14:paraId="1683D3F3" w14:textId="29A3ECA7" w:rsidR="00A010CD" w:rsidRPr="0008210B" w:rsidRDefault="00A010CD" w:rsidP="00971735">
      <w:pPr>
        <w:pStyle w:val="ListParagraph"/>
        <w:numPr>
          <w:ilvl w:val="0"/>
          <w:numId w:val="23"/>
        </w:numPr>
        <w:spacing w:after="120"/>
        <w:contextualSpacing w:val="0"/>
        <w:rPr>
          <w:rStyle w:val="cf01"/>
          <w:rFonts w:asciiTheme="minorHAnsi" w:hAnsiTheme="minorHAnsi" w:cstheme="minorHAnsi"/>
          <w:color w:val="080C0F" w:themeColor="text1"/>
          <w:sz w:val="24"/>
          <w:szCs w:val="24"/>
        </w:rPr>
      </w:pPr>
      <w:r w:rsidRPr="0008210B">
        <w:rPr>
          <w:rStyle w:val="cf11"/>
          <w:rFonts w:asciiTheme="minorHAnsi" w:hAnsiTheme="minorHAnsi" w:cstheme="minorHAnsi"/>
          <w:color w:val="080C0F" w:themeColor="text1"/>
          <w:sz w:val="24"/>
          <w:szCs w:val="24"/>
        </w:rPr>
        <w:t>Technology Integration:</w:t>
      </w:r>
      <w:r w:rsidRPr="0008210B">
        <w:rPr>
          <w:rStyle w:val="cf01"/>
          <w:rFonts w:asciiTheme="minorHAnsi" w:hAnsiTheme="minorHAnsi" w:cstheme="minorHAnsi"/>
          <w:color w:val="080C0F" w:themeColor="text1"/>
          <w:sz w:val="24"/>
          <w:szCs w:val="24"/>
        </w:rPr>
        <w:t xml:space="preserve"> Integrate smart technology with </w:t>
      </w:r>
      <w:r w:rsidRPr="0008210B">
        <w:rPr>
          <w:rStyle w:val="cf01"/>
          <w:rFonts w:asciiTheme="minorHAnsi" w:hAnsiTheme="minorHAnsi" w:cstheme="minorHAnsi"/>
          <w:i/>
          <w:iCs/>
          <w:color w:val="080C0F" w:themeColor="text1"/>
          <w:sz w:val="24"/>
          <w:szCs w:val="24"/>
        </w:rPr>
        <w:t>movement and place</w:t>
      </w:r>
      <w:r w:rsidRPr="0008210B">
        <w:rPr>
          <w:rStyle w:val="cf01"/>
          <w:rFonts w:asciiTheme="minorHAnsi" w:hAnsiTheme="minorHAnsi" w:cstheme="minorHAnsi"/>
          <w:color w:val="080C0F" w:themeColor="text1"/>
          <w:sz w:val="24"/>
          <w:szCs w:val="24"/>
        </w:rPr>
        <w:t xml:space="preserve"> considerations to support future emerging technologies and customer digital needs, provide real-time transportation information, enable smart traffic management, and support the development of innovative transportation solutions for all modes.</w:t>
      </w:r>
    </w:p>
    <w:p w14:paraId="5A66DA1B" w14:textId="22249B8A" w:rsidR="00A010CD" w:rsidRPr="0008210B" w:rsidRDefault="00A010CD" w:rsidP="00FB3188">
      <w:pPr>
        <w:spacing w:after="120"/>
        <w:rPr>
          <w:rFonts w:asciiTheme="minorHAnsi" w:hAnsiTheme="minorHAnsi" w:cstheme="minorHAnsi"/>
          <w:color w:val="080C0F" w:themeColor="text1"/>
          <w:lang w:eastAsia="en-AU"/>
        </w:rPr>
      </w:pPr>
      <w:r w:rsidRPr="0008210B">
        <w:rPr>
          <w:rFonts w:asciiTheme="minorHAnsi" w:hAnsiTheme="minorHAnsi" w:cstheme="minorHAnsi"/>
          <w:color w:val="080C0F" w:themeColor="text1"/>
          <w:lang w:eastAsia="en-AU"/>
        </w:rPr>
        <w:t xml:space="preserve">TMR will achieve this through implementing and embedding the TMR Movement and Place </w:t>
      </w:r>
      <w:r w:rsidR="00531C6E">
        <w:rPr>
          <w:rFonts w:asciiTheme="minorHAnsi" w:hAnsiTheme="minorHAnsi" w:cstheme="minorHAnsi"/>
          <w:color w:val="080C0F" w:themeColor="text1"/>
          <w:lang w:eastAsia="en-AU"/>
        </w:rPr>
        <w:t xml:space="preserve">Operational </w:t>
      </w:r>
      <w:r w:rsidRPr="0008210B">
        <w:rPr>
          <w:rFonts w:asciiTheme="minorHAnsi" w:hAnsiTheme="minorHAnsi" w:cstheme="minorHAnsi"/>
          <w:color w:val="080C0F" w:themeColor="text1"/>
          <w:lang w:eastAsia="en-AU"/>
        </w:rPr>
        <w:t>Framework that will guide staff in achieving the outcomes of this policy and build capability.</w:t>
      </w:r>
    </w:p>
    <w:p w14:paraId="36CA2CEE" w14:textId="77777777" w:rsidR="00A010CD" w:rsidRPr="00C4126C" w:rsidRDefault="00A010CD" w:rsidP="007B214F">
      <w:pPr>
        <w:pStyle w:val="AltHeading1"/>
        <w:tabs>
          <w:tab w:val="clear" w:pos="1134"/>
          <w:tab w:val="left" w:pos="902"/>
        </w:tabs>
        <w:spacing w:before="240" w:after="120"/>
        <w:ind w:left="0" w:right="709" w:firstLine="0"/>
      </w:pPr>
      <w:bookmarkStart w:id="10" w:name="_Toc173245761"/>
      <w:r w:rsidRPr="001A7C72">
        <w:t>Policy</w:t>
      </w:r>
      <w:r w:rsidRPr="00C4126C">
        <w:t xml:space="preserve"> </w:t>
      </w:r>
      <w:r>
        <w:t>p</w:t>
      </w:r>
      <w:r w:rsidRPr="00C4126C">
        <w:t>rinciples</w:t>
      </w:r>
      <w:bookmarkEnd w:id="10"/>
    </w:p>
    <w:p w14:paraId="46EE2528" w14:textId="2A034DAE" w:rsidR="00A010CD" w:rsidRPr="00882A57" w:rsidRDefault="00A010CD" w:rsidP="004D6D71">
      <w:pPr>
        <w:spacing w:after="120"/>
        <w:rPr>
          <w:szCs w:val="24"/>
          <w:lang w:eastAsia="en-AU"/>
        </w:rPr>
      </w:pPr>
      <w:r w:rsidRPr="00882A57">
        <w:rPr>
          <w:szCs w:val="24"/>
          <w:lang w:eastAsia="en-AU"/>
        </w:rPr>
        <w:t xml:space="preserve">There are six common principles embedded within the Policy to guide </w:t>
      </w:r>
      <w:r w:rsidR="002F5E8F">
        <w:rPr>
          <w:szCs w:val="24"/>
          <w:lang w:eastAsia="en-AU"/>
        </w:rPr>
        <w:t xml:space="preserve">action and </w:t>
      </w:r>
      <w:r w:rsidRPr="00882A57">
        <w:rPr>
          <w:szCs w:val="24"/>
          <w:lang w:eastAsia="en-AU"/>
        </w:rPr>
        <w:t>decision making throughout policy, planning and investment:</w:t>
      </w:r>
    </w:p>
    <w:p w14:paraId="39145B6E" w14:textId="20A4E33C" w:rsidR="00A010CD" w:rsidRPr="006861B5" w:rsidRDefault="00A010CD" w:rsidP="006861B5">
      <w:pPr>
        <w:pStyle w:val="ListParagraph"/>
        <w:numPr>
          <w:ilvl w:val="0"/>
          <w:numId w:val="19"/>
        </w:numPr>
        <w:spacing w:after="120"/>
        <w:ind w:left="714" w:hanging="357"/>
        <w:contextualSpacing w:val="0"/>
        <w:rPr>
          <w:b/>
          <w:bCs/>
          <w:szCs w:val="24"/>
          <w:lang w:eastAsia="en-AU"/>
        </w:rPr>
      </w:pPr>
      <w:r w:rsidRPr="006861B5">
        <w:rPr>
          <w:b/>
          <w:bCs/>
          <w:szCs w:val="24"/>
          <w:lang w:eastAsia="en-AU"/>
        </w:rPr>
        <w:t xml:space="preserve">Vision and outcome led: </w:t>
      </w:r>
      <w:r w:rsidRPr="006861B5">
        <w:rPr>
          <w:szCs w:val="24"/>
          <w:lang w:eastAsia="en-AU"/>
        </w:rPr>
        <w:t>Lead from a vision and validat</w:t>
      </w:r>
      <w:r w:rsidR="00094534">
        <w:rPr>
          <w:szCs w:val="24"/>
          <w:lang w:eastAsia="en-AU"/>
        </w:rPr>
        <w:t>e</w:t>
      </w:r>
      <w:r w:rsidRPr="006861B5">
        <w:rPr>
          <w:szCs w:val="24"/>
          <w:lang w:eastAsia="en-AU"/>
        </w:rPr>
        <w:t xml:space="preserve"> approach by shaping an endorsed vision with clear desired outcomes to guide project activities and decision-making.</w:t>
      </w:r>
    </w:p>
    <w:p w14:paraId="5D045404" w14:textId="7B0DC595" w:rsidR="00A010CD" w:rsidRPr="006861B5" w:rsidRDefault="00A010CD" w:rsidP="006861B5">
      <w:pPr>
        <w:pStyle w:val="ListParagraph"/>
        <w:numPr>
          <w:ilvl w:val="0"/>
          <w:numId w:val="19"/>
        </w:numPr>
        <w:spacing w:after="120"/>
        <w:ind w:left="714" w:hanging="357"/>
        <w:contextualSpacing w:val="0"/>
        <w:rPr>
          <w:szCs w:val="24"/>
          <w:lang w:eastAsia="en-AU"/>
        </w:rPr>
      </w:pPr>
      <w:r w:rsidRPr="006861B5">
        <w:rPr>
          <w:b/>
          <w:bCs/>
          <w:szCs w:val="24"/>
          <w:lang w:eastAsia="en-AU"/>
        </w:rPr>
        <w:t>A people and place focus:</w:t>
      </w:r>
      <w:r w:rsidRPr="006861B5">
        <w:rPr>
          <w:szCs w:val="24"/>
          <w:lang w:eastAsia="en-AU"/>
        </w:rPr>
        <w:t xml:space="preserve"> Prioritise the needs of people and </w:t>
      </w:r>
      <w:r w:rsidR="00F36529">
        <w:rPr>
          <w:szCs w:val="24"/>
          <w:lang w:eastAsia="en-AU"/>
        </w:rPr>
        <w:t xml:space="preserve">the </w:t>
      </w:r>
      <w:r w:rsidRPr="006861B5">
        <w:rPr>
          <w:szCs w:val="24"/>
          <w:lang w:eastAsia="en-AU"/>
        </w:rPr>
        <w:t>distinctive qualities and characteristics of places to balance environmental, social, cultural and economic aspirations as well as the movement needs of a place</w:t>
      </w:r>
      <w:r w:rsidR="00F36529">
        <w:rPr>
          <w:szCs w:val="24"/>
          <w:lang w:eastAsia="en-AU"/>
        </w:rPr>
        <w:t>.</w:t>
      </w:r>
    </w:p>
    <w:p w14:paraId="0A17FB1E" w14:textId="1FA90D29" w:rsidR="00A010CD" w:rsidRPr="006861B5" w:rsidRDefault="00A010CD" w:rsidP="006861B5">
      <w:pPr>
        <w:pStyle w:val="ListParagraph"/>
        <w:numPr>
          <w:ilvl w:val="0"/>
          <w:numId w:val="19"/>
        </w:numPr>
        <w:spacing w:after="120"/>
        <w:ind w:left="714" w:hanging="357"/>
        <w:contextualSpacing w:val="0"/>
        <w:rPr>
          <w:b/>
          <w:bCs/>
          <w:szCs w:val="24"/>
          <w:lang w:eastAsia="en-AU"/>
        </w:rPr>
      </w:pPr>
      <w:r w:rsidRPr="006861B5">
        <w:rPr>
          <w:b/>
          <w:bCs/>
          <w:szCs w:val="24"/>
          <w:lang w:eastAsia="en-AU"/>
        </w:rPr>
        <w:t>Contextually holistic:</w:t>
      </w:r>
      <w:r w:rsidRPr="006861B5">
        <w:rPr>
          <w:szCs w:val="24"/>
          <w:lang w:eastAsia="en-AU"/>
        </w:rPr>
        <w:t xml:space="preserve"> Investigate a whole of system view of ‘movement’ and ‘place’ to foster solutions that meet desired strategic outcomes and needs of the individuals, the community, and the built and natural environment, including connection to Country. Ensure all users, time contexts (past, present and future), modes and mobility enhancing smart technologies are considered, alongside place.</w:t>
      </w:r>
    </w:p>
    <w:p w14:paraId="55096352" w14:textId="4BB63557" w:rsidR="00A010CD" w:rsidRPr="006861B5" w:rsidRDefault="00A010CD" w:rsidP="006861B5">
      <w:pPr>
        <w:pStyle w:val="ListParagraph"/>
        <w:numPr>
          <w:ilvl w:val="0"/>
          <w:numId w:val="19"/>
        </w:numPr>
        <w:spacing w:after="120"/>
        <w:ind w:left="714" w:hanging="357"/>
        <w:contextualSpacing w:val="0"/>
        <w:rPr>
          <w:b/>
          <w:bCs/>
          <w:szCs w:val="24"/>
          <w:lang w:eastAsia="en-AU"/>
        </w:rPr>
      </w:pPr>
      <w:r w:rsidRPr="006861B5">
        <w:rPr>
          <w:b/>
          <w:bCs/>
          <w:szCs w:val="24"/>
          <w:lang w:eastAsia="en-AU"/>
        </w:rPr>
        <w:t>Collaborative approach:</w:t>
      </w:r>
      <w:r w:rsidRPr="006861B5">
        <w:rPr>
          <w:szCs w:val="24"/>
          <w:lang w:eastAsia="en-AU"/>
        </w:rPr>
        <w:t xml:space="preserve"> Facilitate stakeholder collaboration to shape the development and application of </w:t>
      </w:r>
      <w:r w:rsidRPr="006861B5">
        <w:rPr>
          <w:i/>
          <w:iCs/>
          <w:szCs w:val="24"/>
          <w:lang w:eastAsia="en-AU"/>
        </w:rPr>
        <w:t>movement and place</w:t>
      </w:r>
      <w:r w:rsidRPr="006861B5">
        <w:rPr>
          <w:szCs w:val="24"/>
          <w:lang w:eastAsia="en-AU"/>
        </w:rPr>
        <w:t xml:space="preserve"> outcomes to meet their needs.</w:t>
      </w:r>
    </w:p>
    <w:p w14:paraId="64342E2F" w14:textId="374D636D" w:rsidR="00A010CD" w:rsidRPr="006861B5" w:rsidRDefault="00A010CD" w:rsidP="006861B5">
      <w:pPr>
        <w:pStyle w:val="ListParagraph"/>
        <w:numPr>
          <w:ilvl w:val="0"/>
          <w:numId w:val="19"/>
        </w:numPr>
        <w:spacing w:after="120"/>
        <w:ind w:left="714" w:hanging="357"/>
        <w:contextualSpacing w:val="0"/>
        <w:rPr>
          <w:b/>
          <w:bCs/>
          <w:szCs w:val="24"/>
          <w:lang w:eastAsia="en-AU"/>
        </w:rPr>
      </w:pPr>
      <w:r w:rsidRPr="006861B5">
        <w:rPr>
          <w:b/>
          <w:bCs/>
          <w:szCs w:val="24"/>
          <w:lang w:eastAsia="en-AU"/>
        </w:rPr>
        <w:lastRenderedPageBreak/>
        <w:t>Flexible and scalable</w:t>
      </w:r>
      <w:r w:rsidRPr="006861B5">
        <w:rPr>
          <w:szCs w:val="24"/>
          <w:lang w:eastAsia="en-AU"/>
        </w:rPr>
        <w:t>: Empower practitioners, stakeholders and decision-makers to make decisions which best suit local, regional or state planning needs from the design and operation of a local place, street or regional connection, and for active travel modes through to freight journeys.</w:t>
      </w:r>
    </w:p>
    <w:p w14:paraId="40DCA268" w14:textId="716FB540" w:rsidR="00A010CD" w:rsidRPr="006861B5" w:rsidRDefault="00A010CD" w:rsidP="006861B5">
      <w:pPr>
        <w:pStyle w:val="ListParagraph"/>
        <w:numPr>
          <w:ilvl w:val="0"/>
          <w:numId w:val="19"/>
        </w:numPr>
        <w:spacing w:after="120"/>
        <w:ind w:left="714" w:hanging="357"/>
        <w:contextualSpacing w:val="0"/>
        <w:rPr>
          <w:b/>
          <w:bCs/>
          <w:szCs w:val="24"/>
          <w:lang w:eastAsia="en-AU"/>
        </w:rPr>
      </w:pPr>
      <w:r w:rsidRPr="006861B5">
        <w:rPr>
          <w:b/>
          <w:bCs/>
          <w:szCs w:val="24"/>
          <w:lang w:eastAsia="en-AU"/>
        </w:rPr>
        <w:t xml:space="preserve">Evidence based: </w:t>
      </w:r>
      <w:r w:rsidRPr="006861B5">
        <w:rPr>
          <w:szCs w:val="24"/>
          <w:lang w:eastAsia="en-AU"/>
        </w:rPr>
        <w:t>Use qualitative and quantitative evidence to understand context, define success, identify impacts and benefits and inform decision making.</w:t>
      </w:r>
    </w:p>
    <w:p w14:paraId="6B4F47BF" w14:textId="77777777" w:rsidR="00A010CD" w:rsidRPr="00C4126C" w:rsidRDefault="00A010CD" w:rsidP="009D4E1B">
      <w:pPr>
        <w:pStyle w:val="AltHeading1"/>
        <w:tabs>
          <w:tab w:val="clear" w:pos="1134"/>
          <w:tab w:val="left" w:pos="902"/>
        </w:tabs>
        <w:spacing w:before="240" w:after="120"/>
        <w:ind w:left="0" w:right="707" w:firstLine="0"/>
        <w:rPr>
          <w:rStyle w:val="Heading1Char"/>
          <w:rFonts w:cs="Arial"/>
          <w:color w:val="003C69"/>
          <w:sz w:val="16"/>
          <w:szCs w:val="16"/>
        </w:rPr>
      </w:pPr>
      <w:bookmarkStart w:id="11" w:name="_Toc173245762"/>
      <w:r w:rsidRPr="00C4126C">
        <w:t>Objectives</w:t>
      </w:r>
      <w:bookmarkEnd w:id="11"/>
    </w:p>
    <w:p w14:paraId="5B804DAA" w14:textId="0FACBB94" w:rsidR="00A010CD" w:rsidRPr="00882A57" w:rsidRDefault="00A010CD" w:rsidP="004D6D71">
      <w:pPr>
        <w:spacing w:after="120"/>
        <w:rPr>
          <w:szCs w:val="24"/>
          <w:lang w:eastAsia="en-AU"/>
        </w:rPr>
      </w:pPr>
      <w:r w:rsidRPr="00882A57">
        <w:rPr>
          <w:szCs w:val="24"/>
          <w:lang w:eastAsia="en-AU"/>
        </w:rPr>
        <w:t xml:space="preserve">By adopting the </w:t>
      </w:r>
      <w:r w:rsidR="006A1C79">
        <w:rPr>
          <w:szCs w:val="24"/>
          <w:lang w:eastAsia="en-AU"/>
        </w:rPr>
        <w:t xml:space="preserve">above </w:t>
      </w:r>
      <w:r w:rsidRPr="00882A57">
        <w:rPr>
          <w:szCs w:val="24"/>
          <w:lang w:eastAsia="en-AU"/>
        </w:rPr>
        <w:t xml:space="preserve">principles of </w:t>
      </w:r>
      <w:r w:rsidRPr="00882A57">
        <w:rPr>
          <w:i/>
          <w:iCs/>
          <w:szCs w:val="24"/>
          <w:lang w:eastAsia="en-AU"/>
        </w:rPr>
        <w:t>movement and place</w:t>
      </w:r>
      <w:r w:rsidRPr="00882A57">
        <w:rPr>
          <w:szCs w:val="24"/>
          <w:lang w:eastAsia="en-AU"/>
        </w:rPr>
        <w:t>, the Policy seeks to deliver the following outcomes:</w:t>
      </w:r>
    </w:p>
    <w:p w14:paraId="64306685" w14:textId="49066AEF" w:rsidR="00A010CD" w:rsidRPr="00882A57" w:rsidRDefault="008D1FAB" w:rsidP="004D6D71">
      <w:pPr>
        <w:spacing w:after="120"/>
        <w:rPr>
          <w:b/>
          <w:bCs/>
          <w:szCs w:val="24"/>
          <w:lang w:eastAsia="en-AU"/>
        </w:rPr>
      </w:pPr>
      <w:r>
        <w:rPr>
          <w:b/>
          <w:bCs/>
          <w:szCs w:val="24"/>
          <w:lang w:eastAsia="en-AU"/>
        </w:rPr>
        <w:t>V</w:t>
      </w:r>
      <w:r w:rsidR="00A010CD" w:rsidRPr="00882A57">
        <w:rPr>
          <w:b/>
          <w:bCs/>
          <w:szCs w:val="24"/>
          <w:lang w:eastAsia="en-AU"/>
        </w:rPr>
        <w:t>ibrant and successful places</w:t>
      </w:r>
    </w:p>
    <w:p w14:paraId="569FC42C" w14:textId="5DB8D5F8" w:rsidR="00A010CD" w:rsidRDefault="00591EAB" w:rsidP="011439B1">
      <w:pPr>
        <w:pStyle w:val="ListParagraph"/>
        <w:numPr>
          <w:ilvl w:val="0"/>
          <w:numId w:val="19"/>
        </w:numPr>
        <w:spacing w:after="120"/>
        <w:ind w:left="714" w:hanging="357"/>
        <w:rPr>
          <w:lang w:eastAsia="en-AU"/>
        </w:rPr>
      </w:pPr>
      <w:r>
        <w:rPr>
          <w:lang w:eastAsia="en-AU"/>
        </w:rPr>
        <w:t>i</w:t>
      </w:r>
      <w:r w:rsidR="00A010CD" w:rsidRPr="011439B1">
        <w:rPr>
          <w:lang w:eastAsia="en-AU"/>
        </w:rPr>
        <w:t>mprove</w:t>
      </w:r>
      <w:r w:rsidR="5751B430" w:rsidRPr="011439B1">
        <w:rPr>
          <w:lang w:eastAsia="en-AU"/>
        </w:rPr>
        <w:t xml:space="preserve"> </w:t>
      </w:r>
      <w:r w:rsidR="00A010CD" w:rsidRPr="011439B1">
        <w:rPr>
          <w:lang w:eastAsia="en-AU"/>
        </w:rPr>
        <w:t>liveability of places including comfort and convenience, attractiveness,</w:t>
      </w:r>
      <w:r w:rsidR="00136E90">
        <w:rPr>
          <w:lang w:eastAsia="en-AU"/>
        </w:rPr>
        <w:t xml:space="preserve"> and</w:t>
      </w:r>
      <w:r w:rsidR="00A010CD" w:rsidRPr="011439B1">
        <w:rPr>
          <w:lang w:eastAsia="en-AU"/>
        </w:rPr>
        <w:t xml:space="preserve"> cultural identity</w:t>
      </w:r>
      <w:r w:rsidR="00091474" w:rsidRPr="011439B1" w:rsidDel="00091474">
        <w:rPr>
          <w:lang w:eastAsia="en-AU"/>
        </w:rPr>
        <w:t xml:space="preserve"> </w:t>
      </w:r>
    </w:p>
    <w:p w14:paraId="18B34C2E" w14:textId="16F57C2A" w:rsidR="00A113BB" w:rsidRPr="006861B5" w:rsidRDefault="00091474" w:rsidP="006861B5">
      <w:pPr>
        <w:pStyle w:val="ListParagraph"/>
        <w:numPr>
          <w:ilvl w:val="0"/>
          <w:numId w:val="19"/>
        </w:numPr>
        <w:spacing w:after="120"/>
        <w:ind w:left="714" w:hanging="357"/>
        <w:rPr>
          <w:szCs w:val="24"/>
          <w:lang w:eastAsia="en-AU"/>
        </w:rPr>
      </w:pPr>
      <w:r>
        <w:rPr>
          <w:szCs w:val="24"/>
          <w:lang w:eastAsia="en-AU"/>
        </w:rPr>
        <w:t>c</w:t>
      </w:r>
      <w:r w:rsidR="005864D4">
        <w:rPr>
          <w:szCs w:val="24"/>
          <w:lang w:eastAsia="en-AU"/>
        </w:rPr>
        <w:t>reat</w:t>
      </w:r>
      <w:r w:rsidR="002F46EC">
        <w:rPr>
          <w:szCs w:val="24"/>
          <w:lang w:eastAsia="en-AU"/>
        </w:rPr>
        <w:t xml:space="preserve">e </w:t>
      </w:r>
      <w:r w:rsidR="005864D4">
        <w:rPr>
          <w:szCs w:val="24"/>
          <w:lang w:eastAsia="en-AU"/>
        </w:rPr>
        <w:t>places that invite and support sustainable economic growth</w:t>
      </w:r>
      <w:r w:rsidR="002F46EC">
        <w:rPr>
          <w:szCs w:val="24"/>
          <w:lang w:eastAsia="en-AU"/>
        </w:rPr>
        <w:t xml:space="preserve"> for local communities.</w:t>
      </w:r>
    </w:p>
    <w:p w14:paraId="37B10839" w14:textId="4B0DFFAD" w:rsidR="00BF4E9A" w:rsidRDefault="00BF4E9A" w:rsidP="011439B1">
      <w:pPr>
        <w:spacing w:after="120"/>
        <w:rPr>
          <w:b/>
          <w:bCs/>
          <w:lang w:eastAsia="en-AU"/>
        </w:rPr>
      </w:pPr>
      <w:r w:rsidRPr="011439B1">
        <w:rPr>
          <w:b/>
          <w:bCs/>
          <w:lang w:eastAsia="en-AU"/>
        </w:rPr>
        <w:t>Happy and healthy people</w:t>
      </w:r>
    </w:p>
    <w:p w14:paraId="6B3AF464" w14:textId="49F0EF43" w:rsidR="00E37E6D" w:rsidRPr="006861B5" w:rsidRDefault="00091474" w:rsidP="011439B1">
      <w:pPr>
        <w:pStyle w:val="ListParagraph"/>
        <w:numPr>
          <w:ilvl w:val="0"/>
          <w:numId w:val="19"/>
        </w:numPr>
        <w:spacing w:after="120"/>
        <w:ind w:left="714" w:hanging="357"/>
        <w:rPr>
          <w:lang w:eastAsia="en-AU"/>
        </w:rPr>
      </w:pPr>
      <w:r>
        <w:rPr>
          <w:lang w:eastAsia="en-AU"/>
        </w:rPr>
        <w:t>p</w:t>
      </w:r>
      <w:r w:rsidR="00E37E6D" w:rsidRPr="011439B1">
        <w:rPr>
          <w:lang w:eastAsia="en-AU"/>
        </w:rPr>
        <w:t>rioritis</w:t>
      </w:r>
      <w:r w:rsidR="2D95340C" w:rsidRPr="011439B1">
        <w:rPr>
          <w:lang w:eastAsia="en-AU"/>
        </w:rPr>
        <w:t>e</w:t>
      </w:r>
      <w:r w:rsidR="00E37E6D" w:rsidRPr="011439B1">
        <w:rPr>
          <w:lang w:eastAsia="en-AU"/>
        </w:rPr>
        <w:t xml:space="preserve"> safety in all decision</w:t>
      </w:r>
      <w:r w:rsidR="00A6142A" w:rsidRPr="011439B1">
        <w:rPr>
          <w:lang w:eastAsia="en-AU"/>
        </w:rPr>
        <w:t>-</w:t>
      </w:r>
      <w:r w:rsidR="00E37E6D" w:rsidRPr="011439B1">
        <w:rPr>
          <w:lang w:eastAsia="en-AU"/>
        </w:rPr>
        <w:t>making to reduce fatalities and serious injuries on Queensland roads</w:t>
      </w:r>
    </w:p>
    <w:p w14:paraId="74C1FCA7" w14:textId="504E5B0E" w:rsidR="00FC1F8A" w:rsidRPr="006861B5" w:rsidRDefault="00091474" w:rsidP="00FC1F8A">
      <w:pPr>
        <w:pStyle w:val="ListParagraph"/>
        <w:numPr>
          <w:ilvl w:val="0"/>
          <w:numId w:val="19"/>
        </w:numPr>
        <w:spacing w:after="120"/>
        <w:ind w:left="714" w:hanging="357"/>
        <w:contextualSpacing w:val="0"/>
        <w:rPr>
          <w:szCs w:val="24"/>
          <w:lang w:eastAsia="en-AU"/>
        </w:rPr>
      </w:pPr>
      <w:r>
        <w:rPr>
          <w:szCs w:val="24"/>
          <w:lang w:eastAsia="en-AU"/>
        </w:rPr>
        <w:t>c</w:t>
      </w:r>
      <w:r w:rsidR="00FC1F8A" w:rsidRPr="006861B5">
        <w:rPr>
          <w:szCs w:val="24"/>
          <w:lang w:eastAsia="en-AU"/>
        </w:rPr>
        <w:t>reat</w:t>
      </w:r>
      <w:r w:rsidR="000B14AA">
        <w:rPr>
          <w:szCs w:val="24"/>
          <w:lang w:eastAsia="en-AU"/>
        </w:rPr>
        <w:t>e</w:t>
      </w:r>
      <w:r w:rsidR="00FC1F8A" w:rsidRPr="006861B5">
        <w:rPr>
          <w:szCs w:val="24"/>
          <w:lang w:eastAsia="en-AU"/>
        </w:rPr>
        <w:t xml:space="preserve"> places that </w:t>
      </w:r>
      <w:r w:rsidR="00D2779B">
        <w:rPr>
          <w:szCs w:val="24"/>
          <w:lang w:eastAsia="en-AU"/>
        </w:rPr>
        <w:t>are</w:t>
      </w:r>
      <w:r w:rsidR="00136E90">
        <w:rPr>
          <w:szCs w:val="24"/>
          <w:lang w:eastAsia="en-AU"/>
        </w:rPr>
        <w:t xml:space="preserve"> inclusive,</w:t>
      </w:r>
      <w:r w:rsidR="00D2779B">
        <w:rPr>
          <w:szCs w:val="24"/>
          <w:lang w:eastAsia="en-AU"/>
        </w:rPr>
        <w:t xml:space="preserve"> safe and secure and </w:t>
      </w:r>
      <w:r w:rsidR="00FC1F8A" w:rsidRPr="006861B5">
        <w:rPr>
          <w:szCs w:val="24"/>
          <w:lang w:eastAsia="en-AU"/>
        </w:rPr>
        <w:t>foster health and wellbeing opportunities.</w:t>
      </w:r>
    </w:p>
    <w:p w14:paraId="07977C49" w14:textId="741E2C0F" w:rsidR="00A010CD" w:rsidRPr="00882A57" w:rsidRDefault="00BF4E9A" w:rsidP="004D6D71">
      <w:pPr>
        <w:spacing w:after="120"/>
        <w:rPr>
          <w:b/>
          <w:bCs/>
          <w:szCs w:val="24"/>
          <w:lang w:eastAsia="en-AU"/>
        </w:rPr>
      </w:pPr>
      <w:r>
        <w:rPr>
          <w:b/>
          <w:bCs/>
          <w:szCs w:val="24"/>
          <w:lang w:eastAsia="en-AU"/>
        </w:rPr>
        <w:t>Natural</w:t>
      </w:r>
      <w:r w:rsidR="00F8557B">
        <w:rPr>
          <w:b/>
          <w:bCs/>
          <w:szCs w:val="24"/>
          <w:lang w:eastAsia="en-AU"/>
        </w:rPr>
        <w:t xml:space="preserve">, </w:t>
      </w:r>
      <w:r>
        <w:rPr>
          <w:b/>
          <w:bCs/>
          <w:szCs w:val="24"/>
          <w:lang w:eastAsia="en-AU"/>
        </w:rPr>
        <w:t>s</w:t>
      </w:r>
      <w:r w:rsidR="00A010CD" w:rsidRPr="00882A57">
        <w:rPr>
          <w:b/>
          <w:bCs/>
          <w:szCs w:val="24"/>
          <w:lang w:eastAsia="en-AU"/>
        </w:rPr>
        <w:t xml:space="preserve">ustainable, </w:t>
      </w:r>
      <w:r w:rsidR="00F8557B">
        <w:rPr>
          <w:b/>
          <w:bCs/>
          <w:szCs w:val="24"/>
          <w:lang w:eastAsia="en-AU"/>
        </w:rPr>
        <w:t xml:space="preserve">and </w:t>
      </w:r>
      <w:r w:rsidR="00A010CD" w:rsidRPr="00882A57">
        <w:rPr>
          <w:b/>
          <w:bCs/>
          <w:szCs w:val="24"/>
          <w:lang w:eastAsia="en-AU"/>
        </w:rPr>
        <w:t>resilient communities</w:t>
      </w:r>
    </w:p>
    <w:p w14:paraId="5987A847" w14:textId="752E55C4" w:rsidR="00A010CD" w:rsidRPr="006861B5" w:rsidRDefault="00091474" w:rsidP="006861B5">
      <w:pPr>
        <w:pStyle w:val="ListParagraph"/>
        <w:numPr>
          <w:ilvl w:val="0"/>
          <w:numId w:val="19"/>
        </w:numPr>
        <w:spacing w:after="120"/>
        <w:ind w:left="714" w:hanging="357"/>
        <w:contextualSpacing w:val="0"/>
        <w:rPr>
          <w:szCs w:val="24"/>
          <w:lang w:eastAsia="en-AU"/>
        </w:rPr>
      </w:pPr>
      <w:r>
        <w:rPr>
          <w:szCs w:val="24"/>
          <w:lang w:eastAsia="en-AU"/>
        </w:rPr>
        <w:t>p</w:t>
      </w:r>
      <w:r w:rsidR="00A010CD" w:rsidRPr="006861B5">
        <w:rPr>
          <w:szCs w:val="24"/>
          <w:lang w:eastAsia="en-AU"/>
        </w:rPr>
        <w:t>romote sustainable travel, reduce reliance on single-occupancy vehicles and integrate environmental considerations into transport planning and design</w:t>
      </w:r>
    </w:p>
    <w:p w14:paraId="444F88A1" w14:textId="0D9D2F40" w:rsidR="00A010CD" w:rsidRPr="006861B5" w:rsidRDefault="00091474" w:rsidP="006861B5">
      <w:pPr>
        <w:pStyle w:val="ListParagraph"/>
        <w:numPr>
          <w:ilvl w:val="0"/>
          <w:numId w:val="19"/>
        </w:numPr>
        <w:spacing w:after="120"/>
        <w:ind w:left="714" w:hanging="357"/>
        <w:contextualSpacing w:val="0"/>
        <w:rPr>
          <w:szCs w:val="24"/>
          <w:lang w:eastAsia="en-AU"/>
        </w:rPr>
      </w:pPr>
      <w:r>
        <w:rPr>
          <w:szCs w:val="24"/>
          <w:lang w:eastAsia="en-AU"/>
        </w:rPr>
        <w:t>d</w:t>
      </w:r>
      <w:r w:rsidR="00A010CD" w:rsidRPr="006861B5">
        <w:rPr>
          <w:szCs w:val="24"/>
          <w:lang w:eastAsia="en-AU"/>
        </w:rPr>
        <w:t>evelop environmentally friendly and climate resilient communities that enhance the quality of life for Queenslanders.</w:t>
      </w:r>
    </w:p>
    <w:p w14:paraId="3A39645A" w14:textId="5391D2FA" w:rsidR="00A010CD" w:rsidRPr="00882A57" w:rsidRDefault="00A010CD" w:rsidP="004D6D71">
      <w:pPr>
        <w:spacing w:after="120"/>
        <w:rPr>
          <w:b/>
          <w:bCs/>
          <w:szCs w:val="24"/>
          <w:lang w:eastAsia="en-AU"/>
        </w:rPr>
      </w:pPr>
      <w:r w:rsidRPr="00882A57">
        <w:rPr>
          <w:b/>
          <w:bCs/>
          <w:szCs w:val="24"/>
          <w:lang w:eastAsia="en-AU"/>
        </w:rPr>
        <w:t xml:space="preserve">Connected, accessible and convenient </w:t>
      </w:r>
      <w:r w:rsidR="00837384">
        <w:rPr>
          <w:b/>
          <w:bCs/>
          <w:szCs w:val="24"/>
          <w:lang w:eastAsia="en-AU"/>
        </w:rPr>
        <w:t>‘</w:t>
      </w:r>
      <w:r w:rsidRPr="00882A57">
        <w:rPr>
          <w:b/>
          <w:bCs/>
          <w:szCs w:val="24"/>
          <w:lang w:eastAsia="en-AU"/>
        </w:rPr>
        <w:t>Movement</w:t>
      </w:r>
      <w:r w:rsidR="00837384">
        <w:rPr>
          <w:b/>
          <w:bCs/>
          <w:szCs w:val="24"/>
          <w:lang w:eastAsia="en-AU"/>
        </w:rPr>
        <w:t>’</w:t>
      </w:r>
      <w:r w:rsidRPr="00882A57">
        <w:rPr>
          <w:b/>
          <w:bCs/>
          <w:szCs w:val="24"/>
          <w:lang w:eastAsia="en-AU"/>
        </w:rPr>
        <w:t xml:space="preserve"> for people and goods </w:t>
      </w:r>
    </w:p>
    <w:p w14:paraId="46CB9EB2" w14:textId="6BB4CA72" w:rsidR="00A010CD" w:rsidRPr="006861B5" w:rsidRDefault="00837384" w:rsidP="006861B5">
      <w:pPr>
        <w:pStyle w:val="ListParagraph"/>
        <w:numPr>
          <w:ilvl w:val="0"/>
          <w:numId w:val="19"/>
        </w:numPr>
        <w:spacing w:after="120"/>
        <w:ind w:left="714" w:hanging="357"/>
        <w:contextualSpacing w:val="0"/>
        <w:rPr>
          <w:szCs w:val="24"/>
          <w:lang w:eastAsia="en-AU"/>
        </w:rPr>
      </w:pPr>
      <w:r>
        <w:rPr>
          <w:szCs w:val="24"/>
          <w:lang w:eastAsia="en-AU"/>
        </w:rPr>
        <w:t>i</w:t>
      </w:r>
      <w:r w:rsidR="00A010CD" w:rsidRPr="006861B5">
        <w:rPr>
          <w:szCs w:val="24"/>
          <w:lang w:eastAsia="en-AU"/>
        </w:rPr>
        <w:t xml:space="preserve">mprove accessibility and convenience of transport options by integrating Universal Design into the planning, design, delivery, safety and operation of transport infrastructure </w:t>
      </w:r>
      <w:r w:rsidR="00A064B2">
        <w:rPr>
          <w:szCs w:val="24"/>
          <w:lang w:eastAsia="en-AU"/>
        </w:rPr>
        <w:t xml:space="preserve">for </w:t>
      </w:r>
      <w:r w:rsidR="00A010CD" w:rsidRPr="006861B5">
        <w:rPr>
          <w:szCs w:val="24"/>
          <w:lang w:eastAsia="en-AU"/>
        </w:rPr>
        <w:t>road, rail</w:t>
      </w:r>
      <w:r w:rsidR="00A064B2">
        <w:rPr>
          <w:szCs w:val="24"/>
          <w:lang w:eastAsia="en-AU"/>
        </w:rPr>
        <w:t xml:space="preserve">, </w:t>
      </w:r>
      <w:r w:rsidR="00A064B2" w:rsidRPr="006861B5">
        <w:rPr>
          <w:szCs w:val="24"/>
          <w:lang w:eastAsia="en-AU"/>
        </w:rPr>
        <w:t>active travel</w:t>
      </w:r>
      <w:r w:rsidR="007B1828">
        <w:rPr>
          <w:szCs w:val="24"/>
          <w:lang w:eastAsia="en-AU"/>
        </w:rPr>
        <w:t>,</w:t>
      </w:r>
      <w:r w:rsidR="00A41C23">
        <w:rPr>
          <w:szCs w:val="24"/>
          <w:lang w:eastAsia="en-AU"/>
        </w:rPr>
        <w:t xml:space="preserve"> </w:t>
      </w:r>
      <w:r w:rsidR="006F7AC1">
        <w:rPr>
          <w:szCs w:val="24"/>
          <w:lang w:eastAsia="en-AU"/>
        </w:rPr>
        <w:t>bus</w:t>
      </w:r>
      <w:r w:rsidR="00A41C23">
        <w:rPr>
          <w:szCs w:val="24"/>
          <w:lang w:eastAsia="en-AU"/>
        </w:rPr>
        <w:t>,</w:t>
      </w:r>
      <w:r w:rsidR="00A010CD" w:rsidRPr="006861B5">
        <w:rPr>
          <w:szCs w:val="24"/>
          <w:lang w:eastAsia="en-AU"/>
        </w:rPr>
        <w:t xml:space="preserve"> </w:t>
      </w:r>
      <w:r w:rsidR="007B1828">
        <w:rPr>
          <w:szCs w:val="24"/>
          <w:lang w:eastAsia="en-AU"/>
        </w:rPr>
        <w:t>maritime</w:t>
      </w:r>
      <w:r w:rsidR="007B1828" w:rsidRPr="006861B5">
        <w:rPr>
          <w:szCs w:val="24"/>
          <w:lang w:eastAsia="en-AU"/>
        </w:rPr>
        <w:t xml:space="preserve"> </w:t>
      </w:r>
      <w:r w:rsidR="00A010CD" w:rsidRPr="006861B5">
        <w:rPr>
          <w:szCs w:val="24"/>
          <w:lang w:eastAsia="en-AU"/>
        </w:rPr>
        <w:t>and modal interchanges</w:t>
      </w:r>
    </w:p>
    <w:p w14:paraId="0C93EFE1" w14:textId="2BDA5F02" w:rsidR="00A010CD" w:rsidRPr="006861B5" w:rsidRDefault="00837384" w:rsidP="006861B5">
      <w:pPr>
        <w:pStyle w:val="ListParagraph"/>
        <w:numPr>
          <w:ilvl w:val="0"/>
          <w:numId w:val="19"/>
        </w:numPr>
        <w:spacing w:after="120"/>
        <w:ind w:left="714" w:hanging="357"/>
        <w:contextualSpacing w:val="0"/>
        <w:rPr>
          <w:szCs w:val="24"/>
          <w:lang w:eastAsia="en-AU"/>
        </w:rPr>
      </w:pPr>
      <w:r>
        <w:rPr>
          <w:szCs w:val="24"/>
          <w:lang w:eastAsia="en-AU"/>
        </w:rPr>
        <w:t>f</w:t>
      </w:r>
      <w:r w:rsidR="00A010CD" w:rsidRPr="006861B5">
        <w:rPr>
          <w:szCs w:val="24"/>
          <w:lang w:eastAsia="en-AU"/>
        </w:rPr>
        <w:t>oster a smooth and tailored transport experience for customers, emphasising the convenience of interchanging between various modes of transport</w:t>
      </w:r>
    </w:p>
    <w:p w14:paraId="4734183D" w14:textId="737B8FB6" w:rsidR="00A010CD" w:rsidRDefault="00837384" w:rsidP="006861B5">
      <w:pPr>
        <w:pStyle w:val="ListParagraph"/>
        <w:numPr>
          <w:ilvl w:val="0"/>
          <w:numId w:val="19"/>
        </w:numPr>
        <w:spacing w:after="120"/>
        <w:ind w:left="714" w:hanging="357"/>
        <w:contextualSpacing w:val="0"/>
        <w:rPr>
          <w:szCs w:val="24"/>
          <w:lang w:eastAsia="en-AU"/>
        </w:rPr>
      </w:pPr>
      <w:r>
        <w:rPr>
          <w:szCs w:val="24"/>
          <w:lang w:eastAsia="en-AU"/>
        </w:rPr>
        <w:t>l</w:t>
      </w:r>
      <w:r w:rsidR="00A010CD" w:rsidRPr="006861B5">
        <w:rPr>
          <w:szCs w:val="24"/>
          <w:lang w:eastAsia="en-AU"/>
        </w:rPr>
        <w:t>everage emerging technologies and the digital needs of customers to improve the efficiency and reliability of the transport system by reducing travel time and delivery time of goods, leading to an increase in overall productivity.</w:t>
      </w:r>
    </w:p>
    <w:p w14:paraId="3492BB3F" w14:textId="77777777" w:rsidR="00A010CD" w:rsidRPr="00365918" w:rsidRDefault="00A010CD" w:rsidP="00971735">
      <w:pPr>
        <w:pStyle w:val="AltHeading2"/>
      </w:pPr>
      <w:bookmarkStart w:id="12" w:name="_Toc173245763"/>
      <w:r w:rsidRPr="00365918">
        <w:lastRenderedPageBreak/>
        <w:t>Performance Indicators</w:t>
      </w:r>
      <w:bookmarkEnd w:id="12"/>
    </w:p>
    <w:p w14:paraId="7C26269E" w14:textId="24882C9B" w:rsidR="00A010CD" w:rsidRPr="00C4126C" w:rsidRDefault="00165B51" w:rsidP="00882A57">
      <w:pPr>
        <w:spacing w:after="120"/>
        <w:rPr>
          <w:lang w:eastAsia="en-AU"/>
        </w:rPr>
      </w:pPr>
      <w:r w:rsidRPr="006B54F1">
        <w:rPr>
          <w:lang w:eastAsia="en-AU"/>
        </w:rPr>
        <w:t xml:space="preserve">Well </w:t>
      </w:r>
      <w:r w:rsidR="00CA12C9">
        <w:rPr>
          <w:lang w:eastAsia="en-AU"/>
        </w:rPr>
        <w:t xml:space="preserve">defined and </w:t>
      </w:r>
      <w:r w:rsidRPr="006B54F1">
        <w:rPr>
          <w:lang w:eastAsia="en-AU"/>
        </w:rPr>
        <w:t xml:space="preserve">targeted </w:t>
      </w:r>
      <w:r>
        <w:rPr>
          <w:lang w:eastAsia="en-AU"/>
        </w:rPr>
        <w:t>p</w:t>
      </w:r>
      <w:r w:rsidR="00A010CD" w:rsidRPr="006B54F1">
        <w:rPr>
          <w:lang w:eastAsia="en-AU"/>
        </w:rPr>
        <w:t xml:space="preserve">erformance </w:t>
      </w:r>
      <w:r w:rsidR="009623A2">
        <w:rPr>
          <w:lang w:eastAsia="en-AU"/>
        </w:rPr>
        <w:t>i</w:t>
      </w:r>
      <w:r w:rsidR="00A010CD" w:rsidRPr="006B54F1">
        <w:rPr>
          <w:lang w:eastAsia="en-AU"/>
        </w:rPr>
        <w:t>ndicators</w:t>
      </w:r>
      <w:r w:rsidR="00A010CD" w:rsidRPr="00C4126C">
        <w:rPr>
          <w:lang w:eastAsia="en-AU"/>
        </w:rPr>
        <w:t xml:space="preserve"> </w:t>
      </w:r>
      <w:r w:rsidR="00BB6D02">
        <w:rPr>
          <w:lang w:eastAsia="en-AU"/>
        </w:rPr>
        <w:t xml:space="preserve">are a </w:t>
      </w:r>
      <w:r w:rsidR="00A74172">
        <w:rPr>
          <w:lang w:eastAsia="en-AU"/>
        </w:rPr>
        <w:t>fundamental part of the 'vision and validate' approach</w:t>
      </w:r>
      <w:r w:rsidR="00B5067E">
        <w:rPr>
          <w:lang w:eastAsia="en-AU"/>
        </w:rPr>
        <w:t xml:space="preserve"> of </w:t>
      </w:r>
      <w:r w:rsidR="00B5067E">
        <w:rPr>
          <w:i/>
          <w:iCs/>
          <w:lang w:eastAsia="en-AU"/>
        </w:rPr>
        <w:t>movement and place</w:t>
      </w:r>
      <w:r w:rsidR="00A74172">
        <w:rPr>
          <w:lang w:eastAsia="en-AU"/>
        </w:rPr>
        <w:t xml:space="preserve">. </w:t>
      </w:r>
      <w:r w:rsidR="00264860">
        <w:rPr>
          <w:lang w:eastAsia="en-AU"/>
        </w:rPr>
        <w:t>They provide</w:t>
      </w:r>
      <w:r w:rsidR="00A010CD" w:rsidRPr="00C4126C">
        <w:rPr>
          <w:lang w:eastAsia="en-AU"/>
        </w:rPr>
        <w:t xml:space="preserve"> quantifiable measures that help </w:t>
      </w:r>
      <w:r w:rsidR="00632DDC">
        <w:rPr>
          <w:lang w:eastAsia="en-AU"/>
        </w:rPr>
        <w:t xml:space="preserve">validate </w:t>
      </w:r>
      <w:r w:rsidR="00AC6949">
        <w:rPr>
          <w:lang w:eastAsia="en-AU"/>
        </w:rPr>
        <w:t>t</w:t>
      </w:r>
      <w:r w:rsidR="00A57B43">
        <w:rPr>
          <w:lang w:eastAsia="en-AU"/>
        </w:rPr>
        <w:t>he effectiveness</w:t>
      </w:r>
      <w:r w:rsidR="00942818">
        <w:rPr>
          <w:lang w:eastAsia="en-AU"/>
        </w:rPr>
        <w:t xml:space="preserve"> of a project or intervention</w:t>
      </w:r>
      <w:r w:rsidR="00A57B43">
        <w:rPr>
          <w:lang w:eastAsia="en-AU"/>
        </w:rPr>
        <w:t xml:space="preserve"> </w:t>
      </w:r>
      <w:r w:rsidR="009D130F">
        <w:rPr>
          <w:lang w:eastAsia="en-AU"/>
        </w:rPr>
        <w:t>against the</w:t>
      </w:r>
      <w:r w:rsidR="00942818">
        <w:rPr>
          <w:lang w:eastAsia="en-AU"/>
        </w:rPr>
        <w:t xml:space="preserve"> vision</w:t>
      </w:r>
      <w:r w:rsidR="00ED4C64">
        <w:rPr>
          <w:lang w:eastAsia="en-AU"/>
        </w:rPr>
        <w:t xml:space="preserve"> and its objectives</w:t>
      </w:r>
      <w:r w:rsidR="00942818">
        <w:rPr>
          <w:lang w:eastAsia="en-AU"/>
        </w:rPr>
        <w:t>.</w:t>
      </w:r>
    </w:p>
    <w:p w14:paraId="17E7B366" w14:textId="09E09A04" w:rsidR="00751A17" w:rsidRPr="00C4126C" w:rsidRDefault="000E7E0C" w:rsidP="00557A08">
      <w:pPr>
        <w:spacing w:after="120"/>
        <w:rPr>
          <w:lang w:eastAsia="en-AU"/>
        </w:rPr>
      </w:pPr>
      <w:r w:rsidRPr="00C4126C">
        <w:rPr>
          <w:lang w:eastAsia="en-AU"/>
        </w:rPr>
        <w:t xml:space="preserve">Identifying </w:t>
      </w:r>
      <w:r>
        <w:rPr>
          <w:lang w:eastAsia="en-AU"/>
        </w:rPr>
        <w:t>performance indicators</w:t>
      </w:r>
      <w:r w:rsidRPr="00C4126C">
        <w:rPr>
          <w:lang w:eastAsia="en-AU"/>
        </w:rPr>
        <w:t xml:space="preserve"> as part of the collaborative vision</w:t>
      </w:r>
      <w:r>
        <w:rPr>
          <w:lang w:eastAsia="en-AU"/>
        </w:rPr>
        <w:t>-</w:t>
      </w:r>
      <w:r w:rsidRPr="00C4126C">
        <w:rPr>
          <w:lang w:eastAsia="en-AU"/>
        </w:rPr>
        <w:t>setting phase</w:t>
      </w:r>
      <w:r>
        <w:rPr>
          <w:lang w:eastAsia="en-AU"/>
        </w:rPr>
        <w:t>,</w:t>
      </w:r>
      <w:r w:rsidRPr="00C4126C">
        <w:rPr>
          <w:lang w:eastAsia="en-AU"/>
        </w:rPr>
        <w:t xml:space="preserve"> and reviewing </w:t>
      </w:r>
      <w:r>
        <w:rPr>
          <w:lang w:eastAsia="en-AU"/>
        </w:rPr>
        <w:t xml:space="preserve">for adjustment as required </w:t>
      </w:r>
      <w:r w:rsidRPr="00C4126C">
        <w:rPr>
          <w:lang w:eastAsia="en-AU"/>
        </w:rPr>
        <w:t xml:space="preserve">across different project stages will help </w:t>
      </w:r>
      <w:r w:rsidR="00D9795E">
        <w:rPr>
          <w:lang w:eastAsia="en-AU"/>
        </w:rPr>
        <w:t>guide</w:t>
      </w:r>
      <w:r w:rsidRPr="00C4126C">
        <w:rPr>
          <w:lang w:eastAsia="en-AU"/>
        </w:rPr>
        <w:t xml:space="preserve"> </w:t>
      </w:r>
      <w:r w:rsidRPr="006B54F1">
        <w:rPr>
          <w:lang w:eastAsia="en-AU"/>
        </w:rPr>
        <w:t>a responsive, outcomes-led approach.</w:t>
      </w:r>
      <w:r w:rsidR="0078498D">
        <w:rPr>
          <w:color w:val="333333"/>
          <w:shd w:val="clear" w:color="auto" w:fill="FFFFFF"/>
        </w:rPr>
        <w:t xml:space="preserve"> </w:t>
      </w:r>
      <w:r w:rsidR="00557A08">
        <w:rPr>
          <w:lang w:eastAsia="en-AU"/>
        </w:rPr>
        <w:t>Performance indicators</w:t>
      </w:r>
      <w:r w:rsidR="00557A08" w:rsidRPr="00C4126C">
        <w:rPr>
          <w:lang w:eastAsia="en-AU"/>
        </w:rPr>
        <w:t xml:space="preserve"> </w:t>
      </w:r>
      <w:r w:rsidR="00557A08">
        <w:rPr>
          <w:lang w:eastAsia="en-AU"/>
        </w:rPr>
        <w:t>can assist in enabling</w:t>
      </w:r>
      <w:r w:rsidR="00751A17" w:rsidRPr="00C4126C">
        <w:rPr>
          <w:lang w:eastAsia="en-AU"/>
        </w:rPr>
        <w:t>:</w:t>
      </w:r>
    </w:p>
    <w:p w14:paraId="2ED9FB84" w14:textId="77777777" w:rsidR="00751A17" w:rsidRPr="00C4126C" w:rsidRDefault="00751A17" w:rsidP="00751A17">
      <w:pPr>
        <w:pStyle w:val="ListParagraph"/>
        <w:numPr>
          <w:ilvl w:val="0"/>
          <w:numId w:val="19"/>
        </w:numPr>
        <w:spacing w:after="120"/>
        <w:ind w:left="714" w:hanging="357"/>
        <w:contextualSpacing w:val="0"/>
        <w:rPr>
          <w:lang w:eastAsia="en-AU"/>
        </w:rPr>
      </w:pPr>
      <w:r w:rsidRPr="00C4126C">
        <w:rPr>
          <w:lang w:eastAsia="en-AU"/>
        </w:rPr>
        <w:t>evaluation of the existing and or planned future state</w:t>
      </w:r>
    </w:p>
    <w:p w14:paraId="7B92B7EA" w14:textId="77777777" w:rsidR="00751A17" w:rsidRPr="00C4126C" w:rsidRDefault="00751A17" w:rsidP="00751A17">
      <w:pPr>
        <w:pStyle w:val="ListParagraph"/>
        <w:numPr>
          <w:ilvl w:val="0"/>
          <w:numId w:val="19"/>
        </w:numPr>
        <w:spacing w:after="120"/>
        <w:ind w:left="714" w:hanging="357"/>
        <w:contextualSpacing w:val="0"/>
        <w:rPr>
          <w:lang w:eastAsia="en-AU"/>
        </w:rPr>
      </w:pPr>
      <w:r w:rsidRPr="00C4126C">
        <w:rPr>
          <w:lang w:eastAsia="en-AU"/>
        </w:rPr>
        <w:t>assessment of different options</w:t>
      </w:r>
    </w:p>
    <w:p w14:paraId="46A6785B" w14:textId="77777777" w:rsidR="00751A17" w:rsidRPr="00C4126C" w:rsidRDefault="00751A17" w:rsidP="00751A17">
      <w:pPr>
        <w:pStyle w:val="ListParagraph"/>
        <w:numPr>
          <w:ilvl w:val="0"/>
          <w:numId w:val="19"/>
        </w:numPr>
        <w:spacing w:after="120"/>
        <w:ind w:left="714" w:hanging="357"/>
        <w:contextualSpacing w:val="0"/>
        <w:rPr>
          <w:lang w:eastAsia="en-AU"/>
        </w:rPr>
      </w:pPr>
      <w:r w:rsidRPr="00C4126C">
        <w:rPr>
          <w:lang w:eastAsia="en-AU"/>
        </w:rPr>
        <w:t>final assessment and reporting</w:t>
      </w:r>
    </w:p>
    <w:p w14:paraId="7B6407B5" w14:textId="77777777" w:rsidR="00751A17" w:rsidRDefault="00751A17" w:rsidP="00751A17">
      <w:pPr>
        <w:pStyle w:val="ListParagraph"/>
        <w:numPr>
          <w:ilvl w:val="0"/>
          <w:numId w:val="19"/>
        </w:numPr>
        <w:spacing w:after="120"/>
        <w:ind w:left="714" w:hanging="357"/>
        <w:contextualSpacing w:val="0"/>
        <w:rPr>
          <w:lang w:eastAsia="en-AU"/>
        </w:rPr>
      </w:pPr>
      <w:r w:rsidRPr="00C4126C">
        <w:rPr>
          <w:lang w:eastAsia="en-AU"/>
        </w:rPr>
        <w:t>monitoring of success after delivery.</w:t>
      </w:r>
    </w:p>
    <w:p w14:paraId="636DA49F" w14:textId="4142AC95" w:rsidR="00C4086A" w:rsidRDefault="00A010CD" w:rsidP="00C4086A">
      <w:pPr>
        <w:spacing w:after="120"/>
        <w:rPr>
          <w:lang w:eastAsia="en-AU"/>
        </w:rPr>
      </w:pPr>
      <w:r w:rsidRPr="00C4126C">
        <w:rPr>
          <w:lang w:eastAsia="en-AU"/>
        </w:rPr>
        <w:t>Importantly, there is no one size fits all approach</w:t>
      </w:r>
      <w:r>
        <w:rPr>
          <w:lang w:eastAsia="en-AU"/>
        </w:rPr>
        <w:t xml:space="preserve"> to delivering </w:t>
      </w:r>
      <w:r w:rsidRPr="00C83AD2">
        <w:rPr>
          <w:i/>
          <w:iCs/>
          <w:lang w:eastAsia="en-AU"/>
        </w:rPr>
        <w:t>movement and place</w:t>
      </w:r>
      <w:r>
        <w:rPr>
          <w:lang w:eastAsia="en-AU"/>
        </w:rPr>
        <w:t xml:space="preserve"> outcomes</w:t>
      </w:r>
      <w:r w:rsidR="00CF23E4">
        <w:rPr>
          <w:lang w:eastAsia="en-AU"/>
        </w:rPr>
        <w:t xml:space="preserve">, and therefore no single set of performance indicators </w:t>
      </w:r>
      <w:r w:rsidR="007D1AE2">
        <w:rPr>
          <w:lang w:eastAsia="en-AU"/>
        </w:rPr>
        <w:t>that must be applied in</w:t>
      </w:r>
      <w:r w:rsidR="00D96B1A">
        <w:rPr>
          <w:lang w:eastAsia="en-AU"/>
        </w:rPr>
        <w:t xml:space="preserve"> every situation</w:t>
      </w:r>
      <w:r>
        <w:rPr>
          <w:lang w:eastAsia="en-AU"/>
        </w:rPr>
        <w:t>. E</w:t>
      </w:r>
      <w:r w:rsidRPr="00C4126C">
        <w:rPr>
          <w:lang w:eastAsia="en-AU"/>
        </w:rPr>
        <w:t xml:space="preserve">ach application </w:t>
      </w:r>
      <w:r>
        <w:rPr>
          <w:lang w:eastAsia="en-AU"/>
        </w:rPr>
        <w:t xml:space="preserve">of the </w:t>
      </w:r>
      <w:r w:rsidR="0019114D">
        <w:rPr>
          <w:lang w:eastAsia="en-AU"/>
        </w:rPr>
        <w:t>P</w:t>
      </w:r>
      <w:r>
        <w:rPr>
          <w:lang w:eastAsia="en-AU"/>
        </w:rPr>
        <w:t xml:space="preserve">olicy </w:t>
      </w:r>
      <w:r w:rsidRPr="00C4126C">
        <w:rPr>
          <w:lang w:eastAsia="en-AU"/>
        </w:rPr>
        <w:t xml:space="preserve">will </w:t>
      </w:r>
      <w:r>
        <w:rPr>
          <w:lang w:eastAsia="en-AU"/>
        </w:rPr>
        <w:t xml:space="preserve">involve development of </w:t>
      </w:r>
      <w:r w:rsidRPr="00C4126C">
        <w:rPr>
          <w:lang w:eastAsia="en-AU"/>
        </w:rPr>
        <w:t xml:space="preserve">a unique </w:t>
      </w:r>
      <w:r>
        <w:rPr>
          <w:lang w:eastAsia="en-AU"/>
        </w:rPr>
        <w:t xml:space="preserve">combination of the </w:t>
      </w:r>
      <w:r w:rsidR="000367C3">
        <w:rPr>
          <w:lang w:eastAsia="en-AU"/>
        </w:rPr>
        <w:t>performance indicators</w:t>
      </w:r>
      <w:r w:rsidR="000367C3" w:rsidRPr="00C4126C">
        <w:rPr>
          <w:lang w:eastAsia="en-AU"/>
        </w:rPr>
        <w:t xml:space="preserve"> </w:t>
      </w:r>
      <w:r>
        <w:rPr>
          <w:lang w:eastAsia="en-AU"/>
        </w:rPr>
        <w:t xml:space="preserve">by each individual project team </w:t>
      </w:r>
      <w:r w:rsidRPr="00C4126C">
        <w:rPr>
          <w:lang w:eastAsia="en-AU"/>
        </w:rPr>
        <w:t xml:space="preserve">to match </w:t>
      </w:r>
      <w:r w:rsidRPr="7F40AAD9">
        <w:rPr>
          <w:lang w:eastAsia="en-AU"/>
        </w:rPr>
        <w:t>a project</w:t>
      </w:r>
      <w:r w:rsidR="00A42F1E">
        <w:rPr>
          <w:lang w:eastAsia="en-AU"/>
        </w:rPr>
        <w:t>’</w:t>
      </w:r>
      <w:r w:rsidRPr="7F40AAD9">
        <w:rPr>
          <w:lang w:eastAsia="en-AU"/>
        </w:rPr>
        <w:t>s</w:t>
      </w:r>
      <w:r w:rsidRPr="00C4126C">
        <w:rPr>
          <w:lang w:eastAsia="en-AU"/>
        </w:rPr>
        <w:t xml:space="preserve"> </w:t>
      </w:r>
      <w:r w:rsidRPr="2F932D19">
        <w:rPr>
          <w:lang w:eastAsia="en-AU"/>
        </w:rPr>
        <w:t>vision</w:t>
      </w:r>
      <w:r w:rsidRPr="00C4126C">
        <w:rPr>
          <w:lang w:eastAsia="en-AU"/>
        </w:rPr>
        <w:t xml:space="preserve"> and objectives.</w:t>
      </w:r>
      <w:r w:rsidR="00C4086A" w:rsidRPr="00C4086A">
        <w:rPr>
          <w:lang w:eastAsia="en-AU"/>
        </w:rPr>
        <w:t xml:space="preserve"> </w:t>
      </w:r>
      <w:r w:rsidR="00C4086A" w:rsidRPr="5BCD77AC">
        <w:rPr>
          <w:lang w:eastAsia="en-AU"/>
        </w:rPr>
        <w:t xml:space="preserve">The </w:t>
      </w:r>
      <w:r w:rsidR="00C4086A" w:rsidRPr="00713466">
        <w:rPr>
          <w:lang w:eastAsia="en-AU"/>
        </w:rPr>
        <w:t>weight</w:t>
      </w:r>
      <w:r w:rsidR="00C4086A" w:rsidRPr="5BCD77AC">
        <w:rPr>
          <w:lang w:eastAsia="en-AU"/>
        </w:rPr>
        <w:t xml:space="preserve"> of</w:t>
      </w:r>
      <w:r w:rsidR="00C4086A">
        <w:rPr>
          <w:lang w:eastAsia="en-AU"/>
        </w:rPr>
        <w:t xml:space="preserve"> each performance indicator </w:t>
      </w:r>
      <w:r w:rsidR="00C4086A" w:rsidRPr="5BCD77AC">
        <w:rPr>
          <w:lang w:eastAsia="en-AU"/>
        </w:rPr>
        <w:t>is</w:t>
      </w:r>
      <w:r w:rsidR="00C4086A">
        <w:rPr>
          <w:lang w:eastAsia="en-AU"/>
        </w:rPr>
        <w:t xml:space="preserve"> </w:t>
      </w:r>
      <w:r w:rsidR="00706106">
        <w:rPr>
          <w:lang w:eastAsia="en-AU"/>
        </w:rPr>
        <w:t xml:space="preserve">also </w:t>
      </w:r>
      <w:r w:rsidR="00C4086A">
        <w:rPr>
          <w:lang w:eastAsia="en-AU"/>
        </w:rPr>
        <w:t xml:space="preserve">determined by the project </w:t>
      </w:r>
      <w:r w:rsidR="00C4086A" w:rsidRPr="55F299DF">
        <w:rPr>
          <w:lang w:eastAsia="en-AU"/>
        </w:rPr>
        <w:t xml:space="preserve">team’s assessment </w:t>
      </w:r>
      <w:r w:rsidR="00C4086A" w:rsidRPr="63E5DB91">
        <w:rPr>
          <w:lang w:eastAsia="en-AU"/>
        </w:rPr>
        <w:t xml:space="preserve">of </w:t>
      </w:r>
      <w:r w:rsidR="00C4086A" w:rsidRPr="46A4E7C2">
        <w:rPr>
          <w:lang w:eastAsia="en-AU"/>
        </w:rPr>
        <w:t xml:space="preserve">how </w:t>
      </w:r>
      <w:r w:rsidR="00C4086A">
        <w:rPr>
          <w:lang w:eastAsia="en-AU"/>
        </w:rPr>
        <w:t>critical</w:t>
      </w:r>
      <w:r w:rsidR="00C4086A" w:rsidRPr="0678E6DD">
        <w:rPr>
          <w:lang w:eastAsia="en-AU"/>
        </w:rPr>
        <w:t xml:space="preserve"> </w:t>
      </w:r>
      <w:r w:rsidR="00706106">
        <w:rPr>
          <w:lang w:eastAsia="en-AU"/>
        </w:rPr>
        <w:t xml:space="preserve">each are </w:t>
      </w:r>
      <w:r w:rsidR="00C4086A" w:rsidRPr="46A4E7C2">
        <w:rPr>
          <w:lang w:eastAsia="en-AU"/>
        </w:rPr>
        <w:t xml:space="preserve">in </w:t>
      </w:r>
      <w:r w:rsidR="00706106">
        <w:rPr>
          <w:lang w:eastAsia="en-AU"/>
        </w:rPr>
        <w:t>achieving</w:t>
      </w:r>
      <w:r w:rsidR="00C4086A" w:rsidRPr="0678E6DD">
        <w:rPr>
          <w:lang w:eastAsia="en-AU"/>
        </w:rPr>
        <w:t xml:space="preserve"> the </w:t>
      </w:r>
      <w:r w:rsidR="00C4086A" w:rsidRPr="5BCD77AC">
        <w:rPr>
          <w:lang w:eastAsia="en-AU"/>
        </w:rPr>
        <w:t>vision</w:t>
      </w:r>
      <w:r w:rsidR="00C4086A" w:rsidRPr="63E5DB91">
        <w:rPr>
          <w:lang w:eastAsia="en-AU"/>
        </w:rPr>
        <w:t>.</w:t>
      </w:r>
    </w:p>
    <w:p w14:paraId="188BA118" w14:textId="46036A17" w:rsidR="00D84566" w:rsidRDefault="00A010CD" w:rsidP="00882A57">
      <w:pPr>
        <w:spacing w:after="120"/>
        <w:rPr>
          <w:lang w:eastAsia="en-AU"/>
        </w:rPr>
      </w:pPr>
      <w:r w:rsidRPr="00C4126C">
        <w:rPr>
          <w:lang w:eastAsia="en-AU"/>
        </w:rPr>
        <w:t xml:space="preserve">The four </w:t>
      </w:r>
      <w:r w:rsidR="000367C3">
        <w:rPr>
          <w:lang w:eastAsia="en-AU"/>
        </w:rPr>
        <w:t xml:space="preserve">broad </w:t>
      </w:r>
      <w:r w:rsidR="000367C3" w:rsidRPr="00C83AD2">
        <w:rPr>
          <w:i/>
          <w:iCs/>
          <w:lang w:eastAsia="en-AU"/>
        </w:rPr>
        <w:t xml:space="preserve">movement and place </w:t>
      </w:r>
      <w:r w:rsidR="000367C3">
        <w:rPr>
          <w:lang w:eastAsia="en-AU"/>
        </w:rPr>
        <w:t xml:space="preserve">outcomes and </w:t>
      </w:r>
      <w:r w:rsidRPr="00C4126C">
        <w:rPr>
          <w:lang w:eastAsia="en-AU"/>
        </w:rPr>
        <w:t>performance indicator themes</w:t>
      </w:r>
      <w:r w:rsidR="00D84566">
        <w:rPr>
          <w:lang w:eastAsia="en-AU"/>
        </w:rPr>
        <w:t>, shown in Figure 1</w:t>
      </w:r>
      <w:r w:rsidR="000367C3">
        <w:rPr>
          <w:lang w:eastAsia="en-AU"/>
        </w:rPr>
        <w:t xml:space="preserve">, </w:t>
      </w:r>
      <w:r w:rsidRPr="00C4126C">
        <w:rPr>
          <w:lang w:eastAsia="en-AU"/>
        </w:rPr>
        <w:t xml:space="preserve">are aligned </w:t>
      </w:r>
      <w:r w:rsidR="00D84566">
        <w:rPr>
          <w:lang w:eastAsia="en-AU"/>
        </w:rPr>
        <w:t xml:space="preserve">directly </w:t>
      </w:r>
      <w:r w:rsidRPr="00C4126C">
        <w:rPr>
          <w:lang w:eastAsia="en-AU"/>
        </w:rPr>
        <w:t xml:space="preserve">to the Policy </w:t>
      </w:r>
      <w:r w:rsidR="00D84566">
        <w:rPr>
          <w:lang w:eastAsia="en-AU"/>
        </w:rPr>
        <w:t xml:space="preserve">objectives </w:t>
      </w:r>
      <w:r w:rsidRPr="00C4126C">
        <w:rPr>
          <w:lang w:eastAsia="en-AU"/>
        </w:rPr>
        <w:t>and broader TMR strategic objectives</w:t>
      </w:r>
      <w:r w:rsidR="000367C3">
        <w:rPr>
          <w:lang w:eastAsia="en-AU"/>
        </w:rPr>
        <w:t>.</w:t>
      </w:r>
      <w:r w:rsidR="00D84566">
        <w:rPr>
          <w:lang w:eastAsia="en-AU"/>
        </w:rPr>
        <w:t xml:space="preserve"> Table 1</w:t>
      </w:r>
      <w:r w:rsidR="000367C3">
        <w:rPr>
          <w:lang w:eastAsia="en-AU"/>
        </w:rPr>
        <w:t xml:space="preserve"> expands further, linking t</w:t>
      </w:r>
      <w:r w:rsidR="00E562C5">
        <w:rPr>
          <w:lang w:eastAsia="en-AU"/>
        </w:rPr>
        <w:t>hese themes to possible performance metrics</w:t>
      </w:r>
      <w:r w:rsidR="00F94257">
        <w:rPr>
          <w:lang w:eastAsia="en-AU"/>
        </w:rPr>
        <w:t xml:space="preserve"> that practitioners may consider</w:t>
      </w:r>
      <w:r w:rsidRPr="00C4126C">
        <w:rPr>
          <w:lang w:eastAsia="en-AU"/>
        </w:rPr>
        <w:t>.</w:t>
      </w:r>
      <w:r w:rsidR="00C4086A" w:rsidRPr="00C4086A">
        <w:rPr>
          <w:lang w:eastAsia="en-AU"/>
        </w:rPr>
        <w:t xml:space="preserve"> </w:t>
      </w:r>
      <w:r w:rsidR="00C4086A">
        <w:rPr>
          <w:lang w:eastAsia="en-AU"/>
        </w:rPr>
        <w:t xml:space="preserve">For example, urban heat, air quality and noise metrics could be used to measure the ‘health and wellbeing’ </w:t>
      </w:r>
      <w:r w:rsidR="006D49DD">
        <w:rPr>
          <w:lang w:eastAsia="en-AU"/>
        </w:rPr>
        <w:t>indicator</w:t>
      </w:r>
      <w:r w:rsidR="00C4086A">
        <w:rPr>
          <w:lang w:eastAsia="en-AU"/>
        </w:rPr>
        <w:t xml:space="preserve">, while mode share surveys could be used to measure the ‘transport choice’ </w:t>
      </w:r>
      <w:r w:rsidR="006D49DD">
        <w:rPr>
          <w:lang w:eastAsia="en-AU"/>
        </w:rPr>
        <w:t>indicator</w:t>
      </w:r>
      <w:r w:rsidR="00C4086A">
        <w:rPr>
          <w:lang w:eastAsia="en-AU"/>
        </w:rPr>
        <w:t>.</w:t>
      </w:r>
    </w:p>
    <w:p w14:paraId="3EC1887E" w14:textId="77777777" w:rsidR="00713466" w:rsidRDefault="00713466">
      <w:pPr>
        <w:spacing w:after="160" w:line="259" w:lineRule="auto"/>
        <w:rPr>
          <w:lang w:eastAsia="en-AU"/>
        </w:rPr>
      </w:pPr>
      <w:r>
        <w:rPr>
          <w:lang w:eastAsia="en-AU"/>
        </w:rPr>
        <w:br w:type="page"/>
      </w:r>
    </w:p>
    <w:p w14:paraId="1AA6379D" w14:textId="574AA39B" w:rsidR="008B31F1" w:rsidRDefault="008B31F1" w:rsidP="00971735">
      <w:pPr>
        <w:pStyle w:val="FigureCaption"/>
      </w:pPr>
      <w:r w:rsidRPr="00116D44">
        <w:lastRenderedPageBreak/>
        <w:t xml:space="preserve">Figure </w:t>
      </w:r>
      <w:r>
        <w:t>1: Broad movement and place outcomes and performance indicators</w:t>
      </w:r>
    </w:p>
    <w:p w14:paraId="0403F172" w14:textId="65734500" w:rsidR="00683EAB" w:rsidRDefault="0096024E" w:rsidP="00713466">
      <w:pPr>
        <w:rPr>
          <w:lang w:eastAsia="en-AU"/>
        </w:rPr>
      </w:pPr>
      <w:r>
        <w:rPr>
          <w:noProof/>
        </w:rPr>
        <w:drawing>
          <wp:inline distT="0" distB="0" distL="0" distR="0" wp14:anchorId="3AE0DE8F" wp14:editId="2928FB7B">
            <wp:extent cx="6159972" cy="5954232"/>
            <wp:effectExtent l="0" t="0" r="0" b="0"/>
            <wp:docPr id="25" name="Picture 25" descr="Broad movement and place outcomes and performance indicators graphic. Context specific desired outcomes and criteria. Connected: connectivity and accessibility, transport choice, efficiency and reliability, productivity. Vibrant and successful places: culture and identity, activity and use, amenity. Healthy happy people: Safety and security, health and wellbeing, equity and inclusion. Natural and sustainable: resilience, climate, 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road movement and place outcomes and performance indicators graphic. Context specific desired outcomes and criteria. Connected: connectivity and accessibility, transport choice, efficiency and reliability, productivity. Vibrant and successful places: culture and identity, activity and use, amenity. Healthy happy people: Safety and security, health and wellbeing, equity and inclusion. Natural and sustainable: resilience, climate, biodiversit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1068" cy="5964958"/>
                    </a:xfrm>
                    <a:prstGeom prst="rect">
                      <a:avLst/>
                    </a:prstGeom>
                  </pic:spPr>
                </pic:pic>
              </a:graphicData>
            </a:graphic>
          </wp:inline>
        </w:drawing>
      </w:r>
    </w:p>
    <w:p w14:paraId="37D946B6" w14:textId="77777777" w:rsidR="0096024E" w:rsidRDefault="0096024E" w:rsidP="008B31F1">
      <w:pPr>
        <w:spacing w:after="120"/>
        <w:rPr>
          <w:i/>
          <w:iCs/>
        </w:rPr>
      </w:pPr>
      <w:r>
        <w:rPr>
          <w:i/>
          <w:iCs/>
        </w:rPr>
        <w:br w:type="page"/>
      </w:r>
    </w:p>
    <w:p w14:paraId="78E8F6E4" w14:textId="3688C423" w:rsidR="008B31F1" w:rsidRPr="00D929FC" w:rsidRDefault="008B31F1" w:rsidP="00D929FC">
      <w:pPr>
        <w:pStyle w:val="FigureCaption"/>
      </w:pPr>
      <w:r w:rsidRPr="00D929FC">
        <w:lastRenderedPageBreak/>
        <w:t>Table 1: Alignment of Performance Indicators and Strategic Objectives</w:t>
      </w:r>
    </w:p>
    <w:tbl>
      <w:tblPr>
        <w:tblStyle w:val="TMR"/>
        <w:tblW w:w="9072" w:type="dxa"/>
        <w:tblLayout w:type="fixed"/>
        <w:tblLook w:val="04A0" w:firstRow="1" w:lastRow="0" w:firstColumn="1" w:lastColumn="0" w:noHBand="0" w:noVBand="1"/>
      </w:tblPr>
      <w:tblGrid>
        <w:gridCol w:w="2268"/>
        <w:gridCol w:w="2268"/>
        <w:gridCol w:w="2127"/>
        <w:gridCol w:w="2409"/>
      </w:tblGrid>
      <w:tr w:rsidR="00C530E9" w:rsidRPr="00C4126C" w14:paraId="07ED32D9" w14:textId="01ABB226" w:rsidTr="00E0364B">
        <w:trPr>
          <w:cnfStyle w:val="100000000000" w:firstRow="1" w:lastRow="0" w:firstColumn="0" w:lastColumn="0" w:oddVBand="0" w:evenVBand="0" w:oddHBand="0" w:evenHBand="0" w:firstRowFirstColumn="0" w:firstRowLastColumn="0" w:lastRowFirstColumn="0" w:lastRowLastColumn="0"/>
          <w:trHeight w:val="650"/>
        </w:trPr>
        <w:tc>
          <w:tcPr>
            <w:tcW w:w="2268" w:type="dxa"/>
          </w:tcPr>
          <w:p w14:paraId="36537703" w14:textId="4AA498EB" w:rsidR="002E02E0" w:rsidRPr="00CC2C37" w:rsidRDefault="002E02E0" w:rsidP="00713466">
            <w:pPr>
              <w:spacing w:line="0" w:lineRule="atLeast"/>
              <w:rPr>
                <w:lang w:eastAsia="en-AU"/>
              </w:rPr>
            </w:pPr>
            <w:r w:rsidRPr="00CC2C37">
              <w:rPr>
                <w:lang w:eastAsia="en-AU"/>
              </w:rPr>
              <w:t xml:space="preserve">Policy </w:t>
            </w:r>
            <w:r w:rsidR="00617F61" w:rsidRPr="00CC2C37">
              <w:rPr>
                <w:lang w:eastAsia="en-AU"/>
              </w:rPr>
              <w:t>o</w:t>
            </w:r>
            <w:r w:rsidRPr="00CC2C37">
              <w:rPr>
                <w:lang w:eastAsia="en-AU"/>
              </w:rPr>
              <w:t xml:space="preserve">bjective / Performance Indicator </w:t>
            </w:r>
            <w:r w:rsidR="00683EAB" w:rsidRPr="00CC2C37">
              <w:rPr>
                <w:lang w:eastAsia="en-AU"/>
              </w:rPr>
              <w:t>t</w:t>
            </w:r>
            <w:r w:rsidRPr="00CC2C37">
              <w:rPr>
                <w:lang w:eastAsia="en-AU"/>
              </w:rPr>
              <w:t>heme</w:t>
            </w:r>
          </w:p>
        </w:tc>
        <w:tc>
          <w:tcPr>
            <w:tcW w:w="2268" w:type="dxa"/>
          </w:tcPr>
          <w:p w14:paraId="3B09701A" w14:textId="24E9D271" w:rsidR="002E02E0" w:rsidRPr="00CC2C37" w:rsidRDefault="002E02E0" w:rsidP="00713466">
            <w:pPr>
              <w:spacing w:line="0" w:lineRule="atLeast"/>
              <w:rPr>
                <w:lang w:eastAsia="en-AU"/>
              </w:rPr>
            </w:pPr>
            <w:r w:rsidRPr="00CC2C37">
              <w:rPr>
                <w:lang w:eastAsia="en-AU"/>
              </w:rPr>
              <w:t>TMR Strategic Objective</w:t>
            </w:r>
          </w:p>
        </w:tc>
        <w:tc>
          <w:tcPr>
            <w:tcW w:w="2127" w:type="dxa"/>
          </w:tcPr>
          <w:p w14:paraId="4EC57382" w14:textId="2602E89A" w:rsidR="002E02E0" w:rsidRPr="00CC2C37" w:rsidRDefault="002E02E0" w:rsidP="00713466">
            <w:pPr>
              <w:spacing w:line="0" w:lineRule="atLeast"/>
              <w:rPr>
                <w:lang w:eastAsia="en-AU"/>
              </w:rPr>
            </w:pPr>
            <w:r w:rsidRPr="00CC2C37">
              <w:rPr>
                <w:lang w:eastAsia="en-AU"/>
              </w:rPr>
              <w:t xml:space="preserve">Desired </w:t>
            </w:r>
            <w:r w:rsidR="00617F61" w:rsidRPr="00CC2C37">
              <w:rPr>
                <w:lang w:eastAsia="en-AU"/>
              </w:rPr>
              <w:t>o</w:t>
            </w:r>
            <w:r w:rsidRPr="00CC2C37">
              <w:rPr>
                <w:lang w:eastAsia="en-AU"/>
              </w:rPr>
              <w:t>utcomes</w:t>
            </w:r>
          </w:p>
        </w:tc>
        <w:tc>
          <w:tcPr>
            <w:tcW w:w="2409" w:type="dxa"/>
          </w:tcPr>
          <w:p w14:paraId="32DE0B76" w14:textId="5DB7A293" w:rsidR="002E02E0" w:rsidRPr="00CC2C37" w:rsidRDefault="00871878" w:rsidP="00713466">
            <w:pPr>
              <w:spacing w:after="160" w:line="259" w:lineRule="auto"/>
              <w:rPr>
                <w:lang w:eastAsia="en-AU"/>
              </w:rPr>
            </w:pPr>
            <w:r w:rsidRPr="00CC2C37">
              <w:rPr>
                <w:lang w:eastAsia="en-AU"/>
              </w:rPr>
              <w:t>Potential</w:t>
            </w:r>
            <w:r w:rsidR="00683EAB" w:rsidRPr="00CC2C37">
              <w:rPr>
                <w:lang w:eastAsia="en-AU"/>
              </w:rPr>
              <w:t xml:space="preserve"> </w:t>
            </w:r>
            <w:r w:rsidR="002E02E0" w:rsidRPr="00CC2C37">
              <w:rPr>
                <w:lang w:eastAsia="en-AU"/>
              </w:rPr>
              <w:t>Performance Indicator</w:t>
            </w:r>
            <w:r w:rsidR="0091637A" w:rsidRPr="00CC2C37">
              <w:rPr>
                <w:lang w:eastAsia="en-AU"/>
              </w:rPr>
              <w:t xml:space="preserve"> </w:t>
            </w:r>
            <w:r w:rsidR="00617F61" w:rsidRPr="00CC2C37">
              <w:rPr>
                <w:lang w:eastAsia="en-AU"/>
              </w:rPr>
              <w:t>m</w:t>
            </w:r>
            <w:r w:rsidR="0091637A" w:rsidRPr="00CC2C37">
              <w:rPr>
                <w:lang w:eastAsia="en-AU"/>
              </w:rPr>
              <w:t>etric</w:t>
            </w:r>
            <w:r w:rsidR="00617F61" w:rsidRPr="00CC2C37">
              <w:rPr>
                <w:lang w:eastAsia="en-AU"/>
              </w:rPr>
              <w:t>s</w:t>
            </w:r>
          </w:p>
        </w:tc>
      </w:tr>
      <w:tr w:rsidR="002E02E0" w:rsidRPr="00C4126C" w14:paraId="34CDA04C" w14:textId="7525BFFC" w:rsidTr="00E0364B">
        <w:trPr>
          <w:cnfStyle w:val="000000100000" w:firstRow="0" w:lastRow="0" w:firstColumn="0" w:lastColumn="0" w:oddVBand="0" w:evenVBand="0" w:oddHBand="1" w:evenHBand="0" w:firstRowFirstColumn="0" w:firstRowLastColumn="0" w:lastRowFirstColumn="0" w:lastRowLastColumn="0"/>
          <w:trHeight w:val="1470"/>
        </w:trPr>
        <w:tc>
          <w:tcPr>
            <w:tcW w:w="2268" w:type="dxa"/>
          </w:tcPr>
          <w:p w14:paraId="72F4C2AD" w14:textId="77777777" w:rsidR="002E02E0" w:rsidRPr="00CC2C37" w:rsidRDefault="002E02E0" w:rsidP="005427F2">
            <w:pPr>
              <w:spacing w:after="60" w:line="240" w:lineRule="auto"/>
              <w:rPr>
                <w:b/>
                <w:szCs w:val="24"/>
                <w:lang w:eastAsia="en-AU"/>
              </w:rPr>
            </w:pPr>
            <w:r w:rsidRPr="00CC2C37">
              <w:rPr>
                <w:szCs w:val="24"/>
                <w:lang w:eastAsia="en-AU"/>
              </w:rPr>
              <w:t>Vibrant and successful places</w:t>
            </w:r>
          </w:p>
          <w:p w14:paraId="31C46289" w14:textId="68E4D204" w:rsidR="002E02E0" w:rsidRPr="00CC2C37" w:rsidRDefault="002E02E0" w:rsidP="004F6D59">
            <w:pPr>
              <w:spacing w:after="60" w:line="240" w:lineRule="auto"/>
              <w:rPr>
                <w:b/>
                <w:bCs/>
                <w:szCs w:val="24"/>
                <w:lang w:eastAsia="en-AU"/>
              </w:rPr>
            </w:pPr>
            <w:r w:rsidRPr="00CC2C37">
              <w:rPr>
                <w:szCs w:val="24"/>
                <w:lang w:eastAsia="en-AU"/>
              </w:rPr>
              <w:t>Integration of transport with the built environment to create great places</w:t>
            </w:r>
          </w:p>
        </w:tc>
        <w:tc>
          <w:tcPr>
            <w:tcW w:w="2268" w:type="dxa"/>
          </w:tcPr>
          <w:p w14:paraId="145E4D93" w14:textId="77777777"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Responsive</w:t>
            </w:r>
          </w:p>
          <w:p w14:paraId="00D2CFC1" w14:textId="6718AE59"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Accessible and integrated</w:t>
            </w:r>
          </w:p>
          <w:p w14:paraId="3278E04D" w14:textId="77777777"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Sustainable</w:t>
            </w:r>
          </w:p>
        </w:tc>
        <w:tc>
          <w:tcPr>
            <w:tcW w:w="2127" w:type="dxa"/>
          </w:tcPr>
          <w:p w14:paraId="3ACAE1C4" w14:textId="452231E1"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Amenity</w:t>
            </w:r>
          </w:p>
          <w:p w14:paraId="1443FFC9" w14:textId="5F375C39"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Activity and use</w:t>
            </w:r>
          </w:p>
          <w:p w14:paraId="0FB884DC" w14:textId="24289823" w:rsidR="002E02E0" w:rsidRPr="00CC2C37" w:rsidRDefault="002E02E0" w:rsidP="004D7D50">
            <w:pPr>
              <w:pStyle w:val="ListParagraph"/>
              <w:numPr>
                <w:ilvl w:val="0"/>
                <w:numId w:val="13"/>
              </w:numPr>
              <w:spacing w:after="60" w:line="240" w:lineRule="auto"/>
              <w:ind w:left="283" w:hanging="283"/>
              <w:rPr>
                <w:bCs/>
                <w:szCs w:val="24"/>
                <w:lang w:eastAsia="en-AU"/>
              </w:rPr>
            </w:pPr>
            <w:r w:rsidRPr="00CC2C37">
              <w:rPr>
                <w:szCs w:val="24"/>
                <w:lang w:eastAsia="en-AU"/>
              </w:rPr>
              <w:t>Culture and identity.</w:t>
            </w:r>
          </w:p>
        </w:tc>
        <w:tc>
          <w:tcPr>
            <w:tcW w:w="2409" w:type="dxa"/>
          </w:tcPr>
          <w:p w14:paraId="31AE203A" w14:textId="6C881550" w:rsidR="00C530E9" w:rsidRPr="00CC2C37" w:rsidRDefault="00966A4E" w:rsidP="008B1E2C">
            <w:pPr>
              <w:pStyle w:val="ListParagraph"/>
              <w:numPr>
                <w:ilvl w:val="0"/>
                <w:numId w:val="13"/>
              </w:numPr>
              <w:spacing w:after="60" w:line="240" w:lineRule="auto"/>
              <w:ind w:left="283" w:hanging="283"/>
              <w:rPr>
                <w:szCs w:val="24"/>
                <w:lang w:eastAsia="en-AU"/>
              </w:rPr>
            </w:pPr>
            <w:r w:rsidRPr="00CC2C37">
              <w:rPr>
                <w:szCs w:val="24"/>
                <w:lang w:eastAsia="en-AU"/>
              </w:rPr>
              <w:t>Dwell times</w:t>
            </w:r>
          </w:p>
          <w:p w14:paraId="1A289E3D" w14:textId="77777777" w:rsidR="002E02E0" w:rsidRPr="00CC2C37" w:rsidRDefault="007D574F" w:rsidP="008B1E2C">
            <w:pPr>
              <w:pStyle w:val="ListParagraph"/>
              <w:numPr>
                <w:ilvl w:val="0"/>
                <w:numId w:val="13"/>
              </w:numPr>
              <w:spacing w:after="60" w:line="240" w:lineRule="auto"/>
              <w:ind w:left="283" w:hanging="283"/>
              <w:rPr>
                <w:szCs w:val="24"/>
                <w:lang w:eastAsia="en-AU"/>
              </w:rPr>
            </w:pPr>
            <w:r w:rsidRPr="00CC2C37">
              <w:rPr>
                <w:szCs w:val="24"/>
                <w:lang w:eastAsia="en-AU"/>
              </w:rPr>
              <w:t>Percentage of shade</w:t>
            </w:r>
          </w:p>
          <w:p w14:paraId="3763A21F" w14:textId="77777777" w:rsidR="007D574F" w:rsidRPr="00CC2C37" w:rsidRDefault="007D574F" w:rsidP="008B1E2C">
            <w:pPr>
              <w:pStyle w:val="ListParagraph"/>
              <w:numPr>
                <w:ilvl w:val="0"/>
                <w:numId w:val="13"/>
              </w:numPr>
              <w:spacing w:after="60" w:line="240" w:lineRule="auto"/>
              <w:ind w:left="283" w:hanging="283"/>
              <w:rPr>
                <w:szCs w:val="24"/>
                <w:lang w:eastAsia="en-AU"/>
              </w:rPr>
            </w:pPr>
            <w:r w:rsidRPr="00CC2C37">
              <w:rPr>
                <w:szCs w:val="24"/>
                <w:lang w:eastAsia="en-AU"/>
              </w:rPr>
              <w:t>Noise pollution levels</w:t>
            </w:r>
          </w:p>
          <w:p w14:paraId="6887C82B" w14:textId="77777777" w:rsidR="000330B9" w:rsidRPr="00CC2C37" w:rsidRDefault="000330B9" w:rsidP="008B1E2C">
            <w:pPr>
              <w:pStyle w:val="ListParagraph"/>
              <w:numPr>
                <w:ilvl w:val="0"/>
                <w:numId w:val="13"/>
              </w:numPr>
              <w:spacing w:after="60" w:line="240" w:lineRule="auto"/>
              <w:ind w:left="283" w:hanging="283"/>
              <w:rPr>
                <w:szCs w:val="24"/>
                <w:lang w:eastAsia="en-AU"/>
              </w:rPr>
            </w:pPr>
            <w:r w:rsidRPr="00CC2C37">
              <w:rPr>
                <w:szCs w:val="24"/>
                <w:lang w:eastAsia="en-AU"/>
              </w:rPr>
              <w:t>Density</w:t>
            </w:r>
          </w:p>
          <w:p w14:paraId="44432387" w14:textId="03E9FAED" w:rsidR="000330B9" w:rsidRPr="00CC2C37" w:rsidRDefault="009D0D01" w:rsidP="008B1E2C">
            <w:pPr>
              <w:pStyle w:val="ListParagraph"/>
              <w:numPr>
                <w:ilvl w:val="0"/>
                <w:numId w:val="13"/>
              </w:numPr>
              <w:spacing w:after="60" w:line="240" w:lineRule="auto"/>
              <w:ind w:left="283" w:hanging="283"/>
              <w:rPr>
                <w:szCs w:val="24"/>
                <w:lang w:eastAsia="en-AU"/>
              </w:rPr>
            </w:pPr>
            <w:r w:rsidRPr="00CC2C37">
              <w:rPr>
                <w:szCs w:val="24"/>
                <w:lang w:eastAsia="en-AU"/>
              </w:rPr>
              <w:t>Community engagement data</w:t>
            </w:r>
          </w:p>
        </w:tc>
      </w:tr>
      <w:tr w:rsidR="002E02E0" w:rsidRPr="00C4126C" w14:paraId="6737ACED" w14:textId="598B382F" w:rsidTr="00E0364B">
        <w:trPr>
          <w:trHeight w:val="1296"/>
        </w:trPr>
        <w:tc>
          <w:tcPr>
            <w:tcW w:w="2268" w:type="dxa"/>
          </w:tcPr>
          <w:p w14:paraId="6FA253AE" w14:textId="77777777" w:rsidR="002E02E0" w:rsidRPr="00CC2C37" w:rsidRDefault="002E02E0" w:rsidP="005427F2">
            <w:pPr>
              <w:spacing w:after="60" w:line="240" w:lineRule="auto"/>
              <w:rPr>
                <w:b/>
                <w:szCs w:val="24"/>
                <w:lang w:eastAsia="en-AU"/>
              </w:rPr>
            </w:pPr>
            <w:r w:rsidRPr="00CC2C37">
              <w:rPr>
                <w:szCs w:val="24"/>
                <w:lang w:eastAsia="en-AU"/>
              </w:rPr>
              <w:t>Happy healthy people</w:t>
            </w:r>
          </w:p>
          <w:p w14:paraId="4F8B5C2D" w14:textId="41711D91" w:rsidR="002E02E0" w:rsidRPr="00CC2C37" w:rsidRDefault="002E02E0" w:rsidP="004F6D59">
            <w:pPr>
              <w:spacing w:after="60" w:line="240" w:lineRule="auto"/>
              <w:rPr>
                <w:b/>
                <w:bCs/>
                <w:szCs w:val="24"/>
                <w:lang w:eastAsia="en-AU"/>
              </w:rPr>
            </w:pPr>
            <w:r w:rsidRPr="00CC2C37">
              <w:rPr>
                <w:szCs w:val="24"/>
                <w:lang w:eastAsia="en-AU"/>
              </w:rPr>
              <w:t>The role of transport in supporting desired social outcomes</w:t>
            </w:r>
          </w:p>
        </w:tc>
        <w:tc>
          <w:tcPr>
            <w:tcW w:w="2268" w:type="dxa"/>
          </w:tcPr>
          <w:p w14:paraId="6FE1E6A3" w14:textId="379CCA90"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Efficient and productive</w:t>
            </w:r>
          </w:p>
          <w:p w14:paraId="305BF8A6" w14:textId="0420B0BC"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Safe and secure</w:t>
            </w:r>
          </w:p>
        </w:tc>
        <w:tc>
          <w:tcPr>
            <w:tcW w:w="2127" w:type="dxa"/>
          </w:tcPr>
          <w:p w14:paraId="62E6914F" w14:textId="07307D87"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Safety and security</w:t>
            </w:r>
          </w:p>
          <w:p w14:paraId="42617B36" w14:textId="75FAA691"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Health and wellbeing</w:t>
            </w:r>
          </w:p>
          <w:p w14:paraId="30C09598" w14:textId="5C66CA94"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Inclusion.</w:t>
            </w:r>
          </w:p>
        </w:tc>
        <w:tc>
          <w:tcPr>
            <w:tcW w:w="2409" w:type="dxa"/>
          </w:tcPr>
          <w:p w14:paraId="3E2E5F7D" w14:textId="0026DE7E" w:rsidR="002E02E0" w:rsidRPr="00CC2C37" w:rsidRDefault="000330B9" w:rsidP="008B1E2C">
            <w:pPr>
              <w:pStyle w:val="ListParagraph"/>
              <w:numPr>
                <w:ilvl w:val="0"/>
                <w:numId w:val="13"/>
              </w:numPr>
              <w:spacing w:after="60" w:line="240" w:lineRule="auto"/>
              <w:ind w:left="283" w:hanging="283"/>
              <w:rPr>
                <w:szCs w:val="24"/>
                <w:lang w:eastAsia="en-AU"/>
              </w:rPr>
            </w:pPr>
            <w:r w:rsidRPr="00CC2C37">
              <w:rPr>
                <w:szCs w:val="24"/>
                <w:lang w:eastAsia="en-AU"/>
              </w:rPr>
              <w:t>Safety</w:t>
            </w:r>
            <w:r w:rsidR="002E3822" w:rsidRPr="00CC2C37">
              <w:rPr>
                <w:szCs w:val="24"/>
                <w:lang w:eastAsia="en-AU"/>
              </w:rPr>
              <w:t>–perceived and actual</w:t>
            </w:r>
            <w:r w:rsidR="00795E22" w:rsidRPr="00CC2C37">
              <w:rPr>
                <w:szCs w:val="24"/>
                <w:lang w:eastAsia="en-AU"/>
              </w:rPr>
              <w:t xml:space="preserve"> (road accidents, crime)</w:t>
            </w:r>
          </w:p>
          <w:p w14:paraId="1E67E6AE" w14:textId="77777777" w:rsidR="002E3822" w:rsidRPr="00CC2C37" w:rsidRDefault="002E3822" w:rsidP="008B1E2C">
            <w:pPr>
              <w:pStyle w:val="ListParagraph"/>
              <w:numPr>
                <w:ilvl w:val="0"/>
                <w:numId w:val="13"/>
              </w:numPr>
              <w:spacing w:after="60" w:line="240" w:lineRule="auto"/>
              <w:ind w:left="283" w:hanging="283"/>
              <w:rPr>
                <w:szCs w:val="24"/>
                <w:lang w:eastAsia="en-AU"/>
              </w:rPr>
            </w:pPr>
            <w:r w:rsidRPr="00CC2C37">
              <w:rPr>
                <w:szCs w:val="24"/>
                <w:lang w:eastAsia="en-AU"/>
              </w:rPr>
              <w:t>Road characteristics e.g. traffic volume, type and speed</w:t>
            </w:r>
          </w:p>
          <w:p w14:paraId="278EE83B" w14:textId="36A27B17" w:rsidR="00481FBF" w:rsidRPr="00CC2C37" w:rsidRDefault="00481FBF" w:rsidP="008B1E2C">
            <w:pPr>
              <w:pStyle w:val="ListParagraph"/>
              <w:numPr>
                <w:ilvl w:val="0"/>
                <w:numId w:val="13"/>
              </w:numPr>
              <w:spacing w:after="60" w:line="240" w:lineRule="auto"/>
              <w:ind w:left="283" w:hanging="283"/>
              <w:rPr>
                <w:szCs w:val="24"/>
                <w:lang w:eastAsia="en-AU"/>
              </w:rPr>
            </w:pPr>
            <w:r w:rsidRPr="00CC2C37">
              <w:rPr>
                <w:szCs w:val="24"/>
                <w:lang w:eastAsia="en-AU"/>
              </w:rPr>
              <w:t xml:space="preserve">Universal </w:t>
            </w:r>
            <w:r w:rsidR="000A437C" w:rsidRPr="00CC2C37">
              <w:rPr>
                <w:szCs w:val="24"/>
                <w:lang w:eastAsia="en-AU"/>
              </w:rPr>
              <w:t>Design</w:t>
            </w:r>
            <w:r w:rsidRPr="00CC2C37">
              <w:rPr>
                <w:szCs w:val="24"/>
                <w:lang w:eastAsia="en-AU"/>
              </w:rPr>
              <w:t xml:space="preserve"> levels</w:t>
            </w:r>
          </w:p>
          <w:p w14:paraId="4CF753B1" w14:textId="2FB6F3BA" w:rsidR="00481FBF" w:rsidRPr="00CC2C37" w:rsidRDefault="00481FBF" w:rsidP="008B1E2C">
            <w:pPr>
              <w:pStyle w:val="ListParagraph"/>
              <w:numPr>
                <w:ilvl w:val="0"/>
                <w:numId w:val="13"/>
              </w:numPr>
              <w:spacing w:after="60" w:line="240" w:lineRule="auto"/>
              <w:ind w:left="283" w:hanging="283"/>
              <w:rPr>
                <w:szCs w:val="24"/>
                <w:lang w:eastAsia="en-AU"/>
              </w:rPr>
            </w:pPr>
            <w:r w:rsidRPr="00CC2C37">
              <w:rPr>
                <w:szCs w:val="24"/>
                <w:lang w:eastAsia="en-AU"/>
              </w:rPr>
              <w:t>Social exclusion index</w:t>
            </w:r>
          </w:p>
        </w:tc>
      </w:tr>
      <w:tr w:rsidR="002E02E0" w:rsidRPr="00C4126C" w14:paraId="6EF7974D" w14:textId="629B45FF" w:rsidTr="00E0364B">
        <w:trPr>
          <w:cnfStyle w:val="000000100000" w:firstRow="0" w:lastRow="0" w:firstColumn="0" w:lastColumn="0" w:oddVBand="0" w:evenVBand="0" w:oddHBand="1" w:evenHBand="0" w:firstRowFirstColumn="0" w:firstRowLastColumn="0" w:lastRowFirstColumn="0" w:lastRowLastColumn="0"/>
          <w:trHeight w:val="1256"/>
        </w:trPr>
        <w:tc>
          <w:tcPr>
            <w:tcW w:w="2268" w:type="dxa"/>
          </w:tcPr>
          <w:p w14:paraId="172C6564" w14:textId="77777777" w:rsidR="002E02E0" w:rsidRPr="00CC2C37" w:rsidRDefault="002E02E0" w:rsidP="005427F2">
            <w:pPr>
              <w:spacing w:after="60" w:line="240" w:lineRule="auto"/>
              <w:rPr>
                <w:b/>
                <w:szCs w:val="24"/>
                <w:lang w:eastAsia="en-AU"/>
              </w:rPr>
            </w:pPr>
            <w:r w:rsidRPr="00CC2C37">
              <w:rPr>
                <w:szCs w:val="24"/>
                <w:lang w:eastAsia="en-AU"/>
              </w:rPr>
              <w:t>Natural and sustainable</w:t>
            </w:r>
          </w:p>
          <w:p w14:paraId="5DF1EF97" w14:textId="6E3248F5" w:rsidR="002E02E0" w:rsidRPr="00CC2C37" w:rsidRDefault="002E02E0" w:rsidP="004F6D59">
            <w:pPr>
              <w:spacing w:after="60" w:line="240" w:lineRule="auto"/>
              <w:rPr>
                <w:b/>
                <w:bCs/>
                <w:szCs w:val="24"/>
                <w:lang w:eastAsia="en-AU"/>
              </w:rPr>
            </w:pPr>
            <w:r w:rsidRPr="00CC2C37">
              <w:rPr>
                <w:szCs w:val="24"/>
                <w:lang w:eastAsia="en-AU"/>
              </w:rPr>
              <w:t>Interplay between transport, the natural environment and sustainability</w:t>
            </w:r>
          </w:p>
        </w:tc>
        <w:tc>
          <w:tcPr>
            <w:tcW w:w="2268" w:type="dxa"/>
          </w:tcPr>
          <w:p w14:paraId="2581587C" w14:textId="77777777"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Sustainable</w:t>
            </w:r>
          </w:p>
          <w:p w14:paraId="6E2C64B6" w14:textId="1A25E042"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Responsive</w:t>
            </w:r>
          </w:p>
        </w:tc>
        <w:tc>
          <w:tcPr>
            <w:tcW w:w="2127" w:type="dxa"/>
          </w:tcPr>
          <w:p w14:paraId="3EE36006" w14:textId="4B637E06"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Resilience</w:t>
            </w:r>
          </w:p>
          <w:p w14:paraId="33E7A736" w14:textId="5F7E0625"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Climate</w:t>
            </w:r>
          </w:p>
          <w:p w14:paraId="5906A512" w14:textId="0AB0C3E5"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Biodiversity.</w:t>
            </w:r>
          </w:p>
        </w:tc>
        <w:tc>
          <w:tcPr>
            <w:tcW w:w="2409" w:type="dxa"/>
          </w:tcPr>
          <w:p w14:paraId="2A55FE18" w14:textId="77777777" w:rsidR="002E02E0" w:rsidRPr="00CC2C37" w:rsidRDefault="00795E22" w:rsidP="008B1E2C">
            <w:pPr>
              <w:pStyle w:val="ListParagraph"/>
              <w:numPr>
                <w:ilvl w:val="0"/>
                <w:numId w:val="13"/>
              </w:numPr>
              <w:spacing w:after="60" w:line="240" w:lineRule="auto"/>
              <w:ind w:left="283" w:hanging="283"/>
              <w:rPr>
                <w:szCs w:val="24"/>
                <w:lang w:eastAsia="en-AU"/>
              </w:rPr>
            </w:pPr>
            <w:r w:rsidRPr="00CC2C37">
              <w:rPr>
                <w:szCs w:val="24"/>
                <w:lang w:eastAsia="en-AU"/>
              </w:rPr>
              <w:t xml:space="preserve">Reliability of network under </w:t>
            </w:r>
            <w:r w:rsidR="007D2398" w:rsidRPr="00CC2C37">
              <w:rPr>
                <w:szCs w:val="24"/>
                <w:lang w:eastAsia="en-AU"/>
              </w:rPr>
              <w:t>different conditions</w:t>
            </w:r>
          </w:p>
          <w:p w14:paraId="323514EE" w14:textId="77777777" w:rsidR="007D2398" w:rsidRPr="00CC2C37" w:rsidRDefault="007D2398" w:rsidP="008B1E2C">
            <w:pPr>
              <w:pStyle w:val="ListParagraph"/>
              <w:numPr>
                <w:ilvl w:val="0"/>
                <w:numId w:val="13"/>
              </w:numPr>
              <w:spacing w:after="60" w:line="240" w:lineRule="auto"/>
              <w:ind w:left="283" w:hanging="283"/>
              <w:rPr>
                <w:szCs w:val="24"/>
                <w:lang w:eastAsia="en-AU"/>
              </w:rPr>
            </w:pPr>
            <w:r w:rsidRPr="00CC2C37">
              <w:rPr>
                <w:szCs w:val="24"/>
                <w:lang w:eastAsia="en-AU"/>
              </w:rPr>
              <w:t>Urban green space</w:t>
            </w:r>
          </w:p>
          <w:p w14:paraId="671EFFE7" w14:textId="77777777" w:rsidR="00F94314" w:rsidRPr="00CC2C37" w:rsidRDefault="00F94314" w:rsidP="008B1E2C">
            <w:pPr>
              <w:pStyle w:val="ListParagraph"/>
              <w:numPr>
                <w:ilvl w:val="0"/>
                <w:numId w:val="13"/>
              </w:numPr>
              <w:spacing w:after="60" w:line="240" w:lineRule="auto"/>
              <w:ind w:left="283" w:hanging="283"/>
              <w:rPr>
                <w:szCs w:val="24"/>
                <w:lang w:eastAsia="en-AU"/>
              </w:rPr>
            </w:pPr>
            <w:r w:rsidRPr="00CC2C37">
              <w:rPr>
                <w:szCs w:val="24"/>
                <w:lang w:eastAsia="en-AU"/>
              </w:rPr>
              <w:t>Green Infrastructure Index</w:t>
            </w:r>
          </w:p>
          <w:p w14:paraId="0C74DB5B" w14:textId="77777777" w:rsidR="00F94314" w:rsidRPr="00CC2C37" w:rsidRDefault="00F94314" w:rsidP="008B1E2C">
            <w:pPr>
              <w:pStyle w:val="ListParagraph"/>
              <w:numPr>
                <w:ilvl w:val="0"/>
                <w:numId w:val="13"/>
              </w:numPr>
              <w:spacing w:after="60" w:line="240" w:lineRule="auto"/>
              <w:ind w:left="283" w:hanging="283"/>
              <w:rPr>
                <w:szCs w:val="24"/>
                <w:lang w:eastAsia="en-AU"/>
              </w:rPr>
            </w:pPr>
            <w:r w:rsidRPr="00CC2C37">
              <w:rPr>
                <w:szCs w:val="24"/>
                <w:lang w:eastAsia="en-AU"/>
              </w:rPr>
              <w:t>Heat data</w:t>
            </w:r>
          </w:p>
          <w:p w14:paraId="79D93D59" w14:textId="349D48BB" w:rsidR="00F94314" w:rsidRPr="00CC2C37" w:rsidRDefault="00F94314" w:rsidP="008B1E2C">
            <w:pPr>
              <w:pStyle w:val="ListParagraph"/>
              <w:numPr>
                <w:ilvl w:val="0"/>
                <w:numId w:val="13"/>
              </w:numPr>
              <w:spacing w:after="60" w:line="240" w:lineRule="auto"/>
              <w:ind w:left="283" w:hanging="283"/>
              <w:rPr>
                <w:szCs w:val="24"/>
                <w:lang w:eastAsia="en-AU"/>
              </w:rPr>
            </w:pPr>
            <w:r w:rsidRPr="00CC2C37">
              <w:rPr>
                <w:szCs w:val="24"/>
                <w:lang w:eastAsia="en-AU"/>
              </w:rPr>
              <w:t>Air and water pollution data</w:t>
            </w:r>
          </w:p>
        </w:tc>
      </w:tr>
      <w:tr w:rsidR="002E02E0" w:rsidRPr="00C4126C" w14:paraId="4858495C" w14:textId="06E77AD2" w:rsidTr="00E0364B">
        <w:trPr>
          <w:trHeight w:val="1172"/>
        </w:trPr>
        <w:tc>
          <w:tcPr>
            <w:tcW w:w="2268" w:type="dxa"/>
          </w:tcPr>
          <w:p w14:paraId="6397F0E5" w14:textId="77777777" w:rsidR="002E02E0" w:rsidRPr="00CC2C37" w:rsidRDefault="002E02E0" w:rsidP="005427F2">
            <w:pPr>
              <w:spacing w:after="60" w:line="240" w:lineRule="auto"/>
              <w:rPr>
                <w:b/>
                <w:szCs w:val="24"/>
                <w:lang w:eastAsia="en-AU"/>
              </w:rPr>
            </w:pPr>
            <w:r w:rsidRPr="00CC2C37">
              <w:rPr>
                <w:szCs w:val="24"/>
                <w:lang w:eastAsia="en-AU"/>
              </w:rPr>
              <w:t>Connected</w:t>
            </w:r>
          </w:p>
          <w:p w14:paraId="2B74572A" w14:textId="6EEA7FFE" w:rsidR="002E02E0" w:rsidRPr="00CC2C37" w:rsidRDefault="002E02E0" w:rsidP="004F6D59">
            <w:pPr>
              <w:spacing w:after="60" w:line="240" w:lineRule="auto"/>
              <w:rPr>
                <w:b/>
                <w:bCs/>
                <w:szCs w:val="24"/>
                <w:lang w:eastAsia="en-AU"/>
              </w:rPr>
            </w:pPr>
            <w:r w:rsidRPr="00CC2C37">
              <w:rPr>
                <w:szCs w:val="24"/>
                <w:lang w:eastAsia="en-AU"/>
              </w:rPr>
              <w:t>Network connectivity with a focus on sustainable and reliable mobility choices</w:t>
            </w:r>
          </w:p>
        </w:tc>
        <w:tc>
          <w:tcPr>
            <w:tcW w:w="2268" w:type="dxa"/>
          </w:tcPr>
          <w:p w14:paraId="2940B935" w14:textId="64E5D03D"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Accessible and integrated</w:t>
            </w:r>
          </w:p>
          <w:p w14:paraId="330DDCA7" w14:textId="77777777"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Responsive</w:t>
            </w:r>
          </w:p>
          <w:p w14:paraId="35D6C790" w14:textId="1E0A1DF3"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Efficient and productive</w:t>
            </w:r>
          </w:p>
        </w:tc>
        <w:tc>
          <w:tcPr>
            <w:tcW w:w="2127" w:type="dxa"/>
          </w:tcPr>
          <w:p w14:paraId="009E1CC3" w14:textId="310E416C"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Connectivity and accessibility</w:t>
            </w:r>
          </w:p>
          <w:p w14:paraId="4CC20C7A" w14:textId="3DA0CC00"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Transport choice</w:t>
            </w:r>
          </w:p>
          <w:p w14:paraId="4B658188" w14:textId="77777777"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Efficiency and reliability</w:t>
            </w:r>
          </w:p>
          <w:p w14:paraId="10272237" w14:textId="6F9B73B1" w:rsidR="002E02E0" w:rsidRPr="00CC2C37" w:rsidRDefault="002E02E0" w:rsidP="004D7D50">
            <w:pPr>
              <w:pStyle w:val="ListParagraph"/>
              <w:numPr>
                <w:ilvl w:val="0"/>
                <w:numId w:val="13"/>
              </w:numPr>
              <w:spacing w:after="60" w:line="240" w:lineRule="auto"/>
              <w:ind w:left="283" w:hanging="283"/>
              <w:rPr>
                <w:szCs w:val="24"/>
                <w:lang w:eastAsia="en-AU"/>
              </w:rPr>
            </w:pPr>
            <w:r w:rsidRPr="00CC2C37">
              <w:rPr>
                <w:szCs w:val="24"/>
                <w:lang w:eastAsia="en-AU"/>
              </w:rPr>
              <w:t>Productivity.</w:t>
            </w:r>
          </w:p>
        </w:tc>
        <w:tc>
          <w:tcPr>
            <w:tcW w:w="2409" w:type="dxa"/>
          </w:tcPr>
          <w:p w14:paraId="1DE15834" w14:textId="00326B72" w:rsidR="00AE6D22" w:rsidRPr="00CC2C37" w:rsidRDefault="00AE6D22" w:rsidP="008B1E2C">
            <w:pPr>
              <w:pStyle w:val="ListParagraph"/>
              <w:numPr>
                <w:ilvl w:val="0"/>
                <w:numId w:val="13"/>
              </w:numPr>
              <w:spacing w:after="60" w:line="240" w:lineRule="auto"/>
              <w:ind w:left="283" w:hanging="283"/>
              <w:rPr>
                <w:szCs w:val="24"/>
                <w:lang w:eastAsia="en-AU"/>
              </w:rPr>
            </w:pPr>
            <w:r w:rsidRPr="00CC2C37">
              <w:rPr>
                <w:szCs w:val="24"/>
                <w:lang w:eastAsia="en-AU"/>
              </w:rPr>
              <w:t>Accessibility within 15min/30min</w:t>
            </w:r>
          </w:p>
          <w:p w14:paraId="5C2EB426" w14:textId="1E9585B6" w:rsidR="00AE6D22" w:rsidRPr="00CC2C37" w:rsidRDefault="00AE6D22" w:rsidP="008B1E2C">
            <w:pPr>
              <w:pStyle w:val="ListParagraph"/>
              <w:numPr>
                <w:ilvl w:val="0"/>
                <w:numId w:val="13"/>
              </w:numPr>
              <w:spacing w:after="60" w:line="240" w:lineRule="auto"/>
              <w:ind w:left="283" w:hanging="283"/>
              <w:rPr>
                <w:szCs w:val="24"/>
                <w:lang w:eastAsia="en-AU"/>
              </w:rPr>
            </w:pPr>
            <w:r w:rsidRPr="00CC2C37">
              <w:rPr>
                <w:szCs w:val="24"/>
                <w:lang w:eastAsia="en-AU"/>
              </w:rPr>
              <w:t>Walk score, transit score and bike score</w:t>
            </w:r>
          </w:p>
          <w:p w14:paraId="5DBCB001" w14:textId="060C3887" w:rsidR="002E02E0" w:rsidRPr="00CC2C37" w:rsidRDefault="00270007" w:rsidP="008B1E2C">
            <w:pPr>
              <w:pStyle w:val="ListParagraph"/>
              <w:numPr>
                <w:ilvl w:val="0"/>
                <w:numId w:val="13"/>
              </w:numPr>
              <w:spacing w:after="60" w:line="240" w:lineRule="auto"/>
              <w:ind w:left="283" w:hanging="283"/>
              <w:rPr>
                <w:szCs w:val="24"/>
                <w:lang w:eastAsia="en-AU"/>
              </w:rPr>
            </w:pPr>
            <w:r w:rsidRPr="00CC2C37">
              <w:rPr>
                <w:szCs w:val="24"/>
                <w:lang w:eastAsia="en-AU"/>
              </w:rPr>
              <w:t>Evaluation of mode share</w:t>
            </w:r>
          </w:p>
          <w:p w14:paraId="795F74CF" w14:textId="353D375F" w:rsidR="000D1CE3" w:rsidRPr="00CC2C37" w:rsidRDefault="00E42757" w:rsidP="008B1E2C">
            <w:pPr>
              <w:pStyle w:val="ListParagraph"/>
              <w:numPr>
                <w:ilvl w:val="0"/>
                <w:numId w:val="13"/>
              </w:numPr>
              <w:spacing w:after="60" w:line="240" w:lineRule="auto"/>
              <w:ind w:left="283" w:hanging="283"/>
              <w:rPr>
                <w:szCs w:val="24"/>
                <w:lang w:eastAsia="en-AU"/>
              </w:rPr>
            </w:pPr>
            <w:r w:rsidRPr="00CC2C37">
              <w:rPr>
                <w:szCs w:val="24"/>
                <w:lang w:eastAsia="en-AU"/>
              </w:rPr>
              <w:t>Service</w:t>
            </w:r>
            <w:r w:rsidR="00BA1E73" w:rsidRPr="00CC2C37">
              <w:rPr>
                <w:szCs w:val="24"/>
                <w:lang w:eastAsia="en-AU"/>
              </w:rPr>
              <w:t xml:space="preserve"> reliability </w:t>
            </w:r>
            <w:r w:rsidR="00B93CEB" w:rsidRPr="00CC2C37">
              <w:rPr>
                <w:szCs w:val="24"/>
                <w:lang w:eastAsia="en-AU"/>
              </w:rPr>
              <w:t xml:space="preserve">and </w:t>
            </w:r>
            <w:r w:rsidR="00BA1E73" w:rsidRPr="00CC2C37">
              <w:rPr>
                <w:szCs w:val="24"/>
                <w:lang w:eastAsia="en-AU"/>
              </w:rPr>
              <w:t>punctuality</w:t>
            </w:r>
          </w:p>
        </w:tc>
      </w:tr>
    </w:tbl>
    <w:p w14:paraId="7E031CCB" w14:textId="37073D1F" w:rsidR="00A010CD" w:rsidRPr="00C4126C" w:rsidRDefault="00A010CD" w:rsidP="007B214F">
      <w:pPr>
        <w:pStyle w:val="AltHeading1"/>
        <w:tabs>
          <w:tab w:val="clear" w:pos="1134"/>
          <w:tab w:val="left" w:pos="902"/>
        </w:tabs>
        <w:spacing w:before="240" w:after="120"/>
        <w:ind w:left="0" w:right="707" w:firstLine="0"/>
        <w:rPr>
          <w:b w:val="0"/>
          <w:color w:val="auto"/>
          <w:sz w:val="22"/>
          <w:szCs w:val="22"/>
        </w:rPr>
      </w:pPr>
      <w:bookmarkStart w:id="13" w:name="_Toc145593566"/>
      <w:bookmarkStart w:id="14" w:name="_Toc173245764"/>
      <w:bookmarkEnd w:id="13"/>
      <w:r w:rsidRPr="00C4126C">
        <w:lastRenderedPageBreak/>
        <w:t>Scope</w:t>
      </w:r>
      <w:bookmarkEnd w:id="14"/>
    </w:p>
    <w:p w14:paraId="587497CC" w14:textId="77777777"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The Policy applies to investment and life cycle decision making, planning, design, maintenance, and operational aspects of the Queensland transport system.</w:t>
      </w:r>
    </w:p>
    <w:p w14:paraId="0BF05749" w14:textId="77777777"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The transport system includes:</w:t>
      </w:r>
    </w:p>
    <w:p w14:paraId="1E514DC2"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physical infrastructure (ports, roads, bus and train stations,</w:t>
      </w:r>
      <w:r w:rsidRPr="006861B5" w:rsidDel="00695D7D">
        <w:rPr>
          <w:rFonts w:asciiTheme="minorHAnsi" w:hAnsiTheme="minorHAnsi" w:cstheme="minorHAnsi"/>
          <w:szCs w:val="24"/>
          <w:lang w:eastAsia="en-AU"/>
        </w:rPr>
        <w:t xml:space="preserve"> </w:t>
      </w:r>
      <w:r w:rsidRPr="006861B5">
        <w:rPr>
          <w:rFonts w:asciiTheme="minorHAnsi" w:hAnsiTheme="minorHAnsi" w:cstheme="minorHAnsi"/>
          <w:szCs w:val="24"/>
          <w:lang w:eastAsia="en-AU"/>
        </w:rPr>
        <w:t>pedestrian paths and cycleways, transit-oriented developments)</w:t>
      </w:r>
    </w:p>
    <w:p w14:paraId="3020D4D5"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digital infrastructure (satellite-based navigation aids, travel apps, communication technologies, Intelligent Transportation Systems, smart ticketing, Mobility as a Service, public transport real-time data, smart crossings and sensor-equipped walkways, smart sensors and data analytics as well as smart lighting and infrastructure)</w:t>
      </w:r>
    </w:p>
    <w:p w14:paraId="7691C28C" w14:textId="2F9863C3"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mobility services (public transport, ride-share</w:t>
      </w:r>
      <w:r w:rsidR="00F018C7">
        <w:rPr>
          <w:rFonts w:asciiTheme="minorHAnsi" w:hAnsiTheme="minorHAnsi" w:cstheme="minorHAnsi"/>
          <w:szCs w:val="24"/>
          <w:lang w:eastAsia="en-AU"/>
        </w:rPr>
        <w:t>s</w:t>
      </w:r>
      <w:r w:rsidRPr="006861B5">
        <w:rPr>
          <w:rFonts w:asciiTheme="minorHAnsi" w:hAnsiTheme="minorHAnsi" w:cstheme="minorHAnsi"/>
          <w:szCs w:val="24"/>
          <w:lang w:eastAsia="en-AU"/>
        </w:rPr>
        <w:t>)</w:t>
      </w:r>
    </w:p>
    <w:p w14:paraId="50E16686"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regulation systems that influence how the transport system functions and develops (network optimisation).</w:t>
      </w:r>
    </w:p>
    <w:p w14:paraId="722711A5" w14:textId="3DE98D9A" w:rsidR="00A010CD" w:rsidRPr="00FB3188" w:rsidRDefault="00A010CD" w:rsidP="00FB3188">
      <w:pPr>
        <w:spacing w:after="120"/>
        <w:rPr>
          <w:rFonts w:asciiTheme="minorHAnsi" w:hAnsiTheme="minorHAnsi"/>
          <w:lang w:eastAsia="en-AU"/>
        </w:rPr>
      </w:pPr>
      <w:r w:rsidRPr="0D82351F">
        <w:rPr>
          <w:rFonts w:asciiTheme="minorHAnsi" w:hAnsiTheme="minorHAnsi"/>
          <w:lang w:eastAsia="en-AU"/>
        </w:rPr>
        <w:t xml:space="preserve">The transport system affects all Queenslanders, and TMR will work collaboratively </w:t>
      </w:r>
      <w:r w:rsidR="007A130F" w:rsidRPr="0D82351F">
        <w:rPr>
          <w:rFonts w:asciiTheme="minorHAnsi" w:hAnsiTheme="minorHAnsi"/>
          <w:lang w:eastAsia="en-AU"/>
        </w:rPr>
        <w:t xml:space="preserve">with </w:t>
      </w:r>
      <w:r w:rsidR="0F81778B" w:rsidRPr="0D82351F">
        <w:rPr>
          <w:rFonts w:asciiTheme="minorHAnsi" w:hAnsiTheme="minorHAnsi"/>
          <w:lang w:eastAsia="en-AU"/>
        </w:rPr>
        <w:t xml:space="preserve">and across </w:t>
      </w:r>
      <w:r w:rsidRPr="0D82351F">
        <w:rPr>
          <w:rFonts w:asciiTheme="minorHAnsi" w:hAnsiTheme="minorHAnsi"/>
          <w:lang w:eastAsia="en-AU"/>
        </w:rPr>
        <w:t xml:space="preserve">communities, First Nations peoples, multidisciplinary teams, portfolio, agency and jurisdictional boundaries to lead a holistic approach to </w:t>
      </w:r>
      <w:r w:rsidRPr="0D82351F">
        <w:rPr>
          <w:rFonts w:asciiTheme="minorHAnsi" w:hAnsiTheme="minorHAnsi"/>
          <w:i/>
          <w:lang w:eastAsia="en-AU"/>
        </w:rPr>
        <w:t>movement and place</w:t>
      </w:r>
      <w:r w:rsidRPr="0D82351F">
        <w:rPr>
          <w:rFonts w:asciiTheme="minorHAnsi" w:hAnsiTheme="minorHAnsi"/>
          <w:lang w:eastAsia="en-AU"/>
        </w:rPr>
        <w:t xml:space="preserve"> design and delivery.</w:t>
      </w:r>
    </w:p>
    <w:p w14:paraId="5FDCE784" w14:textId="77777777" w:rsidR="00A010CD" w:rsidRPr="00C4126C" w:rsidRDefault="00A010CD" w:rsidP="009D4E1B">
      <w:pPr>
        <w:pStyle w:val="AltHeading1"/>
        <w:tabs>
          <w:tab w:val="clear" w:pos="1134"/>
          <w:tab w:val="left" w:pos="902"/>
        </w:tabs>
        <w:spacing w:before="240" w:after="120"/>
        <w:ind w:left="0" w:right="707" w:firstLine="0"/>
      </w:pPr>
      <w:bookmarkStart w:id="15" w:name="_Toc173245765"/>
      <w:r w:rsidRPr="00C4126C">
        <w:t>Defining Movement and Place</w:t>
      </w:r>
      <w:bookmarkEnd w:id="15"/>
    </w:p>
    <w:p w14:paraId="38AAA778" w14:textId="59D4736A"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The </w:t>
      </w:r>
      <w:r w:rsidRPr="00FB3188">
        <w:rPr>
          <w:rFonts w:asciiTheme="minorHAnsi" w:hAnsiTheme="minorHAnsi" w:cstheme="minorHAnsi"/>
          <w:i/>
          <w:iCs/>
          <w:szCs w:val="24"/>
          <w:lang w:eastAsia="en-AU"/>
        </w:rPr>
        <w:t>movement and place</w:t>
      </w:r>
      <w:r w:rsidRPr="00FB3188">
        <w:rPr>
          <w:rFonts w:asciiTheme="minorHAnsi" w:hAnsiTheme="minorHAnsi" w:cstheme="minorHAnsi"/>
          <w:szCs w:val="24"/>
          <w:lang w:eastAsia="en-AU"/>
        </w:rPr>
        <w:t xml:space="preserve"> approach provides a strategic and structured approach to exploring the complex elements of ‘</w:t>
      </w:r>
      <w:r w:rsidR="00BC5A12" w:rsidRPr="00BC5A12">
        <w:rPr>
          <w:rFonts w:asciiTheme="minorHAnsi" w:hAnsiTheme="minorHAnsi" w:cstheme="minorHAnsi"/>
          <w:szCs w:val="24"/>
          <w:lang w:eastAsia="en-AU"/>
        </w:rPr>
        <w:t>m</w:t>
      </w:r>
      <w:r w:rsidRPr="00BC5A12">
        <w:rPr>
          <w:rFonts w:asciiTheme="minorHAnsi" w:hAnsiTheme="minorHAnsi" w:cstheme="minorHAnsi"/>
          <w:szCs w:val="24"/>
          <w:lang w:eastAsia="en-AU"/>
        </w:rPr>
        <w:t>ovement</w:t>
      </w:r>
      <w:r w:rsidRPr="00FB3188">
        <w:rPr>
          <w:rFonts w:asciiTheme="minorHAnsi" w:hAnsiTheme="minorHAnsi" w:cstheme="minorHAnsi"/>
          <w:szCs w:val="24"/>
          <w:lang w:eastAsia="en-AU"/>
        </w:rPr>
        <w:t>’ and ‘</w:t>
      </w:r>
      <w:r w:rsidR="00BC5A12" w:rsidRPr="00BC5A12">
        <w:rPr>
          <w:rFonts w:asciiTheme="minorHAnsi" w:hAnsiTheme="minorHAnsi" w:cstheme="minorHAnsi"/>
          <w:szCs w:val="24"/>
          <w:lang w:eastAsia="en-AU"/>
        </w:rPr>
        <w:t>p</w:t>
      </w:r>
      <w:r w:rsidRPr="00BC5A12">
        <w:rPr>
          <w:rFonts w:asciiTheme="minorHAnsi" w:hAnsiTheme="minorHAnsi" w:cstheme="minorHAnsi"/>
          <w:szCs w:val="24"/>
          <w:lang w:eastAsia="en-AU"/>
        </w:rPr>
        <w:t>lace</w:t>
      </w:r>
      <w:r w:rsidRPr="00FB3188">
        <w:rPr>
          <w:rFonts w:asciiTheme="minorHAnsi" w:hAnsiTheme="minorHAnsi" w:cstheme="minorHAnsi"/>
          <w:szCs w:val="24"/>
          <w:lang w:eastAsia="en-AU"/>
        </w:rPr>
        <w:t>’ allowing for a better understanding and integration of both.</w:t>
      </w:r>
    </w:p>
    <w:p w14:paraId="05E76B62" w14:textId="77777777" w:rsidR="00A010CD" w:rsidRPr="0024694E" w:rsidRDefault="00A010CD" w:rsidP="00971735">
      <w:pPr>
        <w:pStyle w:val="AltHeading2"/>
      </w:pPr>
      <w:bookmarkStart w:id="16" w:name="_Toc173245766"/>
      <w:r w:rsidRPr="0024694E">
        <w:t xml:space="preserve">Defining </w:t>
      </w:r>
      <w:r w:rsidRPr="00971735">
        <w:t>movement</w:t>
      </w:r>
      <w:bookmarkEnd w:id="16"/>
    </w:p>
    <w:p w14:paraId="1A0F3857" w14:textId="68F09EEE"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The </w:t>
      </w:r>
      <w:r w:rsidR="00873321">
        <w:rPr>
          <w:rFonts w:asciiTheme="minorHAnsi" w:hAnsiTheme="minorHAnsi" w:cstheme="minorHAnsi"/>
          <w:szCs w:val="24"/>
          <w:lang w:eastAsia="en-AU"/>
        </w:rPr>
        <w:t>‘</w:t>
      </w:r>
      <w:r w:rsidRPr="00FB3188">
        <w:rPr>
          <w:rFonts w:asciiTheme="minorHAnsi" w:hAnsiTheme="minorHAnsi" w:cstheme="minorHAnsi"/>
          <w:szCs w:val="24"/>
          <w:lang w:eastAsia="en-AU"/>
        </w:rPr>
        <w:t>movement</w:t>
      </w:r>
      <w:r w:rsidR="00873321">
        <w:rPr>
          <w:rFonts w:asciiTheme="minorHAnsi" w:hAnsiTheme="minorHAnsi" w:cstheme="minorHAnsi"/>
          <w:szCs w:val="24"/>
          <w:lang w:eastAsia="en-AU"/>
        </w:rPr>
        <w:t>’</w:t>
      </w:r>
      <w:r w:rsidRPr="00FB3188">
        <w:rPr>
          <w:rFonts w:asciiTheme="minorHAnsi" w:hAnsiTheme="minorHAnsi" w:cstheme="minorHAnsi"/>
          <w:szCs w:val="24"/>
          <w:lang w:eastAsia="en-AU"/>
        </w:rPr>
        <w:t xml:space="preserve"> of people and goods is driven by a range of social, economic and environmental activities that are critical to the success of our local areas, cities and regions. Movement can be understood using two lenses, described below. These lenses are important to understand how movement is undertaken, and to consider the current and potential future role and function of transport.</w:t>
      </w:r>
    </w:p>
    <w:p w14:paraId="54F11BC0" w14:textId="1A6513A6"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b/>
          <w:bCs/>
          <w:szCs w:val="24"/>
          <w:lang w:eastAsia="en-AU"/>
        </w:rPr>
        <w:t>Character/function</w:t>
      </w:r>
      <w:r w:rsidRPr="00FB3188">
        <w:rPr>
          <w:rFonts w:asciiTheme="minorHAnsi" w:hAnsiTheme="minorHAnsi" w:cstheme="minorHAnsi"/>
          <w:szCs w:val="24"/>
          <w:lang w:eastAsia="en-AU"/>
        </w:rPr>
        <w:t xml:space="preserve"> identifies the nature of the travel task in relation to the study area:</w:t>
      </w:r>
    </w:p>
    <w:p w14:paraId="40C26CCB" w14:textId="32AF97EE"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b/>
          <w:bCs/>
          <w:szCs w:val="24"/>
          <w:lang w:eastAsia="en-AU"/>
        </w:rPr>
        <w:t>To/from</w:t>
      </w:r>
      <w:r w:rsidRPr="006861B5">
        <w:rPr>
          <w:rFonts w:asciiTheme="minorHAnsi" w:hAnsiTheme="minorHAnsi" w:cstheme="minorHAnsi"/>
          <w:szCs w:val="24"/>
          <w:lang w:eastAsia="en-AU"/>
        </w:rPr>
        <w:t xml:space="preserve"> </w:t>
      </w:r>
      <w:r w:rsidR="00797700">
        <w:rPr>
          <w:rFonts w:asciiTheme="minorHAnsi" w:hAnsiTheme="minorHAnsi" w:cstheme="minorHAnsi"/>
          <w:szCs w:val="24"/>
          <w:lang w:eastAsia="en-AU"/>
        </w:rPr>
        <w:t xml:space="preserve">- </w:t>
      </w:r>
      <w:r w:rsidRPr="006861B5">
        <w:rPr>
          <w:rFonts w:asciiTheme="minorHAnsi" w:hAnsiTheme="minorHAnsi" w:cstheme="minorHAnsi"/>
          <w:szCs w:val="24"/>
          <w:lang w:eastAsia="en-AU"/>
        </w:rPr>
        <w:t>movement generated from within the study area, with an origin or destination outside it</w:t>
      </w:r>
    </w:p>
    <w:p w14:paraId="7DD46BA1" w14:textId="48A785C3"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b/>
          <w:bCs/>
          <w:szCs w:val="24"/>
          <w:lang w:eastAsia="en-AU"/>
        </w:rPr>
        <w:t>Through</w:t>
      </w:r>
      <w:r w:rsidRPr="006861B5" w:rsidDel="00F10040">
        <w:rPr>
          <w:rFonts w:asciiTheme="minorHAnsi" w:hAnsiTheme="minorHAnsi" w:cstheme="minorHAnsi"/>
          <w:b/>
          <w:bCs/>
          <w:szCs w:val="24"/>
          <w:lang w:eastAsia="en-AU"/>
        </w:rPr>
        <w:t xml:space="preserve"> </w:t>
      </w:r>
      <w:r w:rsidR="00797700" w:rsidRPr="006B54F1">
        <w:rPr>
          <w:rFonts w:asciiTheme="minorHAnsi" w:hAnsiTheme="minorHAnsi" w:cstheme="minorHAnsi"/>
          <w:szCs w:val="24"/>
          <w:lang w:eastAsia="en-AU"/>
        </w:rPr>
        <w:t>-</w:t>
      </w:r>
      <w:r w:rsidR="00797700">
        <w:rPr>
          <w:rFonts w:asciiTheme="minorHAnsi" w:hAnsiTheme="minorHAnsi" w:cstheme="minorHAnsi"/>
          <w:b/>
          <w:bCs/>
          <w:szCs w:val="24"/>
          <w:lang w:eastAsia="en-AU"/>
        </w:rPr>
        <w:t xml:space="preserve"> </w:t>
      </w:r>
      <w:r w:rsidRPr="006861B5">
        <w:rPr>
          <w:rFonts w:asciiTheme="minorHAnsi" w:hAnsiTheme="minorHAnsi" w:cstheme="minorHAnsi"/>
          <w:szCs w:val="24"/>
          <w:lang w:eastAsia="en-AU"/>
        </w:rPr>
        <w:t>movement through the study area without stopping or dwelling</w:t>
      </w:r>
    </w:p>
    <w:p w14:paraId="5931EF0E" w14:textId="43788360"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b/>
          <w:bCs/>
          <w:szCs w:val="24"/>
          <w:lang w:eastAsia="en-AU"/>
        </w:rPr>
        <w:t>Within</w:t>
      </w:r>
      <w:r w:rsidRPr="00797700">
        <w:rPr>
          <w:rFonts w:asciiTheme="minorHAnsi" w:hAnsiTheme="minorHAnsi" w:cstheme="minorHAnsi"/>
          <w:szCs w:val="24"/>
          <w:lang w:eastAsia="en-AU"/>
        </w:rPr>
        <w:t xml:space="preserve"> </w:t>
      </w:r>
      <w:r w:rsidR="00797700" w:rsidRPr="00797700">
        <w:rPr>
          <w:rFonts w:asciiTheme="minorHAnsi" w:hAnsiTheme="minorHAnsi" w:cstheme="minorHAnsi"/>
          <w:szCs w:val="24"/>
          <w:lang w:eastAsia="en-AU"/>
        </w:rPr>
        <w:t>-</w:t>
      </w:r>
      <w:r w:rsidR="00797700">
        <w:rPr>
          <w:rFonts w:asciiTheme="minorHAnsi" w:hAnsiTheme="minorHAnsi" w:cstheme="minorHAnsi"/>
          <w:szCs w:val="24"/>
          <w:lang w:eastAsia="en-AU"/>
        </w:rPr>
        <w:t xml:space="preserve"> </w:t>
      </w:r>
      <w:r w:rsidRPr="006861B5">
        <w:rPr>
          <w:rFonts w:asciiTheme="minorHAnsi" w:hAnsiTheme="minorHAnsi" w:cstheme="minorHAnsi"/>
          <w:szCs w:val="24"/>
          <w:lang w:eastAsia="en-AU"/>
        </w:rPr>
        <w:t xml:space="preserve">local or ‘contained’ movement within </w:t>
      </w:r>
      <w:r w:rsidR="00E57BB5">
        <w:rPr>
          <w:rFonts w:asciiTheme="minorHAnsi" w:hAnsiTheme="minorHAnsi" w:cstheme="minorHAnsi"/>
          <w:szCs w:val="24"/>
          <w:lang w:eastAsia="en-AU"/>
        </w:rPr>
        <w:t>the</w:t>
      </w:r>
      <w:r w:rsidRPr="006861B5">
        <w:rPr>
          <w:rFonts w:asciiTheme="minorHAnsi" w:hAnsiTheme="minorHAnsi" w:cstheme="minorHAnsi"/>
          <w:szCs w:val="24"/>
          <w:lang w:eastAsia="en-AU"/>
        </w:rPr>
        <w:t xml:space="preserve"> study area</w:t>
      </w:r>
      <w:r w:rsidR="00E57BB5">
        <w:rPr>
          <w:rFonts w:asciiTheme="minorHAnsi" w:hAnsiTheme="minorHAnsi" w:cstheme="minorHAnsi"/>
          <w:szCs w:val="24"/>
          <w:lang w:eastAsia="en-AU"/>
        </w:rPr>
        <w:t>.</w:t>
      </w:r>
    </w:p>
    <w:p w14:paraId="6BACD7C1" w14:textId="1CE206A1" w:rsidR="00A010CD" w:rsidRPr="00FB3188" w:rsidRDefault="00A010CD" w:rsidP="00FB3188">
      <w:pPr>
        <w:spacing w:after="120"/>
        <w:rPr>
          <w:rFonts w:asciiTheme="minorHAnsi" w:hAnsiTheme="minorHAnsi"/>
          <w:lang w:eastAsia="en-AU"/>
        </w:rPr>
      </w:pPr>
      <w:r w:rsidRPr="2271323C">
        <w:rPr>
          <w:rFonts w:asciiTheme="minorHAnsi" w:hAnsiTheme="minorHAnsi"/>
          <w:b/>
          <w:lang w:eastAsia="en-AU"/>
        </w:rPr>
        <w:lastRenderedPageBreak/>
        <w:t>Modal hierarchy</w:t>
      </w:r>
      <w:r w:rsidRPr="2271323C">
        <w:rPr>
          <w:rFonts w:asciiTheme="minorHAnsi" w:hAnsiTheme="minorHAnsi"/>
          <w:lang w:eastAsia="en-AU"/>
        </w:rPr>
        <w:t xml:space="preserve"> examines the priority of </w:t>
      </w:r>
      <w:r w:rsidR="00B271F6">
        <w:rPr>
          <w:rFonts w:asciiTheme="minorHAnsi" w:hAnsiTheme="minorHAnsi"/>
          <w:lang w:eastAsia="en-AU"/>
        </w:rPr>
        <w:t xml:space="preserve">how </w:t>
      </w:r>
      <w:r w:rsidRPr="2271323C">
        <w:rPr>
          <w:rFonts w:asciiTheme="minorHAnsi" w:hAnsiTheme="minorHAnsi"/>
          <w:lang w:eastAsia="en-AU"/>
        </w:rPr>
        <w:t>transport modes</w:t>
      </w:r>
      <w:r w:rsidR="00B271F6">
        <w:rPr>
          <w:rFonts w:asciiTheme="minorHAnsi" w:hAnsiTheme="minorHAnsi"/>
          <w:lang w:eastAsia="en-AU"/>
        </w:rPr>
        <w:t xml:space="preserve"> are to be considered</w:t>
      </w:r>
      <w:r w:rsidRPr="2271323C">
        <w:rPr>
          <w:rFonts w:asciiTheme="minorHAnsi" w:hAnsiTheme="minorHAnsi"/>
          <w:lang w:eastAsia="en-AU"/>
        </w:rPr>
        <w:t>. Alongside overarching themes of accessibility and safety</w:t>
      </w:r>
      <w:r w:rsidR="00A55BDB">
        <w:rPr>
          <w:rFonts w:asciiTheme="minorHAnsi" w:hAnsiTheme="minorHAnsi"/>
          <w:lang w:eastAsia="en-AU"/>
        </w:rPr>
        <w:t>,</w:t>
      </w:r>
      <w:r w:rsidRPr="2271323C">
        <w:rPr>
          <w:rFonts w:asciiTheme="minorHAnsi" w:hAnsiTheme="minorHAnsi"/>
          <w:lang w:eastAsia="en-AU"/>
        </w:rPr>
        <w:t xml:space="preserve"> and depending on the context, the hierarchy of modes should be considered with pedestrians first, then cycling and micro-mobility, public transport, freight and private vehicles</w:t>
      </w:r>
      <w:r w:rsidR="00203695">
        <w:rPr>
          <w:rFonts w:asciiTheme="minorHAnsi" w:hAnsiTheme="minorHAnsi"/>
          <w:lang w:eastAsia="en-AU"/>
        </w:rPr>
        <w:t xml:space="preserve"> lastly</w:t>
      </w:r>
      <w:r w:rsidRPr="2271323C">
        <w:rPr>
          <w:rFonts w:asciiTheme="minorHAnsi" w:hAnsiTheme="minorHAnsi"/>
          <w:lang w:eastAsia="en-AU"/>
        </w:rPr>
        <w:t>. Using this lens to better understand the varying impacts of movement, we can identify and prioritise investment that aligns to the delivery of connected, liveable and sustainable communities.</w:t>
      </w:r>
    </w:p>
    <w:p w14:paraId="60DE07FD" w14:textId="77777777"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When considered together, the dynamic interactions between movement of goods and people and places within a community, facilitates an understanding of:</w:t>
      </w:r>
    </w:p>
    <w:p w14:paraId="40E55EEF"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how and when people and goods move</w:t>
      </w:r>
    </w:p>
    <w:p w14:paraId="3A77D17D"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how and when public places are used, and</w:t>
      </w:r>
    </w:p>
    <w:p w14:paraId="21AC7A02" w14:textId="5B31D5C4"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benefits and disbenefits of those activities</w:t>
      </w:r>
      <w:r w:rsidR="009B6C3E">
        <w:rPr>
          <w:rFonts w:asciiTheme="minorHAnsi" w:hAnsiTheme="minorHAnsi" w:cstheme="minorHAnsi"/>
          <w:szCs w:val="24"/>
          <w:lang w:eastAsia="en-AU"/>
        </w:rPr>
        <w:t>.</w:t>
      </w:r>
    </w:p>
    <w:p w14:paraId="70D17125" w14:textId="77777777"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These considerations enable an enhanced understanding of potential opportunities, conflicts and synergies between movement and place well as any strategic trade-offs, informing collaborative discussions and decision-making about strategic outcomes and priorities.</w:t>
      </w:r>
    </w:p>
    <w:p w14:paraId="2DEE9127" w14:textId="7C634B79" w:rsidR="00A010CD" w:rsidRPr="00C4126C" w:rsidRDefault="006B54F1" w:rsidP="00971735">
      <w:pPr>
        <w:pStyle w:val="AltHeading2"/>
      </w:pPr>
      <w:bookmarkStart w:id="17" w:name="_Toc173245767"/>
      <w:r>
        <w:t>Understanding</w:t>
      </w:r>
      <w:r w:rsidR="00A010CD" w:rsidRPr="00C4126C">
        <w:t xml:space="preserve"> </w:t>
      </w:r>
      <w:r w:rsidR="00A010CD" w:rsidRPr="00C4126C">
        <w:rPr>
          <w:i/>
        </w:rPr>
        <w:t>place</w:t>
      </w:r>
      <w:bookmarkEnd w:id="17"/>
    </w:p>
    <w:p w14:paraId="3443509F" w14:textId="1B8862AB"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Places play a vital role in shaping the </w:t>
      </w:r>
      <w:r w:rsidR="00884A9D">
        <w:rPr>
          <w:rFonts w:asciiTheme="minorHAnsi" w:hAnsiTheme="minorHAnsi" w:cstheme="minorHAnsi"/>
          <w:szCs w:val="24"/>
          <w:lang w:eastAsia="en-AU"/>
        </w:rPr>
        <w:t>experience</w:t>
      </w:r>
      <w:r w:rsidR="00884A9D" w:rsidRPr="00FB3188">
        <w:rPr>
          <w:rFonts w:asciiTheme="minorHAnsi" w:hAnsiTheme="minorHAnsi" w:cstheme="minorHAnsi"/>
          <w:szCs w:val="24"/>
          <w:lang w:eastAsia="en-AU"/>
        </w:rPr>
        <w:t xml:space="preserve"> </w:t>
      </w:r>
      <w:r w:rsidRPr="00FB3188">
        <w:rPr>
          <w:rFonts w:asciiTheme="minorHAnsi" w:hAnsiTheme="minorHAnsi" w:cstheme="minorHAnsi"/>
          <w:szCs w:val="24"/>
          <w:lang w:eastAsia="en-AU"/>
        </w:rPr>
        <w:t xml:space="preserve">of communities and </w:t>
      </w:r>
      <w:r w:rsidR="005105FF">
        <w:rPr>
          <w:rFonts w:asciiTheme="minorHAnsi" w:hAnsiTheme="minorHAnsi" w:cstheme="minorHAnsi"/>
          <w:szCs w:val="24"/>
          <w:lang w:eastAsia="en-AU"/>
        </w:rPr>
        <w:t>their composition, qualities and characteristics influence</w:t>
      </w:r>
      <w:r w:rsidR="00154110">
        <w:rPr>
          <w:rFonts w:asciiTheme="minorHAnsi" w:hAnsiTheme="minorHAnsi" w:cstheme="minorHAnsi"/>
          <w:szCs w:val="24"/>
          <w:lang w:eastAsia="en-AU"/>
        </w:rPr>
        <w:t xml:space="preserve"> </w:t>
      </w:r>
      <w:r w:rsidRPr="00FB3188">
        <w:rPr>
          <w:rFonts w:asciiTheme="minorHAnsi" w:hAnsiTheme="minorHAnsi" w:cstheme="minorHAnsi"/>
          <w:szCs w:val="24"/>
          <w:lang w:eastAsia="en-AU"/>
        </w:rPr>
        <w:t>the ways people live, move and engage with their surroundings. The quality, safety and amenity of places and how people experience and use them plays a vital role in influencing their overall attractiveness and liveability, vitality and prosperity.</w:t>
      </w:r>
    </w:p>
    <w:p w14:paraId="1578BA3B" w14:textId="63288D5C"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The essential qualities that make places distinctive and valued by the community can </w:t>
      </w:r>
      <w:r w:rsidR="00225A2D">
        <w:rPr>
          <w:rFonts w:asciiTheme="minorHAnsi" w:hAnsiTheme="minorHAnsi" w:cstheme="minorHAnsi"/>
          <w:szCs w:val="24"/>
          <w:lang w:eastAsia="en-AU"/>
        </w:rPr>
        <w:t xml:space="preserve">generally be </w:t>
      </w:r>
      <w:r w:rsidRPr="00FB3188">
        <w:rPr>
          <w:rFonts w:asciiTheme="minorHAnsi" w:hAnsiTheme="minorHAnsi" w:cstheme="minorHAnsi"/>
          <w:szCs w:val="24"/>
          <w:lang w:eastAsia="en-AU"/>
        </w:rPr>
        <w:t xml:space="preserve">understood through </w:t>
      </w:r>
      <w:r w:rsidR="00225A2D">
        <w:rPr>
          <w:rFonts w:asciiTheme="minorHAnsi" w:hAnsiTheme="minorHAnsi" w:cstheme="minorHAnsi"/>
          <w:szCs w:val="24"/>
          <w:lang w:eastAsia="en-AU"/>
        </w:rPr>
        <w:t>an</w:t>
      </w:r>
      <w:r w:rsidRPr="00FB3188">
        <w:rPr>
          <w:rFonts w:asciiTheme="minorHAnsi" w:hAnsiTheme="minorHAnsi" w:cstheme="minorHAnsi"/>
          <w:szCs w:val="24"/>
          <w:lang w:eastAsia="en-AU"/>
        </w:rPr>
        <w:t xml:space="preserve"> analysis of the following attributes:</w:t>
      </w:r>
    </w:p>
    <w:p w14:paraId="538D3470" w14:textId="22252F12"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b/>
          <w:bCs/>
          <w:szCs w:val="24"/>
          <w:lang w:eastAsia="en-AU"/>
        </w:rPr>
        <w:t>Environment:</w:t>
      </w:r>
      <w:r w:rsidRPr="006861B5">
        <w:rPr>
          <w:rFonts w:asciiTheme="minorHAnsi" w:hAnsiTheme="minorHAnsi" w:cstheme="minorHAnsi"/>
          <w:szCs w:val="24"/>
          <w:lang w:eastAsia="en-AU"/>
        </w:rPr>
        <w:t xml:space="preserve"> the important physical features, distinctive flora and fauna, topography and hydrology–the elements</w:t>
      </w:r>
      <w:r w:rsidRPr="006861B5" w:rsidDel="009C5535">
        <w:rPr>
          <w:rFonts w:asciiTheme="minorHAnsi" w:hAnsiTheme="minorHAnsi" w:cstheme="minorHAnsi"/>
          <w:szCs w:val="24"/>
          <w:lang w:eastAsia="en-AU"/>
        </w:rPr>
        <w:t xml:space="preserve"> </w:t>
      </w:r>
      <w:r w:rsidRPr="006861B5">
        <w:rPr>
          <w:rFonts w:asciiTheme="minorHAnsi" w:hAnsiTheme="minorHAnsi" w:cstheme="minorHAnsi"/>
          <w:szCs w:val="24"/>
          <w:lang w:eastAsia="en-AU"/>
        </w:rPr>
        <w:t>of the natural environment</w:t>
      </w:r>
    </w:p>
    <w:p w14:paraId="6B217FB5"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b/>
          <w:bCs/>
          <w:szCs w:val="24"/>
          <w:lang w:eastAsia="en-AU"/>
        </w:rPr>
        <w:t>Community:</w:t>
      </w:r>
      <w:r w:rsidRPr="006861B5">
        <w:rPr>
          <w:rFonts w:asciiTheme="minorHAnsi" w:hAnsiTheme="minorHAnsi" w:cstheme="minorHAnsi"/>
          <w:szCs w:val="24"/>
          <w:lang w:eastAsia="en-AU"/>
        </w:rPr>
        <w:t xml:space="preserve"> demographic characteristics of a community, patterns of place use, social and community assets and places of community cohesion and gathering such as schools and places of worship</w:t>
      </w:r>
    </w:p>
    <w:p w14:paraId="7F2D267B" w14:textId="49EA621C" w:rsidR="00A010CD" w:rsidRPr="006861B5" w:rsidRDefault="00763037"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Pr>
          <w:rFonts w:asciiTheme="minorHAnsi" w:hAnsiTheme="minorHAnsi" w:cstheme="minorHAnsi"/>
          <w:b/>
          <w:bCs/>
          <w:szCs w:val="24"/>
          <w:lang w:eastAsia="en-AU"/>
        </w:rPr>
        <w:t>Commerce and activity</w:t>
      </w:r>
      <w:r w:rsidR="00A010CD" w:rsidRPr="006861B5">
        <w:rPr>
          <w:rFonts w:asciiTheme="minorHAnsi" w:hAnsiTheme="minorHAnsi" w:cstheme="minorHAnsi"/>
          <w:b/>
          <w:bCs/>
          <w:szCs w:val="24"/>
          <w:lang w:eastAsia="en-AU"/>
        </w:rPr>
        <w:t>:</w:t>
      </w:r>
      <w:r w:rsidR="00A010CD" w:rsidRPr="006861B5">
        <w:rPr>
          <w:rFonts w:asciiTheme="minorHAnsi" w:hAnsiTheme="minorHAnsi" w:cstheme="minorHAnsi"/>
          <w:szCs w:val="24"/>
          <w:lang w:eastAsia="en-AU"/>
        </w:rPr>
        <w:t xml:space="preserve"> the fundamental drivers of economic productivity, land use mixes, the location of places of commerce</w:t>
      </w:r>
      <w:r w:rsidR="007017F0">
        <w:rPr>
          <w:rFonts w:asciiTheme="minorHAnsi" w:hAnsiTheme="minorHAnsi" w:cstheme="minorHAnsi"/>
          <w:szCs w:val="24"/>
          <w:lang w:eastAsia="en-AU"/>
        </w:rPr>
        <w:t>,</w:t>
      </w:r>
      <w:r w:rsidR="00A010CD" w:rsidRPr="006861B5">
        <w:rPr>
          <w:rFonts w:asciiTheme="minorHAnsi" w:hAnsiTheme="minorHAnsi" w:cstheme="minorHAnsi"/>
          <w:szCs w:val="24"/>
          <w:lang w:eastAsia="en-AU"/>
        </w:rPr>
        <w:t xml:space="preserve"> exchange</w:t>
      </w:r>
      <w:r w:rsidR="007017F0">
        <w:rPr>
          <w:rFonts w:asciiTheme="minorHAnsi" w:hAnsiTheme="minorHAnsi" w:cstheme="minorHAnsi"/>
          <w:szCs w:val="24"/>
          <w:lang w:eastAsia="en-AU"/>
        </w:rPr>
        <w:t xml:space="preserve"> and employment</w:t>
      </w:r>
      <w:r w:rsidR="00A010CD" w:rsidRPr="006861B5">
        <w:rPr>
          <w:rFonts w:asciiTheme="minorHAnsi" w:hAnsiTheme="minorHAnsi" w:cstheme="minorHAnsi"/>
          <w:szCs w:val="24"/>
          <w:lang w:eastAsia="en-AU"/>
        </w:rPr>
        <w:t xml:space="preserve"> that support lifestyle needs</w:t>
      </w:r>
      <w:r w:rsidR="003E4D96">
        <w:rPr>
          <w:rFonts w:asciiTheme="minorHAnsi" w:hAnsiTheme="minorHAnsi" w:cstheme="minorHAnsi"/>
          <w:szCs w:val="24"/>
          <w:lang w:eastAsia="en-AU"/>
        </w:rPr>
        <w:t xml:space="preserve"> </w:t>
      </w:r>
      <w:r w:rsidR="007017F0">
        <w:rPr>
          <w:rFonts w:asciiTheme="minorHAnsi" w:hAnsiTheme="minorHAnsi" w:cstheme="minorHAnsi"/>
          <w:szCs w:val="24"/>
          <w:lang w:eastAsia="en-AU"/>
        </w:rPr>
        <w:t>including high streets</w:t>
      </w:r>
    </w:p>
    <w:p w14:paraId="022A33E6" w14:textId="371350A5" w:rsidR="00A010CD" w:rsidRPr="006861B5" w:rsidRDefault="00763037"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Pr>
          <w:rFonts w:asciiTheme="minorHAnsi" w:hAnsiTheme="minorHAnsi" w:cstheme="minorHAnsi"/>
          <w:b/>
          <w:bCs/>
          <w:szCs w:val="24"/>
          <w:lang w:eastAsia="en-AU"/>
        </w:rPr>
        <w:t>Movement</w:t>
      </w:r>
      <w:r w:rsidR="00A010CD" w:rsidRPr="006861B5">
        <w:rPr>
          <w:rFonts w:asciiTheme="minorHAnsi" w:hAnsiTheme="minorHAnsi" w:cstheme="minorHAnsi"/>
          <w:b/>
          <w:bCs/>
          <w:szCs w:val="24"/>
          <w:lang w:eastAsia="en-AU"/>
        </w:rPr>
        <w:t>:</w:t>
      </w:r>
      <w:r w:rsidR="00A010CD" w:rsidRPr="006861B5">
        <w:rPr>
          <w:rFonts w:asciiTheme="minorHAnsi" w:hAnsiTheme="minorHAnsi" w:cstheme="minorHAnsi"/>
          <w:szCs w:val="24"/>
          <w:lang w:eastAsia="en-AU"/>
        </w:rPr>
        <w:t xml:space="preserve"> the patterns of use (volume and time) and different hierarchies of movement infrastructure</w:t>
      </w:r>
      <w:r w:rsidR="00F742EC" w:rsidRPr="006861B5">
        <w:rPr>
          <w:rFonts w:asciiTheme="minorHAnsi" w:hAnsiTheme="minorHAnsi" w:cstheme="minorHAnsi"/>
          <w:szCs w:val="24"/>
          <w:lang w:eastAsia="en-AU"/>
        </w:rPr>
        <w:t>–</w:t>
      </w:r>
      <w:r w:rsidR="00A010CD" w:rsidRPr="006861B5">
        <w:rPr>
          <w:rFonts w:asciiTheme="minorHAnsi" w:hAnsiTheme="minorHAnsi" w:cstheme="minorHAnsi"/>
          <w:szCs w:val="24"/>
          <w:lang w:eastAsia="en-AU"/>
        </w:rPr>
        <w:t>starting with active and public transport infrastructure through to private vehicles</w:t>
      </w:r>
    </w:p>
    <w:p w14:paraId="2815B1BC" w14:textId="013B0816" w:rsidR="00A010CD" w:rsidRPr="006861B5" w:rsidRDefault="00ED13DB" w:rsidP="006861B5">
      <w:pPr>
        <w:pStyle w:val="ListParagraph"/>
        <w:numPr>
          <w:ilvl w:val="0"/>
          <w:numId w:val="19"/>
        </w:numPr>
        <w:spacing w:after="120"/>
        <w:ind w:left="714" w:hanging="357"/>
        <w:contextualSpacing w:val="0"/>
        <w:rPr>
          <w:rFonts w:asciiTheme="minorHAnsi" w:hAnsiTheme="minorHAnsi" w:cstheme="minorHAnsi"/>
          <w:szCs w:val="24"/>
        </w:rPr>
      </w:pPr>
      <w:r>
        <w:rPr>
          <w:rFonts w:asciiTheme="minorHAnsi" w:hAnsiTheme="minorHAnsi" w:cstheme="minorHAnsi"/>
          <w:b/>
          <w:bCs/>
          <w:szCs w:val="24"/>
        </w:rPr>
        <w:t>Her</w:t>
      </w:r>
      <w:r w:rsidR="00763037">
        <w:rPr>
          <w:rFonts w:asciiTheme="minorHAnsi" w:hAnsiTheme="minorHAnsi" w:cstheme="minorHAnsi"/>
          <w:b/>
          <w:bCs/>
          <w:szCs w:val="24"/>
        </w:rPr>
        <w:t>i</w:t>
      </w:r>
      <w:r>
        <w:rPr>
          <w:rFonts w:asciiTheme="minorHAnsi" w:hAnsiTheme="minorHAnsi" w:cstheme="minorHAnsi"/>
          <w:b/>
          <w:bCs/>
          <w:szCs w:val="24"/>
        </w:rPr>
        <w:t>t</w:t>
      </w:r>
      <w:r w:rsidR="00763037">
        <w:rPr>
          <w:rFonts w:asciiTheme="minorHAnsi" w:hAnsiTheme="minorHAnsi" w:cstheme="minorHAnsi"/>
          <w:b/>
          <w:bCs/>
          <w:szCs w:val="24"/>
        </w:rPr>
        <w:t>a</w:t>
      </w:r>
      <w:r>
        <w:rPr>
          <w:rFonts w:asciiTheme="minorHAnsi" w:hAnsiTheme="minorHAnsi" w:cstheme="minorHAnsi"/>
          <w:b/>
          <w:bCs/>
          <w:szCs w:val="24"/>
        </w:rPr>
        <w:t xml:space="preserve">ge and </w:t>
      </w:r>
      <w:r w:rsidR="00763037">
        <w:rPr>
          <w:rFonts w:asciiTheme="minorHAnsi" w:hAnsiTheme="minorHAnsi" w:cstheme="minorHAnsi"/>
          <w:b/>
          <w:bCs/>
          <w:szCs w:val="24"/>
        </w:rPr>
        <w:t>culture</w:t>
      </w:r>
      <w:r w:rsidR="00A010CD" w:rsidRPr="006861B5">
        <w:rPr>
          <w:rFonts w:asciiTheme="minorHAnsi" w:hAnsiTheme="minorHAnsi" w:cstheme="minorHAnsi"/>
          <w:b/>
          <w:bCs/>
          <w:szCs w:val="24"/>
        </w:rPr>
        <w:t>:</w:t>
      </w:r>
      <w:r w:rsidR="00A010CD" w:rsidRPr="006861B5">
        <w:rPr>
          <w:rFonts w:asciiTheme="minorHAnsi" w:hAnsiTheme="minorHAnsi" w:cstheme="minorHAnsi"/>
          <w:szCs w:val="24"/>
        </w:rPr>
        <w:t xml:space="preserve"> </w:t>
      </w:r>
      <w:r w:rsidR="0056055E">
        <w:rPr>
          <w:rFonts w:asciiTheme="minorHAnsi" w:hAnsiTheme="minorHAnsi" w:cstheme="minorHAnsi"/>
          <w:szCs w:val="24"/>
        </w:rPr>
        <w:t>places that have</w:t>
      </w:r>
      <w:r w:rsidR="0056055E" w:rsidRPr="006861B5">
        <w:rPr>
          <w:rFonts w:asciiTheme="minorHAnsi" w:hAnsiTheme="minorHAnsi" w:cstheme="minorHAnsi"/>
          <w:szCs w:val="24"/>
        </w:rPr>
        <w:t xml:space="preserve"> </w:t>
      </w:r>
      <w:r w:rsidR="00A010CD" w:rsidRPr="006861B5">
        <w:rPr>
          <w:rFonts w:asciiTheme="minorHAnsi" w:hAnsiTheme="minorHAnsi" w:cstheme="minorHAnsi"/>
          <w:szCs w:val="24"/>
        </w:rPr>
        <w:t>important cultural and historic</w:t>
      </w:r>
      <w:r w:rsidR="001102A1">
        <w:rPr>
          <w:rFonts w:asciiTheme="minorHAnsi" w:hAnsiTheme="minorHAnsi" w:cstheme="minorHAnsi"/>
          <w:szCs w:val="24"/>
        </w:rPr>
        <w:t xml:space="preserve"> </w:t>
      </w:r>
      <w:r w:rsidR="00A010CD" w:rsidRPr="006861B5">
        <w:rPr>
          <w:rFonts w:asciiTheme="minorHAnsi" w:hAnsiTheme="minorHAnsi" w:cstheme="minorHAnsi"/>
          <w:szCs w:val="24"/>
        </w:rPr>
        <w:t xml:space="preserve">significance </w:t>
      </w:r>
      <w:r w:rsidR="0056055E">
        <w:rPr>
          <w:rFonts w:asciiTheme="minorHAnsi" w:hAnsiTheme="minorHAnsi" w:cstheme="minorHAnsi"/>
          <w:szCs w:val="24"/>
        </w:rPr>
        <w:t>and</w:t>
      </w:r>
      <w:r w:rsidR="0056055E" w:rsidRPr="006861B5">
        <w:rPr>
          <w:rFonts w:asciiTheme="minorHAnsi" w:hAnsiTheme="minorHAnsi" w:cstheme="minorHAnsi"/>
          <w:szCs w:val="24"/>
        </w:rPr>
        <w:t xml:space="preserve"> </w:t>
      </w:r>
      <w:r w:rsidR="00A010CD" w:rsidRPr="006861B5">
        <w:rPr>
          <w:rFonts w:asciiTheme="minorHAnsi" w:hAnsiTheme="minorHAnsi" w:cstheme="minorHAnsi"/>
          <w:szCs w:val="24"/>
        </w:rPr>
        <w:t xml:space="preserve">contribute to </w:t>
      </w:r>
      <w:r w:rsidR="0056055E">
        <w:rPr>
          <w:rFonts w:asciiTheme="minorHAnsi" w:hAnsiTheme="minorHAnsi" w:cstheme="minorHAnsi"/>
          <w:szCs w:val="24"/>
        </w:rPr>
        <w:t>the</w:t>
      </w:r>
      <w:r w:rsidR="00A010CD" w:rsidRPr="006861B5">
        <w:rPr>
          <w:rFonts w:asciiTheme="minorHAnsi" w:hAnsiTheme="minorHAnsi" w:cstheme="minorHAnsi"/>
          <w:szCs w:val="24"/>
        </w:rPr>
        <w:t xml:space="preserve"> sense of place and identity</w:t>
      </w:r>
    </w:p>
    <w:p w14:paraId="63502F19" w14:textId="04D05835" w:rsidR="00A010CD" w:rsidRPr="006861B5" w:rsidRDefault="00763037"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Pr>
          <w:rFonts w:asciiTheme="minorHAnsi" w:hAnsiTheme="minorHAnsi" w:cstheme="minorHAnsi"/>
          <w:b/>
          <w:bCs/>
          <w:szCs w:val="24"/>
          <w:lang w:eastAsia="en-AU"/>
        </w:rPr>
        <w:lastRenderedPageBreak/>
        <w:t>Urban form</w:t>
      </w:r>
      <w:r w:rsidR="00A010CD" w:rsidRPr="006861B5">
        <w:rPr>
          <w:rFonts w:asciiTheme="minorHAnsi" w:hAnsiTheme="minorHAnsi" w:cstheme="minorHAnsi"/>
          <w:b/>
          <w:bCs/>
          <w:szCs w:val="24"/>
          <w:lang w:eastAsia="en-AU"/>
        </w:rPr>
        <w:t>:</w:t>
      </w:r>
      <w:r w:rsidR="00A010CD" w:rsidRPr="006861B5">
        <w:rPr>
          <w:rFonts w:asciiTheme="minorHAnsi" w:hAnsiTheme="minorHAnsi" w:cstheme="minorHAnsi"/>
          <w:szCs w:val="24"/>
          <w:lang w:eastAsia="en-AU"/>
        </w:rPr>
        <w:t xml:space="preserve"> the typologies of buildings, variety and locations of residential properties and spatial organisation of neighbourhoods</w:t>
      </w:r>
      <w:r w:rsidR="00EB5015">
        <w:rPr>
          <w:rFonts w:asciiTheme="minorHAnsi" w:hAnsiTheme="minorHAnsi" w:cstheme="minorHAnsi"/>
          <w:szCs w:val="24"/>
          <w:lang w:eastAsia="en-AU"/>
        </w:rPr>
        <w:t>.</w:t>
      </w:r>
      <w:r w:rsidR="001102A1">
        <w:rPr>
          <w:rFonts w:asciiTheme="minorHAnsi" w:hAnsiTheme="minorHAnsi" w:cstheme="minorHAnsi"/>
          <w:szCs w:val="24"/>
          <w:lang w:eastAsia="en-AU"/>
        </w:rPr>
        <w:t xml:space="preserve"> </w:t>
      </w:r>
      <w:r w:rsidR="00A010CD" w:rsidRPr="006861B5">
        <w:rPr>
          <w:rFonts w:asciiTheme="minorHAnsi" w:hAnsiTheme="minorHAnsi" w:cstheme="minorHAnsi"/>
          <w:szCs w:val="24"/>
          <w:lang w:eastAsia="en-AU"/>
        </w:rPr>
        <w:t>It can be considered at various scales from regional, city, to a local area and considers the overall structure of a city with the pattern of development and streets to the relationship of public realm (and parks) and street widths to developable land and granularity of street block sizes.</w:t>
      </w:r>
    </w:p>
    <w:p w14:paraId="162BAC99" w14:textId="77777777" w:rsidR="00A010CD" w:rsidRPr="00C4126C" w:rsidRDefault="00A010CD" w:rsidP="007B214F">
      <w:pPr>
        <w:pStyle w:val="AltHeading1"/>
        <w:tabs>
          <w:tab w:val="clear" w:pos="1134"/>
          <w:tab w:val="left" w:pos="902"/>
        </w:tabs>
        <w:spacing w:before="240" w:after="120"/>
        <w:ind w:left="0" w:right="709" w:firstLine="0"/>
        <w:rPr>
          <w:rStyle w:val="Heading1Char"/>
          <w:rFonts w:cs="Arial"/>
          <w:color w:val="003C69"/>
          <w:sz w:val="16"/>
          <w:szCs w:val="16"/>
        </w:rPr>
      </w:pPr>
      <w:bookmarkStart w:id="18" w:name="_Toc145593570"/>
      <w:bookmarkStart w:id="19" w:name="_Toc173245768"/>
      <w:bookmarkEnd w:id="18"/>
      <w:r w:rsidRPr="00C4126C">
        <w:t>Benefits</w:t>
      </w:r>
      <w:bookmarkEnd w:id="19"/>
    </w:p>
    <w:p w14:paraId="24892D3F" w14:textId="2FA552D4"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Implementation of this policy will enhance TMR’s delivery of the </w:t>
      </w:r>
      <w:r w:rsidRPr="00FB3188">
        <w:rPr>
          <w:rFonts w:asciiTheme="minorHAnsi" w:hAnsiTheme="minorHAnsi" w:cstheme="minorHAnsi"/>
          <w:i/>
          <w:iCs/>
          <w:szCs w:val="24"/>
          <w:lang w:eastAsia="en-AU"/>
        </w:rPr>
        <w:t>Strategic Plan</w:t>
      </w:r>
      <w:r w:rsidR="00335122">
        <w:rPr>
          <w:rFonts w:asciiTheme="minorHAnsi" w:hAnsiTheme="minorHAnsi" w:cstheme="minorHAnsi"/>
          <w:i/>
          <w:iCs/>
          <w:szCs w:val="24"/>
          <w:lang w:eastAsia="en-AU"/>
        </w:rPr>
        <w:br/>
      </w:r>
      <w:r w:rsidRPr="00FB3188">
        <w:rPr>
          <w:rFonts w:asciiTheme="minorHAnsi" w:hAnsiTheme="minorHAnsi" w:cstheme="minorHAnsi"/>
          <w:i/>
          <w:iCs/>
          <w:szCs w:val="24"/>
          <w:lang w:eastAsia="en-AU"/>
        </w:rPr>
        <w:t>2023–2027, Queensland Transport Strategy</w:t>
      </w:r>
      <w:r w:rsidR="00AC3BC7">
        <w:rPr>
          <w:rFonts w:asciiTheme="minorHAnsi" w:hAnsiTheme="minorHAnsi" w:cstheme="minorHAnsi"/>
          <w:i/>
          <w:iCs/>
          <w:szCs w:val="24"/>
          <w:lang w:eastAsia="en-AU"/>
        </w:rPr>
        <w:t>,</w:t>
      </w:r>
      <w:r w:rsidRPr="00FB3188">
        <w:rPr>
          <w:rFonts w:asciiTheme="minorHAnsi" w:hAnsiTheme="minorHAnsi" w:cstheme="minorHAnsi"/>
          <w:szCs w:val="24"/>
          <w:lang w:eastAsia="en-AU"/>
        </w:rPr>
        <w:t xml:space="preserve"> and </w:t>
      </w:r>
      <w:r w:rsidRPr="00FB3188">
        <w:rPr>
          <w:rFonts w:asciiTheme="minorHAnsi" w:hAnsiTheme="minorHAnsi" w:cstheme="minorHAnsi"/>
          <w:i/>
          <w:iCs/>
          <w:szCs w:val="24"/>
          <w:lang w:eastAsia="en-AU"/>
        </w:rPr>
        <w:t>Transport Coordination Plan</w:t>
      </w:r>
      <w:r w:rsidR="007B6439">
        <w:rPr>
          <w:rFonts w:asciiTheme="minorHAnsi" w:hAnsiTheme="minorHAnsi" w:cstheme="minorHAnsi"/>
          <w:i/>
          <w:iCs/>
          <w:szCs w:val="24"/>
          <w:lang w:eastAsia="en-AU"/>
        </w:rPr>
        <w:br/>
      </w:r>
      <w:r w:rsidRPr="00FB3188">
        <w:rPr>
          <w:rFonts w:asciiTheme="minorHAnsi" w:hAnsiTheme="minorHAnsi" w:cstheme="minorHAnsi"/>
          <w:i/>
          <w:iCs/>
          <w:szCs w:val="24"/>
          <w:lang w:eastAsia="en-AU"/>
        </w:rPr>
        <w:t>2017–2027</w:t>
      </w:r>
      <w:r w:rsidRPr="00FB3188">
        <w:rPr>
          <w:rFonts w:asciiTheme="minorHAnsi" w:hAnsiTheme="minorHAnsi" w:cstheme="minorHAnsi"/>
          <w:szCs w:val="24"/>
          <w:lang w:eastAsia="en-AU"/>
        </w:rPr>
        <w:t xml:space="preserve"> </w:t>
      </w:r>
      <w:r w:rsidR="007B6439" w:rsidRPr="008B1E2C">
        <w:rPr>
          <w:rFonts w:asciiTheme="minorHAnsi" w:hAnsiTheme="minorHAnsi" w:cstheme="minorHAnsi"/>
          <w:szCs w:val="24"/>
          <w:lang w:eastAsia="en-AU"/>
        </w:rPr>
        <w:t>(TCP)</w:t>
      </w:r>
      <w:r w:rsidR="007B6439">
        <w:rPr>
          <w:rFonts w:asciiTheme="minorHAnsi" w:hAnsiTheme="minorHAnsi" w:cstheme="minorHAnsi"/>
          <w:i/>
          <w:iCs/>
          <w:szCs w:val="24"/>
          <w:lang w:eastAsia="en-AU"/>
        </w:rPr>
        <w:t xml:space="preserve"> </w:t>
      </w:r>
      <w:r w:rsidRPr="00FB3188">
        <w:rPr>
          <w:rFonts w:asciiTheme="minorHAnsi" w:hAnsiTheme="minorHAnsi" w:cstheme="minorHAnsi"/>
          <w:szCs w:val="24"/>
          <w:lang w:eastAsia="en-AU"/>
        </w:rPr>
        <w:t>objectives by establishing a common language for practitioners, decision makers, and stakeholders to identify and evaluate placemaking opportunities on the network alongside movement capabilities.</w:t>
      </w:r>
    </w:p>
    <w:p w14:paraId="3D997E30" w14:textId="2C67EFB4" w:rsidR="00A010CD" w:rsidRPr="00FB3188" w:rsidRDefault="00A010CD" w:rsidP="00FB3188">
      <w:pPr>
        <w:spacing w:after="120"/>
        <w:rPr>
          <w:rFonts w:asciiTheme="minorHAnsi" w:hAnsiTheme="minorHAnsi"/>
          <w:lang w:eastAsia="en-AU"/>
        </w:rPr>
      </w:pPr>
      <w:r w:rsidRPr="0D82351F">
        <w:rPr>
          <w:rFonts w:asciiTheme="minorHAnsi" w:hAnsiTheme="minorHAnsi"/>
          <w:lang w:eastAsia="en-AU"/>
        </w:rPr>
        <w:t>As part of the operational framework (</w:t>
      </w:r>
      <w:r w:rsidRPr="0D82351F">
        <w:rPr>
          <w:rFonts w:asciiTheme="minorHAnsi" w:hAnsiTheme="minorHAnsi"/>
          <w:i/>
          <w:lang w:eastAsia="en-AU"/>
        </w:rPr>
        <w:t>refer 12. Supporting documents</w:t>
      </w:r>
      <w:r w:rsidRPr="0D82351F">
        <w:rPr>
          <w:rFonts w:asciiTheme="minorHAnsi" w:hAnsiTheme="minorHAnsi"/>
          <w:lang w:eastAsia="en-AU"/>
        </w:rPr>
        <w:t xml:space="preserve">) an action will focus on the development of consistent and repeatable end-to-end benefits realisation process and refine a series of standard measures to monitor the delivery of </w:t>
      </w:r>
      <w:r w:rsidR="001E2C9E">
        <w:rPr>
          <w:rFonts w:asciiTheme="minorHAnsi" w:hAnsiTheme="minorHAnsi"/>
          <w:lang w:eastAsia="en-AU"/>
        </w:rPr>
        <w:t>‘</w:t>
      </w:r>
      <w:r w:rsidRPr="0D82351F">
        <w:rPr>
          <w:rFonts w:asciiTheme="minorHAnsi" w:hAnsiTheme="minorHAnsi"/>
          <w:lang w:eastAsia="en-AU"/>
        </w:rPr>
        <w:t>movement</w:t>
      </w:r>
      <w:r w:rsidR="001E2C9E">
        <w:rPr>
          <w:rFonts w:asciiTheme="minorHAnsi" w:hAnsiTheme="minorHAnsi"/>
          <w:lang w:eastAsia="en-AU"/>
        </w:rPr>
        <w:t>’</w:t>
      </w:r>
      <w:r w:rsidRPr="0D82351F">
        <w:rPr>
          <w:rFonts w:asciiTheme="minorHAnsi" w:hAnsiTheme="minorHAnsi"/>
          <w:lang w:eastAsia="en-AU"/>
        </w:rPr>
        <w:t xml:space="preserve"> and </w:t>
      </w:r>
      <w:r w:rsidR="001E2C9E">
        <w:rPr>
          <w:rFonts w:asciiTheme="minorHAnsi" w:hAnsiTheme="minorHAnsi"/>
          <w:lang w:eastAsia="en-AU"/>
        </w:rPr>
        <w:t>‘</w:t>
      </w:r>
      <w:r w:rsidRPr="0D82351F">
        <w:rPr>
          <w:rFonts w:asciiTheme="minorHAnsi" w:hAnsiTheme="minorHAnsi"/>
          <w:lang w:eastAsia="en-AU"/>
        </w:rPr>
        <w:t>place</w:t>
      </w:r>
      <w:r w:rsidR="001E2C9E">
        <w:rPr>
          <w:rFonts w:asciiTheme="minorHAnsi" w:hAnsiTheme="minorHAnsi"/>
          <w:lang w:eastAsia="en-AU"/>
        </w:rPr>
        <w:t>’</w:t>
      </w:r>
      <w:r w:rsidRPr="0D82351F">
        <w:rPr>
          <w:rFonts w:asciiTheme="minorHAnsi" w:hAnsiTheme="minorHAnsi"/>
          <w:lang w:eastAsia="en-AU"/>
        </w:rPr>
        <w:t xml:space="preserve"> outcomes.</w:t>
      </w:r>
    </w:p>
    <w:p w14:paraId="448AC909" w14:textId="77777777" w:rsidR="00A010CD" w:rsidRPr="00C4126C" w:rsidRDefault="00A010CD" w:rsidP="007B214F">
      <w:pPr>
        <w:pStyle w:val="AltHeading1"/>
        <w:tabs>
          <w:tab w:val="clear" w:pos="1134"/>
          <w:tab w:val="left" w:pos="902"/>
        </w:tabs>
        <w:spacing w:before="240" w:after="120"/>
        <w:ind w:left="0" w:right="707" w:firstLine="0"/>
        <w:rPr>
          <w:sz w:val="16"/>
          <w:szCs w:val="16"/>
        </w:rPr>
      </w:pPr>
      <w:bookmarkStart w:id="20" w:name="_Toc145593573"/>
      <w:bookmarkStart w:id="21" w:name="_Toc173245769"/>
      <w:bookmarkEnd w:id="20"/>
      <w:r w:rsidRPr="00C4126C">
        <w:t>Applicability</w:t>
      </w:r>
      <w:bookmarkEnd w:id="21"/>
    </w:p>
    <w:p w14:paraId="1B4F30B1" w14:textId="5CF92279"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rPr>
        <w:t xml:space="preserve">This policy applies to all TMR employees and contractors engaged in </w:t>
      </w:r>
      <w:r w:rsidRPr="00FB3188">
        <w:rPr>
          <w:rFonts w:asciiTheme="minorHAnsi" w:hAnsiTheme="minorHAnsi" w:cstheme="minorHAnsi"/>
          <w:szCs w:val="24"/>
          <w:lang w:eastAsia="en-AU"/>
        </w:rPr>
        <w:t>life cycle decision making, planning, design and operational aspects of the transport system where TMR has a state interest.</w:t>
      </w:r>
      <w:r w:rsidR="007D2691">
        <w:rPr>
          <w:rFonts w:asciiTheme="minorHAnsi" w:hAnsiTheme="minorHAnsi" w:cstheme="minorHAnsi"/>
          <w:szCs w:val="24"/>
          <w:lang w:eastAsia="en-AU"/>
        </w:rPr>
        <w:t xml:space="preserve"> The </w:t>
      </w:r>
      <w:r w:rsidR="009D4BBB">
        <w:rPr>
          <w:rFonts w:asciiTheme="minorHAnsi" w:hAnsiTheme="minorHAnsi" w:cstheme="minorHAnsi"/>
          <w:szCs w:val="24"/>
          <w:lang w:eastAsia="en-AU"/>
        </w:rPr>
        <w:t>‘</w:t>
      </w:r>
      <w:r w:rsidR="007D2691">
        <w:rPr>
          <w:rFonts w:asciiTheme="minorHAnsi" w:hAnsiTheme="minorHAnsi" w:cstheme="minorHAnsi"/>
          <w:szCs w:val="24"/>
          <w:lang w:eastAsia="en-AU"/>
        </w:rPr>
        <w:t>best practice</w:t>
      </w:r>
      <w:r w:rsidR="009D4BBB">
        <w:rPr>
          <w:rFonts w:asciiTheme="minorHAnsi" w:hAnsiTheme="minorHAnsi" w:cstheme="minorHAnsi"/>
          <w:szCs w:val="24"/>
          <w:lang w:eastAsia="en-AU"/>
        </w:rPr>
        <w:t>’</w:t>
      </w:r>
      <w:r w:rsidR="007D2691">
        <w:rPr>
          <w:rFonts w:asciiTheme="minorHAnsi" w:hAnsiTheme="minorHAnsi" w:cstheme="minorHAnsi"/>
          <w:szCs w:val="24"/>
          <w:lang w:eastAsia="en-AU"/>
        </w:rPr>
        <w:t xml:space="preserve"> nature of this policy</w:t>
      </w:r>
      <w:r w:rsidR="00F3039D">
        <w:rPr>
          <w:rFonts w:asciiTheme="minorHAnsi" w:hAnsiTheme="minorHAnsi" w:cstheme="minorHAnsi"/>
          <w:szCs w:val="24"/>
          <w:lang w:eastAsia="en-AU"/>
        </w:rPr>
        <w:t xml:space="preserve"> means that while other government agencies</w:t>
      </w:r>
      <w:r w:rsidR="002C2338">
        <w:rPr>
          <w:rFonts w:asciiTheme="minorHAnsi" w:hAnsiTheme="minorHAnsi" w:cstheme="minorHAnsi"/>
          <w:szCs w:val="24"/>
          <w:lang w:eastAsia="en-AU"/>
        </w:rPr>
        <w:t xml:space="preserve"> (including local government)</w:t>
      </w:r>
      <w:r w:rsidR="00F3039D">
        <w:rPr>
          <w:rFonts w:asciiTheme="minorHAnsi" w:hAnsiTheme="minorHAnsi" w:cstheme="minorHAnsi"/>
          <w:szCs w:val="24"/>
          <w:lang w:eastAsia="en-AU"/>
        </w:rPr>
        <w:t xml:space="preserve"> and partners are not </w:t>
      </w:r>
      <w:r w:rsidR="00CA2D16">
        <w:rPr>
          <w:rFonts w:asciiTheme="minorHAnsi" w:hAnsiTheme="minorHAnsi" w:cstheme="minorHAnsi"/>
          <w:szCs w:val="24"/>
          <w:lang w:eastAsia="en-AU"/>
        </w:rPr>
        <w:t xml:space="preserve">required to </w:t>
      </w:r>
      <w:r w:rsidR="000A537D">
        <w:rPr>
          <w:rFonts w:asciiTheme="minorHAnsi" w:hAnsiTheme="minorHAnsi" w:cstheme="minorHAnsi"/>
          <w:szCs w:val="24"/>
          <w:lang w:eastAsia="en-AU"/>
        </w:rPr>
        <w:t>adopt</w:t>
      </w:r>
      <w:r w:rsidR="00CA2D16">
        <w:rPr>
          <w:rFonts w:asciiTheme="minorHAnsi" w:hAnsiTheme="minorHAnsi" w:cstheme="minorHAnsi"/>
          <w:szCs w:val="24"/>
          <w:lang w:eastAsia="en-AU"/>
        </w:rPr>
        <w:t xml:space="preserve"> this policy, it may be </w:t>
      </w:r>
      <w:r w:rsidR="0007412F">
        <w:rPr>
          <w:rFonts w:asciiTheme="minorHAnsi" w:hAnsiTheme="minorHAnsi" w:cstheme="minorHAnsi"/>
          <w:szCs w:val="24"/>
          <w:lang w:eastAsia="en-AU"/>
        </w:rPr>
        <w:t>used to</w:t>
      </w:r>
      <w:r w:rsidR="0007412F" w:rsidRPr="004F7F54">
        <w:rPr>
          <w:rFonts w:asciiTheme="minorHAnsi" w:hAnsiTheme="minorHAnsi" w:cstheme="minorHAnsi"/>
          <w:szCs w:val="24"/>
          <w:lang w:eastAsia="en-AU"/>
        </w:rPr>
        <w:t xml:space="preserve"> </w:t>
      </w:r>
      <w:r w:rsidR="004F7F54" w:rsidRPr="004F7F54">
        <w:rPr>
          <w:rFonts w:asciiTheme="minorHAnsi" w:hAnsiTheme="minorHAnsi" w:cstheme="minorHAnsi"/>
          <w:szCs w:val="24"/>
          <w:lang w:eastAsia="en-AU"/>
        </w:rPr>
        <w:t xml:space="preserve">support, leverage and support </w:t>
      </w:r>
      <w:r w:rsidR="004F7F54" w:rsidRPr="008B1E2C">
        <w:rPr>
          <w:rFonts w:asciiTheme="minorHAnsi" w:hAnsiTheme="minorHAnsi" w:cstheme="minorHAnsi"/>
          <w:i/>
          <w:iCs/>
          <w:szCs w:val="24"/>
          <w:lang w:eastAsia="en-AU"/>
        </w:rPr>
        <w:t>movement and place</w:t>
      </w:r>
      <w:r w:rsidR="004F7F54" w:rsidRPr="004F7F54">
        <w:rPr>
          <w:rFonts w:asciiTheme="minorHAnsi" w:hAnsiTheme="minorHAnsi" w:cstheme="minorHAnsi"/>
          <w:szCs w:val="24"/>
          <w:lang w:eastAsia="en-AU"/>
        </w:rPr>
        <w:t xml:space="preserve"> discussions with a common language.</w:t>
      </w:r>
    </w:p>
    <w:p w14:paraId="480BC8A6" w14:textId="77777777" w:rsidR="00A010CD" w:rsidRPr="00C4126C" w:rsidRDefault="00A010CD" w:rsidP="00971735">
      <w:pPr>
        <w:pStyle w:val="AltHeading2"/>
      </w:pPr>
      <w:bookmarkStart w:id="22" w:name="_Toc173245770"/>
      <w:bookmarkStart w:id="23" w:name="_Toc46917836"/>
      <w:bookmarkStart w:id="24" w:name="_Toc50988538"/>
      <w:bookmarkStart w:id="25" w:name="_Toc50988988"/>
      <w:bookmarkStart w:id="26" w:name="_Toc51311579"/>
      <w:bookmarkStart w:id="27" w:name="_Toc51325263"/>
      <w:bookmarkStart w:id="28" w:name="_Toc51668155"/>
      <w:bookmarkStart w:id="29" w:name="_Hlk46843975"/>
      <w:r w:rsidRPr="00C4126C">
        <w:t>Stakeholders</w:t>
      </w:r>
      <w:bookmarkEnd w:id="22"/>
    </w:p>
    <w:p w14:paraId="071D53B0" w14:textId="163E88F3"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Stakeholders may include but are not limited to:</w:t>
      </w:r>
    </w:p>
    <w:p w14:paraId="0B203014"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TMR professionals: (transport planners, engineers, architects, urban planners and designers, heritage specialists, economists, Indigenous engagement and accessibility specialists)</w:t>
      </w:r>
    </w:p>
    <w:p w14:paraId="6CE11806"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Other state government departments and agencies</w:t>
      </w:r>
    </w:p>
    <w:p w14:paraId="12639731"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Local governments</w:t>
      </w:r>
    </w:p>
    <w:p w14:paraId="11ABF3C4"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Affected community members and businesses</w:t>
      </w:r>
    </w:p>
    <w:p w14:paraId="0CB36C31"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rPr>
      </w:pPr>
      <w:r w:rsidRPr="006861B5">
        <w:rPr>
          <w:rFonts w:asciiTheme="minorHAnsi" w:hAnsiTheme="minorHAnsi" w:cstheme="minorHAnsi"/>
          <w:szCs w:val="24"/>
        </w:rPr>
        <w:t>Community representative organisations (for example, groups representing people with disability, older people, Aboriginal and Torres Strait Islander groups, chambers of commerce)</w:t>
      </w:r>
    </w:p>
    <w:p w14:paraId="5A4A39F0" w14:textId="5CAC64B5"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rPr>
      </w:pPr>
      <w:r w:rsidRPr="006861B5">
        <w:rPr>
          <w:rFonts w:asciiTheme="minorHAnsi" w:hAnsiTheme="minorHAnsi" w:cstheme="minorHAnsi"/>
          <w:szCs w:val="24"/>
        </w:rPr>
        <w:t>First Nations</w:t>
      </w:r>
    </w:p>
    <w:p w14:paraId="6C9D977B" w14:textId="5CA04B0B"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lastRenderedPageBreak/>
        <w:t>Service providers that support socially disadvantaged communities</w:t>
      </w:r>
    </w:p>
    <w:p w14:paraId="74C94E14"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Representatives from major local facilities such as schools, higher and further education, hospitals and retail precincts</w:t>
      </w:r>
    </w:p>
    <w:p w14:paraId="69C553F8"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Active transport advocates such as Bicycle Queensland, local bicycle user groups and Queensland Walks</w:t>
      </w:r>
    </w:p>
    <w:p w14:paraId="523330ED"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Active transport advisory or reference committees hosted by local governments</w:t>
      </w:r>
    </w:p>
    <w:p w14:paraId="10E8DA27" w14:textId="77777777" w:rsidR="00A010CD" w:rsidRPr="006861B5" w:rsidRDefault="00A010CD" w:rsidP="006861B5">
      <w:pPr>
        <w:pStyle w:val="ListParagraph"/>
        <w:numPr>
          <w:ilvl w:val="0"/>
          <w:numId w:val="19"/>
        </w:numPr>
        <w:spacing w:after="120"/>
        <w:ind w:left="714" w:hanging="357"/>
        <w:contextualSpacing w:val="0"/>
        <w:rPr>
          <w:rFonts w:asciiTheme="minorHAnsi" w:hAnsiTheme="minorHAnsi" w:cstheme="minorHAnsi"/>
          <w:szCs w:val="24"/>
          <w:lang w:eastAsia="en-AU"/>
        </w:rPr>
      </w:pPr>
      <w:r w:rsidRPr="006861B5">
        <w:rPr>
          <w:rFonts w:asciiTheme="minorHAnsi" w:hAnsiTheme="minorHAnsi" w:cstheme="minorHAnsi"/>
          <w:szCs w:val="24"/>
          <w:lang w:eastAsia="en-AU"/>
        </w:rPr>
        <w:t>Freight groups such as the Queensland Trucking Association (QTA).</w:t>
      </w:r>
    </w:p>
    <w:p w14:paraId="5005CCC7" w14:textId="1160B588" w:rsidR="00A010CD" w:rsidRPr="00C4126C" w:rsidRDefault="00A010CD" w:rsidP="00971735">
      <w:pPr>
        <w:pStyle w:val="AltHeading2"/>
      </w:pPr>
      <w:bookmarkStart w:id="30" w:name="_Toc50988989"/>
      <w:bookmarkStart w:id="31" w:name="_Toc51311580"/>
      <w:bookmarkStart w:id="32" w:name="_Toc51325264"/>
      <w:bookmarkStart w:id="33" w:name="_Toc51668156"/>
      <w:bookmarkStart w:id="34" w:name="_Toc173245771"/>
      <w:r w:rsidRPr="00C4126C">
        <w:t>Aboriginal and Torres Strait Islander considerations</w:t>
      </w:r>
      <w:bookmarkEnd w:id="30"/>
      <w:bookmarkEnd w:id="31"/>
      <w:bookmarkEnd w:id="32"/>
      <w:bookmarkEnd w:id="33"/>
      <w:bookmarkEnd w:id="34"/>
    </w:p>
    <w:p w14:paraId="098DDA7E" w14:textId="3D0F8DC0"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TMR will </w:t>
      </w:r>
      <w:bookmarkStart w:id="35" w:name="_Hlk117152257"/>
      <w:r w:rsidRPr="00FB3188">
        <w:rPr>
          <w:rFonts w:asciiTheme="minorHAnsi" w:hAnsiTheme="minorHAnsi" w:cstheme="minorHAnsi"/>
          <w:szCs w:val="24"/>
          <w:lang w:eastAsia="en-AU"/>
        </w:rPr>
        <w:t>follow the advice set out in the Aboriginal and Torres Strait Islander Engagement in Transport and Roads Infrastructure Delivery and Maintenance Strategy as part of its stakeholder engagement</w:t>
      </w:r>
      <w:bookmarkEnd w:id="35"/>
      <w:r w:rsidRPr="00FB3188">
        <w:rPr>
          <w:rFonts w:asciiTheme="minorHAnsi" w:hAnsiTheme="minorHAnsi" w:cstheme="minorHAnsi"/>
          <w:szCs w:val="24"/>
          <w:lang w:eastAsia="en-AU"/>
        </w:rPr>
        <w:t>.</w:t>
      </w:r>
    </w:p>
    <w:p w14:paraId="2203D257" w14:textId="77777777" w:rsidR="00A010CD" w:rsidRPr="00121CF1" w:rsidRDefault="00A010CD" w:rsidP="00971735">
      <w:pPr>
        <w:pStyle w:val="AltHeading2"/>
      </w:pPr>
      <w:bookmarkStart w:id="36" w:name="_Toc173245772"/>
      <w:r w:rsidRPr="00121CF1">
        <w:t>Human Rights</w:t>
      </w:r>
      <w:bookmarkEnd w:id="23"/>
      <w:bookmarkEnd w:id="24"/>
      <w:bookmarkEnd w:id="25"/>
      <w:bookmarkEnd w:id="26"/>
      <w:bookmarkEnd w:id="27"/>
      <w:bookmarkEnd w:id="28"/>
      <w:bookmarkEnd w:id="36"/>
    </w:p>
    <w:p w14:paraId="07A920C9" w14:textId="77777777"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The implementation of this policy will generally respect and promote the freedom of movement in section 19 of the </w:t>
      </w:r>
      <w:r w:rsidRPr="00FB3188">
        <w:rPr>
          <w:rFonts w:asciiTheme="minorHAnsi" w:hAnsiTheme="minorHAnsi" w:cstheme="minorHAnsi"/>
          <w:i/>
          <w:iCs/>
          <w:szCs w:val="24"/>
          <w:lang w:eastAsia="en-AU"/>
        </w:rPr>
        <w:t>Human Rights Act 2019</w:t>
      </w:r>
      <w:r w:rsidRPr="00FB3188">
        <w:rPr>
          <w:rFonts w:asciiTheme="minorHAnsi" w:hAnsiTheme="minorHAnsi" w:cstheme="minorHAnsi"/>
          <w:szCs w:val="24"/>
          <w:lang w:eastAsia="en-AU"/>
        </w:rPr>
        <w:t>. Consideration will need to be given to whether other human rights may be relevant in a particular case.</w:t>
      </w:r>
    </w:p>
    <w:p w14:paraId="47913C8F" w14:textId="5EF3A564" w:rsidR="00A010CD" w:rsidRPr="00C4126C" w:rsidRDefault="00A010CD" w:rsidP="009D4E1B">
      <w:pPr>
        <w:pStyle w:val="AltHeading1"/>
        <w:tabs>
          <w:tab w:val="clear" w:pos="1134"/>
          <w:tab w:val="left" w:pos="902"/>
        </w:tabs>
        <w:spacing w:before="240" w:after="120"/>
        <w:ind w:left="0" w:right="707" w:firstLine="0"/>
      </w:pPr>
      <w:bookmarkStart w:id="37" w:name="_Toc153885993"/>
      <w:bookmarkStart w:id="38" w:name="_Toc153886093"/>
      <w:bookmarkStart w:id="39" w:name="_Toc173245773"/>
      <w:bookmarkEnd w:id="29"/>
      <w:bookmarkEnd w:id="37"/>
      <w:bookmarkEnd w:id="38"/>
      <w:r w:rsidRPr="00C4126C">
        <w:t>Compliance</w:t>
      </w:r>
      <w:bookmarkEnd w:id="39"/>
    </w:p>
    <w:p w14:paraId="29CD1969" w14:textId="77777777" w:rsidR="00A010CD" w:rsidRPr="00C4126C" w:rsidRDefault="00A010CD" w:rsidP="000F6407">
      <w:pPr>
        <w:spacing w:after="120"/>
        <w:rPr>
          <w:lang w:eastAsia="en-AU"/>
        </w:rPr>
      </w:pPr>
      <w:r w:rsidRPr="00C4126C">
        <w:rPr>
          <w:lang w:eastAsia="en-AU"/>
        </w:rPr>
        <w:t>The following legislation, policies, and other jurisdictional policies are relevant to the TMR Movement and Place Policy.</w:t>
      </w:r>
    </w:p>
    <w:p w14:paraId="3C54945B" w14:textId="77777777" w:rsidR="00A010CD" w:rsidRPr="00971735" w:rsidRDefault="00A010CD" w:rsidP="00302C6D">
      <w:pPr>
        <w:rPr>
          <w:rStyle w:val="Strong"/>
        </w:rPr>
      </w:pPr>
      <w:r w:rsidRPr="00971735">
        <w:rPr>
          <w:rStyle w:val="Strong"/>
        </w:rPr>
        <w:t>Legislation</w:t>
      </w:r>
    </w:p>
    <w:p w14:paraId="13CC3E47" w14:textId="77777777" w:rsidR="00A010CD" w:rsidRPr="00C4126C" w:rsidRDefault="00A010CD" w:rsidP="00302C6D">
      <w:pPr>
        <w:rPr>
          <w:i/>
          <w:iCs/>
          <w:lang w:eastAsia="en-AU"/>
        </w:rPr>
      </w:pPr>
      <w:r w:rsidRPr="00C4126C">
        <w:rPr>
          <w:i/>
          <w:iCs/>
          <w:lang w:eastAsia="en-AU"/>
        </w:rPr>
        <w:t>Disability Standards for Accessible Public Transport 2002</w:t>
      </w:r>
    </w:p>
    <w:p w14:paraId="1D7DEDC1" w14:textId="77777777" w:rsidR="00A010CD" w:rsidRPr="00C4126C" w:rsidRDefault="00A010CD" w:rsidP="00302C6D">
      <w:pPr>
        <w:rPr>
          <w:i/>
          <w:iCs/>
          <w:lang w:eastAsia="en-AU"/>
        </w:rPr>
      </w:pPr>
      <w:r w:rsidRPr="00C4126C">
        <w:rPr>
          <w:i/>
          <w:iCs/>
          <w:lang w:eastAsia="en-AU"/>
        </w:rPr>
        <w:t>Disability Discrimination Act 1992</w:t>
      </w:r>
    </w:p>
    <w:p w14:paraId="0316D54A" w14:textId="77777777" w:rsidR="00A010CD" w:rsidRPr="00C4126C" w:rsidRDefault="00A010CD" w:rsidP="00302C6D">
      <w:pPr>
        <w:rPr>
          <w:i/>
          <w:iCs/>
          <w:lang w:eastAsia="en-AU"/>
        </w:rPr>
      </w:pPr>
      <w:r w:rsidRPr="00C4126C">
        <w:rPr>
          <w:i/>
          <w:iCs/>
          <w:lang w:eastAsia="en-AU"/>
        </w:rPr>
        <w:t>Human Rights Act 2019</w:t>
      </w:r>
    </w:p>
    <w:p w14:paraId="1E0138FF" w14:textId="77777777" w:rsidR="00A010CD" w:rsidRDefault="00A010CD" w:rsidP="00302C6D">
      <w:pPr>
        <w:rPr>
          <w:i/>
          <w:iCs/>
          <w:lang w:eastAsia="en-AU"/>
        </w:rPr>
      </w:pPr>
      <w:r w:rsidRPr="00C4126C">
        <w:rPr>
          <w:i/>
          <w:iCs/>
          <w:lang w:eastAsia="en-AU"/>
        </w:rPr>
        <w:t>Information Privacy Act 2009</w:t>
      </w:r>
    </w:p>
    <w:p w14:paraId="731AAE14" w14:textId="576DBCEB" w:rsidR="0045096B" w:rsidRDefault="0045096B" w:rsidP="00302C6D">
      <w:pPr>
        <w:rPr>
          <w:i/>
          <w:iCs/>
          <w:lang w:eastAsia="en-AU"/>
        </w:rPr>
      </w:pPr>
      <w:r>
        <w:rPr>
          <w:i/>
          <w:iCs/>
          <w:lang w:eastAsia="en-AU"/>
        </w:rPr>
        <w:t>Planning Act 2016</w:t>
      </w:r>
    </w:p>
    <w:p w14:paraId="66D47FD2" w14:textId="1AE74710" w:rsidR="00D671AD" w:rsidRPr="00C4126C" w:rsidRDefault="00D671AD" w:rsidP="00302C6D">
      <w:pPr>
        <w:rPr>
          <w:i/>
          <w:iCs/>
          <w:lang w:eastAsia="en-AU"/>
        </w:rPr>
      </w:pPr>
      <w:r>
        <w:rPr>
          <w:i/>
          <w:iCs/>
          <w:lang w:eastAsia="en-AU"/>
        </w:rPr>
        <w:t>State Planning Policy</w:t>
      </w:r>
    </w:p>
    <w:p w14:paraId="2FF4628F" w14:textId="77777777" w:rsidR="00A010CD" w:rsidRPr="00C4126C" w:rsidRDefault="00A010CD" w:rsidP="00302C6D">
      <w:pPr>
        <w:rPr>
          <w:i/>
          <w:iCs/>
          <w:lang w:eastAsia="en-AU"/>
        </w:rPr>
      </w:pPr>
      <w:r w:rsidRPr="00C4126C">
        <w:rPr>
          <w:i/>
          <w:iCs/>
          <w:lang w:eastAsia="en-AU"/>
        </w:rPr>
        <w:t>Transport Operations (Road Use Management—Road Rules) Regulation 2009</w:t>
      </w:r>
    </w:p>
    <w:p w14:paraId="4D75E336" w14:textId="77777777" w:rsidR="00A010CD" w:rsidRPr="00C4126C" w:rsidRDefault="00A010CD" w:rsidP="00302C6D">
      <w:pPr>
        <w:rPr>
          <w:i/>
          <w:iCs/>
          <w:lang w:eastAsia="en-AU"/>
        </w:rPr>
      </w:pPr>
      <w:r w:rsidRPr="00C4126C">
        <w:rPr>
          <w:i/>
          <w:iCs/>
          <w:lang w:eastAsia="en-AU"/>
        </w:rPr>
        <w:t xml:space="preserve">Transport Infrastructure (State-controlled Roads) Regulation 2006 </w:t>
      </w:r>
    </w:p>
    <w:p w14:paraId="3E9A7199" w14:textId="0C6BD64B" w:rsidR="00A010CD" w:rsidRPr="00C4126C" w:rsidRDefault="00A010CD" w:rsidP="00302C6D">
      <w:pPr>
        <w:rPr>
          <w:i/>
          <w:iCs/>
          <w:lang w:eastAsia="en-AU"/>
        </w:rPr>
      </w:pPr>
      <w:r w:rsidRPr="00C4126C">
        <w:rPr>
          <w:i/>
          <w:iCs/>
          <w:lang w:eastAsia="en-AU"/>
        </w:rPr>
        <w:t>Transport Operations (Road Use Management) Act 1995</w:t>
      </w:r>
    </w:p>
    <w:p w14:paraId="4604D266" w14:textId="2008A0F0" w:rsidR="00A010CD" w:rsidRPr="00C4126C" w:rsidRDefault="00A010CD" w:rsidP="00302C6D">
      <w:pPr>
        <w:rPr>
          <w:i/>
          <w:iCs/>
          <w:lang w:eastAsia="en-AU"/>
        </w:rPr>
      </w:pPr>
      <w:r w:rsidRPr="00C4126C">
        <w:rPr>
          <w:i/>
          <w:iCs/>
          <w:lang w:eastAsia="en-AU"/>
        </w:rPr>
        <w:t>Transport Infrastructure Act 1994</w:t>
      </w:r>
    </w:p>
    <w:p w14:paraId="42086866" w14:textId="77777777" w:rsidR="00A010CD" w:rsidRDefault="00A010CD" w:rsidP="00302C6D">
      <w:pPr>
        <w:rPr>
          <w:i/>
          <w:iCs/>
          <w:lang w:eastAsia="en-AU"/>
        </w:rPr>
      </w:pPr>
      <w:r w:rsidRPr="00C4126C">
        <w:rPr>
          <w:i/>
          <w:iCs/>
          <w:lang w:eastAsia="en-AU"/>
        </w:rPr>
        <w:t>Transport Planning and Coordination Act 1994</w:t>
      </w:r>
    </w:p>
    <w:p w14:paraId="5799E69F" w14:textId="77777777" w:rsidR="00A010CD" w:rsidRDefault="00A010CD" w:rsidP="000F6407">
      <w:pPr>
        <w:spacing w:after="120"/>
        <w:rPr>
          <w:i/>
          <w:iCs/>
          <w:lang w:eastAsia="en-AU"/>
        </w:rPr>
      </w:pPr>
      <w:r w:rsidRPr="00EC3D81">
        <w:rPr>
          <w:i/>
          <w:iCs/>
          <w:lang w:eastAsia="en-AU"/>
        </w:rPr>
        <w:t>Transport Operations (Passenger Transport) Act 1994</w:t>
      </w:r>
    </w:p>
    <w:p w14:paraId="46314C3C" w14:textId="4E7E8A52" w:rsidR="00A010CD" w:rsidRPr="00971735" w:rsidRDefault="00A010CD" w:rsidP="00302C6D">
      <w:pPr>
        <w:rPr>
          <w:rStyle w:val="Strong"/>
        </w:rPr>
      </w:pPr>
      <w:r w:rsidRPr="00971735">
        <w:rPr>
          <w:rStyle w:val="Strong"/>
        </w:rPr>
        <w:t xml:space="preserve">TMR organisational policies </w:t>
      </w:r>
    </w:p>
    <w:p w14:paraId="6C4677E8" w14:textId="77777777" w:rsidR="00A010CD" w:rsidRDefault="00A010CD" w:rsidP="00302C6D">
      <w:pPr>
        <w:rPr>
          <w:lang w:eastAsia="en-AU"/>
        </w:rPr>
      </w:pPr>
      <w:r w:rsidRPr="00C4126C">
        <w:rPr>
          <w:lang w:eastAsia="en-AU"/>
        </w:rPr>
        <w:t>Road Safety Policy</w:t>
      </w:r>
    </w:p>
    <w:p w14:paraId="6672DE83" w14:textId="77777777" w:rsidR="00A010CD" w:rsidRPr="000F6407" w:rsidRDefault="00A010CD" w:rsidP="00302C6D">
      <w:pPr>
        <w:rPr>
          <w:lang w:eastAsia="en-AU"/>
        </w:rPr>
      </w:pPr>
      <w:r>
        <w:rPr>
          <w:lang w:eastAsia="en-AU"/>
        </w:rPr>
        <w:t xml:space="preserve">Cycling </w:t>
      </w:r>
      <w:r w:rsidRPr="000F6407">
        <w:rPr>
          <w:lang w:eastAsia="en-AU"/>
        </w:rPr>
        <w:t>Infrastructure Policy</w:t>
      </w:r>
    </w:p>
    <w:p w14:paraId="5FCF42B2" w14:textId="77777777" w:rsidR="00A010CD" w:rsidRPr="000F6407" w:rsidRDefault="00A010CD" w:rsidP="00302C6D">
      <w:pPr>
        <w:rPr>
          <w:lang w:eastAsia="en-AU"/>
        </w:rPr>
      </w:pPr>
      <w:r w:rsidRPr="000F6407">
        <w:rPr>
          <w:lang w:eastAsia="en-AU"/>
        </w:rPr>
        <w:lastRenderedPageBreak/>
        <w:t xml:space="preserve">Cultural Heritage Policy </w:t>
      </w:r>
    </w:p>
    <w:p w14:paraId="2D3E9137" w14:textId="77777777" w:rsidR="00A010CD" w:rsidRPr="000F6407" w:rsidRDefault="00A010CD" w:rsidP="00302C6D">
      <w:pPr>
        <w:rPr>
          <w:lang w:eastAsia="en-AU"/>
        </w:rPr>
      </w:pPr>
      <w:r w:rsidRPr="000F6407">
        <w:rPr>
          <w:lang w:eastAsia="en-AU"/>
        </w:rPr>
        <w:t xml:space="preserve">Environmental Sustainability Policy </w:t>
      </w:r>
    </w:p>
    <w:p w14:paraId="5455A9B2" w14:textId="77777777" w:rsidR="00A010CD" w:rsidRDefault="00A010CD" w:rsidP="00302C6D">
      <w:pPr>
        <w:rPr>
          <w:lang w:eastAsia="en-AU"/>
        </w:rPr>
      </w:pPr>
      <w:r w:rsidRPr="000F6407">
        <w:rPr>
          <w:lang w:eastAsia="en-AU"/>
        </w:rPr>
        <w:t>Information Management Policy</w:t>
      </w:r>
    </w:p>
    <w:p w14:paraId="2F69F56D" w14:textId="1A17ED37" w:rsidR="00790FC4" w:rsidRPr="00C4126C" w:rsidRDefault="00790FC4" w:rsidP="00302C6D">
      <w:pPr>
        <w:rPr>
          <w:lang w:eastAsia="en-AU"/>
        </w:rPr>
      </w:pPr>
      <w:r>
        <w:rPr>
          <w:lang w:eastAsia="en-AU"/>
        </w:rPr>
        <w:t>I</w:t>
      </w:r>
      <w:r w:rsidRPr="00790FC4">
        <w:rPr>
          <w:lang w:eastAsia="en-AU"/>
        </w:rPr>
        <w:t>nfrastructure Proposal Development Policy</w:t>
      </w:r>
    </w:p>
    <w:p w14:paraId="755BECC6" w14:textId="77777777" w:rsidR="00A010CD" w:rsidRDefault="00A010CD" w:rsidP="000F6407">
      <w:pPr>
        <w:spacing w:after="120"/>
        <w:rPr>
          <w:lang w:eastAsia="en-AU"/>
        </w:rPr>
      </w:pPr>
      <w:r w:rsidRPr="00C4126C">
        <w:rPr>
          <w:lang w:eastAsia="en-AU"/>
        </w:rPr>
        <w:t>Records Management Policy</w:t>
      </w:r>
    </w:p>
    <w:p w14:paraId="62976356" w14:textId="743BCDDA" w:rsidR="00A010CD" w:rsidRPr="00971735" w:rsidRDefault="0010099B" w:rsidP="00302C6D">
      <w:pPr>
        <w:rPr>
          <w:rStyle w:val="Strong"/>
        </w:rPr>
      </w:pPr>
      <w:r w:rsidRPr="00971735">
        <w:rPr>
          <w:rStyle w:val="Strong"/>
        </w:rPr>
        <w:t xml:space="preserve">Statewide </w:t>
      </w:r>
      <w:r w:rsidR="00A010CD" w:rsidRPr="00971735">
        <w:rPr>
          <w:rStyle w:val="Strong"/>
        </w:rPr>
        <w:t xml:space="preserve">Strategies </w:t>
      </w:r>
    </w:p>
    <w:p w14:paraId="64CABA60" w14:textId="77777777" w:rsidR="00A010CD" w:rsidRPr="00C4126C" w:rsidRDefault="00A010CD" w:rsidP="00302C6D">
      <w:pPr>
        <w:rPr>
          <w:i/>
          <w:iCs/>
          <w:lang w:eastAsia="en-AU"/>
        </w:rPr>
      </w:pPr>
      <w:r w:rsidRPr="00C4126C">
        <w:rPr>
          <w:i/>
          <w:iCs/>
          <w:lang w:eastAsia="en-AU"/>
        </w:rPr>
        <w:t xml:space="preserve">Queensland Transport Strategy: Our 30-year plan for transport in Queensland </w:t>
      </w:r>
    </w:p>
    <w:p w14:paraId="505CD070" w14:textId="0612D8AE" w:rsidR="00A010CD" w:rsidRDefault="00A010CD" w:rsidP="00302C6D">
      <w:pPr>
        <w:rPr>
          <w:i/>
          <w:iCs/>
          <w:lang w:eastAsia="en-AU"/>
        </w:rPr>
      </w:pPr>
      <w:r w:rsidRPr="00C4126C">
        <w:rPr>
          <w:i/>
          <w:iCs/>
          <w:lang w:eastAsia="en-AU"/>
        </w:rPr>
        <w:t>Transport Coordination Plan 2017</w:t>
      </w:r>
      <w:r w:rsidR="003A0561" w:rsidRPr="008B1E2C">
        <w:rPr>
          <w:i/>
          <w:iCs/>
          <w:color w:val="000000"/>
          <w:sz w:val="26"/>
          <w:szCs w:val="26"/>
          <w:shd w:val="clear" w:color="auto" w:fill="FFFFFF"/>
        </w:rPr>
        <w:t>–</w:t>
      </w:r>
      <w:r w:rsidRPr="00C4126C">
        <w:rPr>
          <w:i/>
          <w:iCs/>
          <w:lang w:eastAsia="en-AU"/>
        </w:rPr>
        <w:t>2027</w:t>
      </w:r>
    </w:p>
    <w:p w14:paraId="3E3E5202" w14:textId="1C0F3540" w:rsidR="0058512C" w:rsidRPr="00C4126C" w:rsidRDefault="0058512C" w:rsidP="00302C6D">
      <w:pPr>
        <w:rPr>
          <w:i/>
          <w:iCs/>
          <w:lang w:eastAsia="en-AU"/>
        </w:rPr>
      </w:pPr>
      <w:r w:rsidRPr="0058512C">
        <w:rPr>
          <w:i/>
          <w:iCs/>
          <w:lang w:eastAsia="en-AU"/>
        </w:rPr>
        <w:t>State Infrastructure Strategy 2022</w:t>
      </w:r>
      <w:r w:rsidR="00452585" w:rsidRPr="00F548FB">
        <w:rPr>
          <w:i/>
          <w:iCs/>
          <w:color w:val="000000"/>
          <w:sz w:val="26"/>
          <w:szCs w:val="26"/>
          <w:shd w:val="clear" w:color="auto" w:fill="FFFFFF"/>
        </w:rPr>
        <w:t>–</w:t>
      </w:r>
      <w:r w:rsidRPr="0058512C">
        <w:rPr>
          <w:i/>
          <w:iCs/>
          <w:lang w:eastAsia="en-AU"/>
        </w:rPr>
        <w:t>2042</w:t>
      </w:r>
    </w:p>
    <w:p w14:paraId="13B5312E" w14:textId="0E7A87E8" w:rsidR="00A010CD" w:rsidRPr="00C4126C" w:rsidRDefault="00A010CD" w:rsidP="00302C6D">
      <w:pPr>
        <w:rPr>
          <w:i/>
          <w:iCs/>
          <w:lang w:eastAsia="en-AU"/>
        </w:rPr>
      </w:pPr>
      <w:r w:rsidRPr="00C4126C">
        <w:rPr>
          <w:i/>
          <w:iCs/>
          <w:lang w:eastAsia="en-AU"/>
        </w:rPr>
        <w:t>Queensland Road Safety Strategy 2022</w:t>
      </w:r>
      <w:r w:rsidR="00452585" w:rsidRPr="00F548FB">
        <w:rPr>
          <w:i/>
          <w:iCs/>
          <w:color w:val="000000"/>
          <w:sz w:val="26"/>
          <w:szCs w:val="26"/>
          <w:shd w:val="clear" w:color="auto" w:fill="FFFFFF"/>
        </w:rPr>
        <w:t>–</w:t>
      </w:r>
      <w:r w:rsidRPr="00C4126C">
        <w:rPr>
          <w:i/>
          <w:iCs/>
          <w:lang w:eastAsia="en-AU"/>
        </w:rPr>
        <w:t>2031</w:t>
      </w:r>
    </w:p>
    <w:p w14:paraId="292C790B" w14:textId="0DBC96D7" w:rsidR="00A010CD" w:rsidRPr="00C4126C" w:rsidRDefault="00A010CD" w:rsidP="00302C6D">
      <w:pPr>
        <w:rPr>
          <w:i/>
          <w:iCs/>
          <w:lang w:eastAsia="en-AU"/>
        </w:rPr>
      </w:pPr>
      <w:r w:rsidRPr="00C4126C">
        <w:rPr>
          <w:i/>
          <w:iCs/>
          <w:lang w:eastAsia="en-AU"/>
        </w:rPr>
        <w:t>Queensland Walking Strategy 2019</w:t>
      </w:r>
      <w:r w:rsidR="00452585" w:rsidRPr="00F548FB">
        <w:rPr>
          <w:i/>
          <w:iCs/>
          <w:color w:val="000000"/>
          <w:sz w:val="26"/>
          <w:szCs w:val="26"/>
          <w:shd w:val="clear" w:color="auto" w:fill="FFFFFF"/>
        </w:rPr>
        <w:t>–</w:t>
      </w:r>
      <w:r w:rsidRPr="00C4126C">
        <w:rPr>
          <w:i/>
          <w:iCs/>
          <w:lang w:eastAsia="en-AU"/>
        </w:rPr>
        <w:t>2029</w:t>
      </w:r>
    </w:p>
    <w:p w14:paraId="2A2C71D7" w14:textId="16F37B7E" w:rsidR="00A010CD" w:rsidRPr="00EA2C19" w:rsidRDefault="00A010CD" w:rsidP="00302C6D">
      <w:pPr>
        <w:rPr>
          <w:i/>
          <w:iCs/>
          <w:lang w:eastAsia="en-AU"/>
        </w:rPr>
      </w:pPr>
      <w:r w:rsidRPr="00C4126C">
        <w:rPr>
          <w:i/>
          <w:iCs/>
          <w:lang w:eastAsia="en-AU"/>
        </w:rPr>
        <w:t xml:space="preserve">Queensland </w:t>
      </w:r>
      <w:r w:rsidRPr="00EA2C19">
        <w:rPr>
          <w:i/>
          <w:iCs/>
          <w:lang w:eastAsia="en-AU"/>
        </w:rPr>
        <w:t>Cycling Strategy 2017</w:t>
      </w:r>
      <w:r w:rsidR="00452585" w:rsidRPr="00F548FB">
        <w:rPr>
          <w:i/>
          <w:iCs/>
          <w:color w:val="000000"/>
          <w:sz w:val="26"/>
          <w:szCs w:val="26"/>
          <w:shd w:val="clear" w:color="auto" w:fill="FFFFFF"/>
        </w:rPr>
        <w:t>–</w:t>
      </w:r>
      <w:r w:rsidRPr="00EA2C19">
        <w:rPr>
          <w:i/>
          <w:iCs/>
          <w:lang w:eastAsia="en-AU"/>
        </w:rPr>
        <w:t>2027</w:t>
      </w:r>
    </w:p>
    <w:p w14:paraId="06180C97" w14:textId="32CD4FBB" w:rsidR="00A010CD" w:rsidRPr="00EA2C19" w:rsidRDefault="00A010CD" w:rsidP="00302C6D">
      <w:pPr>
        <w:rPr>
          <w:i/>
          <w:iCs/>
          <w:lang w:eastAsia="en-AU"/>
        </w:rPr>
      </w:pPr>
      <w:r w:rsidRPr="00EA2C19">
        <w:rPr>
          <w:i/>
          <w:iCs/>
          <w:lang w:eastAsia="en-AU"/>
        </w:rPr>
        <w:t>Queensland Freight Strategy</w:t>
      </w:r>
      <w:r w:rsidR="00452585" w:rsidRPr="00C4126C">
        <w:rPr>
          <w:i/>
          <w:iCs/>
          <w:lang w:eastAsia="en-AU"/>
        </w:rPr>
        <w:t>—</w:t>
      </w:r>
      <w:r w:rsidRPr="00EA2C19">
        <w:rPr>
          <w:i/>
          <w:iCs/>
          <w:lang w:eastAsia="en-AU"/>
        </w:rPr>
        <w:t>Advancing Freight</w:t>
      </w:r>
    </w:p>
    <w:p w14:paraId="63A7BB45" w14:textId="097893FA" w:rsidR="00A010CD" w:rsidRPr="00EA2C19" w:rsidRDefault="00A010CD" w:rsidP="00302C6D">
      <w:pPr>
        <w:rPr>
          <w:i/>
          <w:iCs/>
          <w:lang w:eastAsia="en-AU"/>
        </w:rPr>
      </w:pPr>
      <w:r w:rsidRPr="00EA2C19">
        <w:rPr>
          <w:i/>
          <w:iCs/>
          <w:lang w:eastAsia="en-AU"/>
        </w:rPr>
        <w:t>Queensland Zero Emission Strategy 2022</w:t>
      </w:r>
      <w:r w:rsidR="00452585" w:rsidRPr="00F548FB">
        <w:rPr>
          <w:i/>
          <w:iCs/>
          <w:color w:val="000000"/>
          <w:sz w:val="26"/>
          <w:szCs w:val="26"/>
          <w:shd w:val="clear" w:color="auto" w:fill="FFFFFF"/>
        </w:rPr>
        <w:t>–</w:t>
      </w:r>
      <w:r w:rsidRPr="00EA2C19">
        <w:rPr>
          <w:i/>
          <w:iCs/>
          <w:lang w:eastAsia="en-AU"/>
        </w:rPr>
        <w:t>2032</w:t>
      </w:r>
    </w:p>
    <w:p w14:paraId="34C82BAC" w14:textId="71D18588" w:rsidR="00A010CD" w:rsidRPr="00EA2C19" w:rsidRDefault="007A1A5A" w:rsidP="00302C6D">
      <w:pPr>
        <w:rPr>
          <w:i/>
          <w:iCs/>
        </w:rPr>
      </w:pPr>
      <w:hyperlink r:id="rId20" w:history="1">
        <w:r w:rsidR="00A010CD" w:rsidRPr="00EA2C19">
          <w:rPr>
            <w:i/>
            <w:iCs/>
          </w:rPr>
          <w:t>Creating Better Connections for Queenslanders: A ten-year plan for Queensland Passenger Transport</w:t>
        </w:r>
      </w:hyperlink>
    </w:p>
    <w:p w14:paraId="0F30FD8B" w14:textId="66FA67B1" w:rsidR="0010099B" w:rsidRDefault="00A010CD" w:rsidP="005B40CE">
      <w:pPr>
        <w:rPr>
          <w:i/>
          <w:iCs/>
        </w:rPr>
      </w:pPr>
      <w:r w:rsidRPr="00EA2C19">
        <w:rPr>
          <w:i/>
          <w:iCs/>
        </w:rPr>
        <w:t>TMR Network Optimisation Framework</w:t>
      </w:r>
    </w:p>
    <w:p w14:paraId="5994C343" w14:textId="6D4F1656" w:rsidR="008A32ED" w:rsidRDefault="008A32ED" w:rsidP="005B40CE">
      <w:pPr>
        <w:rPr>
          <w:i/>
          <w:iCs/>
        </w:rPr>
      </w:pPr>
      <w:r>
        <w:rPr>
          <w:i/>
          <w:iCs/>
        </w:rPr>
        <w:t>Accessibility and Inclusion Strategy</w:t>
      </w:r>
    </w:p>
    <w:p w14:paraId="30C7B18C" w14:textId="4746495B" w:rsidR="0010099B" w:rsidRDefault="0010099B" w:rsidP="0010099B">
      <w:pPr>
        <w:rPr>
          <w:i/>
          <w:iCs/>
        </w:rPr>
      </w:pPr>
      <w:r>
        <w:rPr>
          <w:i/>
          <w:iCs/>
        </w:rPr>
        <w:t>Regional Transport Plans</w:t>
      </w:r>
    </w:p>
    <w:p w14:paraId="2AAF5632" w14:textId="2B9C0D9E" w:rsidR="0010099B" w:rsidRDefault="0010099B" w:rsidP="005B40CE">
      <w:pPr>
        <w:spacing w:after="120"/>
        <w:rPr>
          <w:i/>
          <w:iCs/>
        </w:rPr>
      </w:pPr>
      <w:r>
        <w:rPr>
          <w:i/>
          <w:iCs/>
        </w:rPr>
        <w:t>ShapingSEQ</w:t>
      </w:r>
    </w:p>
    <w:p w14:paraId="7DCAD2DC" w14:textId="77777777" w:rsidR="00A010CD" w:rsidRPr="008271FB" w:rsidRDefault="00A010CD" w:rsidP="00302C6D">
      <w:pPr>
        <w:rPr>
          <w:rStyle w:val="Strong"/>
        </w:rPr>
      </w:pPr>
      <w:r w:rsidRPr="008271FB">
        <w:rPr>
          <w:rStyle w:val="Strong"/>
        </w:rPr>
        <w:t xml:space="preserve">Guidelines </w:t>
      </w:r>
    </w:p>
    <w:p w14:paraId="69084B1D" w14:textId="77777777" w:rsidR="00A010CD" w:rsidRPr="00EA2C19" w:rsidRDefault="00A010CD" w:rsidP="00302C6D">
      <w:pPr>
        <w:rPr>
          <w:i/>
          <w:iCs/>
          <w:lang w:eastAsia="en-AU"/>
        </w:rPr>
      </w:pPr>
      <w:r w:rsidRPr="00EA2C19">
        <w:rPr>
          <w:i/>
          <w:iCs/>
          <w:lang w:eastAsia="en-AU"/>
        </w:rPr>
        <w:t>TMR/LGAQ Cost Sharing Arrangement (section 6.1)</w:t>
      </w:r>
    </w:p>
    <w:p w14:paraId="7E3687D9" w14:textId="77777777" w:rsidR="00A010CD" w:rsidRPr="00EA2C19" w:rsidRDefault="00A010CD" w:rsidP="00302C6D">
      <w:pPr>
        <w:rPr>
          <w:i/>
          <w:iCs/>
          <w:lang w:eastAsia="en-AU"/>
        </w:rPr>
      </w:pPr>
      <w:r w:rsidRPr="00EA2C19">
        <w:rPr>
          <w:i/>
          <w:iCs/>
          <w:lang w:eastAsia="en-AU"/>
        </w:rPr>
        <w:t>TMR Pedestrian and Walking Guidance and Resources</w:t>
      </w:r>
    </w:p>
    <w:p w14:paraId="0D069AC1" w14:textId="77777777" w:rsidR="00A010CD" w:rsidRPr="00EA2C19" w:rsidRDefault="00A010CD" w:rsidP="00302C6D">
      <w:pPr>
        <w:rPr>
          <w:i/>
          <w:iCs/>
          <w:lang w:eastAsia="en-AU"/>
        </w:rPr>
      </w:pPr>
      <w:r w:rsidRPr="00EA2C19">
        <w:rPr>
          <w:i/>
          <w:iCs/>
          <w:lang w:eastAsia="en-AU"/>
        </w:rPr>
        <w:t xml:space="preserve">TMR Walking Network Planning Guidance </w:t>
      </w:r>
    </w:p>
    <w:p w14:paraId="516B8899" w14:textId="77777777" w:rsidR="00A010CD" w:rsidRPr="00EA2C19" w:rsidRDefault="00A010CD" w:rsidP="00302C6D">
      <w:pPr>
        <w:rPr>
          <w:i/>
          <w:iCs/>
          <w:lang w:eastAsia="en-AU"/>
        </w:rPr>
      </w:pPr>
      <w:r w:rsidRPr="00EA2C19">
        <w:rPr>
          <w:i/>
          <w:iCs/>
          <w:lang w:eastAsia="en-AU"/>
        </w:rPr>
        <w:t>TMR Technical pages for cycling and walking</w:t>
      </w:r>
    </w:p>
    <w:p w14:paraId="25642F0C" w14:textId="77777777" w:rsidR="00A010CD" w:rsidRPr="00EA2C19" w:rsidRDefault="00A010CD" w:rsidP="00302C6D">
      <w:pPr>
        <w:rPr>
          <w:i/>
          <w:iCs/>
          <w:lang w:eastAsia="en-AU"/>
        </w:rPr>
      </w:pPr>
      <w:r w:rsidRPr="00EA2C19">
        <w:rPr>
          <w:i/>
          <w:iCs/>
          <w:lang w:eastAsia="en-AU"/>
        </w:rPr>
        <w:t>TMR Principal Cycle Network Plans</w:t>
      </w:r>
    </w:p>
    <w:p w14:paraId="0F6DB48E" w14:textId="77777777" w:rsidR="00A010CD" w:rsidRPr="00EA2C19" w:rsidRDefault="00A010CD" w:rsidP="00302C6D">
      <w:pPr>
        <w:rPr>
          <w:i/>
          <w:iCs/>
          <w:lang w:eastAsia="en-AU"/>
        </w:rPr>
      </w:pPr>
      <w:r w:rsidRPr="00EA2C19">
        <w:rPr>
          <w:i/>
          <w:iCs/>
          <w:lang w:eastAsia="en-AU"/>
        </w:rPr>
        <w:t>TMR Active Transport Investment Program Community and Stakeholder Engagement Guide</w:t>
      </w:r>
    </w:p>
    <w:p w14:paraId="7EB47337" w14:textId="77777777" w:rsidR="00A010CD" w:rsidRPr="00EA2C19" w:rsidRDefault="00A010CD" w:rsidP="00302C6D">
      <w:pPr>
        <w:rPr>
          <w:i/>
          <w:iCs/>
          <w:lang w:eastAsia="en-AU"/>
        </w:rPr>
      </w:pPr>
      <w:r w:rsidRPr="00EA2C19">
        <w:rPr>
          <w:i/>
          <w:iCs/>
          <w:lang w:eastAsia="en-AU"/>
        </w:rPr>
        <w:t>TMR Public Transport Infrastructure Manual</w:t>
      </w:r>
    </w:p>
    <w:p w14:paraId="6BB4F7B1" w14:textId="044F4E90" w:rsidR="00A010CD" w:rsidRPr="00EA2C19" w:rsidRDefault="00A010CD" w:rsidP="00302C6D">
      <w:pPr>
        <w:rPr>
          <w:i/>
          <w:iCs/>
          <w:lang w:eastAsia="en-AU"/>
        </w:rPr>
      </w:pPr>
      <w:r w:rsidRPr="00EA2C19">
        <w:rPr>
          <w:i/>
          <w:iCs/>
          <w:lang w:eastAsia="en-AU"/>
        </w:rPr>
        <w:t>TM</w:t>
      </w:r>
      <w:r w:rsidR="00223BBE">
        <w:rPr>
          <w:i/>
          <w:iCs/>
          <w:lang w:eastAsia="en-AU"/>
        </w:rPr>
        <w:t>R</w:t>
      </w:r>
      <w:r w:rsidRPr="00EA2C19">
        <w:rPr>
          <w:i/>
          <w:iCs/>
          <w:lang w:eastAsia="en-AU"/>
        </w:rPr>
        <w:t xml:space="preserve"> Traffic and Road Use Management</w:t>
      </w:r>
    </w:p>
    <w:p w14:paraId="188F451A" w14:textId="77777777" w:rsidR="00A010CD" w:rsidRPr="000F6407" w:rsidRDefault="00A010CD" w:rsidP="00302C6D">
      <w:pPr>
        <w:rPr>
          <w:i/>
          <w:iCs/>
          <w:lang w:eastAsia="en-AU"/>
        </w:rPr>
      </w:pPr>
      <w:r w:rsidRPr="000F6407">
        <w:rPr>
          <w:i/>
          <w:iCs/>
          <w:lang w:eastAsia="en-AU"/>
        </w:rPr>
        <w:t>TMR Road Planning and Design Manual</w:t>
      </w:r>
    </w:p>
    <w:p w14:paraId="4B5ABD67" w14:textId="77777777" w:rsidR="00A010CD" w:rsidRPr="000F6407" w:rsidRDefault="00A010CD" w:rsidP="00302C6D">
      <w:pPr>
        <w:rPr>
          <w:i/>
          <w:iCs/>
          <w:lang w:eastAsia="en-AU"/>
        </w:rPr>
      </w:pPr>
      <w:r w:rsidRPr="000F6407">
        <w:rPr>
          <w:i/>
          <w:iCs/>
          <w:lang w:eastAsia="en-AU"/>
        </w:rPr>
        <w:t>IPWEA (Queensland) Street Planning and Design Manual</w:t>
      </w:r>
    </w:p>
    <w:p w14:paraId="7320F2C7" w14:textId="77777777" w:rsidR="00A010CD" w:rsidRPr="000F6407" w:rsidRDefault="00A010CD" w:rsidP="00302C6D">
      <w:pPr>
        <w:rPr>
          <w:i/>
          <w:iCs/>
          <w:lang w:eastAsia="en-AU"/>
        </w:rPr>
      </w:pPr>
      <w:r w:rsidRPr="000F6407">
        <w:rPr>
          <w:i/>
          <w:iCs/>
          <w:lang w:eastAsia="en-AU"/>
        </w:rPr>
        <w:t>TMR Cultural Heritage Process Manual</w:t>
      </w:r>
    </w:p>
    <w:p w14:paraId="520EBEBE" w14:textId="77777777" w:rsidR="00A010CD" w:rsidRDefault="00A010CD" w:rsidP="00375AFE">
      <w:pPr>
        <w:rPr>
          <w:i/>
          <w:iCs/>
          <w:lang w:eastAsia="en-AU"/>
        </w:rPr>
      </w:pPr>
      <w:r w:rsidRPr="000F6407">
        <w:rPr>
          <w:i/>
          <w:iCs/>
          <w:lang w:eastAsia="en-AU"/>
        </w:rPr>
        <w:t>TMR Environmental Processes Manual</w:t>
      </w:r>
    </w:p>
    <w:p w14:paraId="5CD629A1" w14:textId="0DFC9697" w:rsidR="00375AFE" w:rsidRDefault="00375AFE" w:rsidP="00E0364B">
      <w:pPr>
        <w:spacing w:after="120"/>
        <w:rPr>
          <w:i/>
          <w:iCs/>
          <w:lang w:eastAsia="en-AU"/>
        </w:rPr>
      </w:pPr>
      <w:r>
        <w:rPr>
          <w:i/>
          <w:iCs/>
          <w:lang w:eastAsia="en-AU"/>
        </w:rPr>
        <w:t>QDesign</w:t>
      </w:r>
    </w:p>
    <w:p w14:paraId="1AB86202" w14:textId="650FD63D" w:rsidR="00A010CD" w:rsidRPr="008271FB" w:rsidRDefault="00375AFE" w:rsidP="00302C6D">
      <w:pPr>
        <w:rPr>
          <w:rStyle w:val="Strong"/>
        </w:rPr>
      </w:pPr>
      <w:r w:rsidRPr="008271FB">
        <w:rPr>
          <w:rStyle w:val="Strong"/>
        </w:rPr>
        <w:t>National Strategies and Policy</w:t>
      </w:r>
    </w:p>
    <w:p w14:paraId="2E94982E" w14:textId="77777777" w:rsidR="00A010CD" w:rsidRPr="00EA2C19" w:rsidRDefault="00A010CD" w:rsidP="00302C6D">
      <w:pPr>
        <w:rPr>
          <w:i/>
          <w:iCs/>
          <w:lang w:eastAsia="en-AU"/>
        </w:rPr>
      </w:pPr>
      <w:r w:rsidRPr="00EA2C19">
        <w:rPr>
          <w:i/>
          <w:iCs/>
          <w:lang w:eastAsia="en-AU"/>
        </w:rPr>
        <w:t>Austroads Guide to Road Design</w:t>
      </w:r>
    </w:p>
    <w:p w14:paraId="159EF20F" w14:textId="77777777" w:rsidR="00A010CD" w:rsidRPr="00EA2C19" w:rsidRDefault="00A010CD" w:rsidP="00302C6D">
      <w:pPr>
        <w:rPr>
          <w:i/>
          <w:iCs/>
          <w:lang w:eastAsia="en-AU"/>
        </w:rPr>
      </w:pPr>
      <w:r w:rsidRPr="00EA2C19">
        <w:rPr>
          <w:i/>
          <w:iCs/>
          <w:lang w:eastAsia="en-AU"/>
        </w:rPr>
        <w:t xml:space="preserve">Austroads Movement and Place Frameworks guidance </w:t>
      </w:r>
      <w:r w:rsidRPr="008B1E2C">
        <w:rPr>
          <w:lang w:eastAsia="en-AU"/>
        </w:rPr>
        <w:t>(in preparation)</w:t>
      </w:r>
    </w:p>
    <w:p w14:paraId="0DB8D8A8" w14:textId="77777777" w:rsidR="00A010CD" w:rsidRDefault="00A010CD" w:rsidP="00302C6D">
      <w:pPr>
        <w:rPr>
          <w:i/>
          <w:iCs/>
          <w:lang w:eastAsia="en-AU"/>
        </w:rPr>
      </w:pPr>
      <w:r w:rsidRPr="00EA2C19">
        <w:rPr>
          <w:i/>
          <w:iCs/>
          <w:lang w:eastAsia="en-AU"/>
        </w:rPr>
        <w:t>National Urban Freight Planning Principles</w:t>
      </w:r>
    </w:p>
    <w:p w14:paraId="6046D1F2" w14:textId="2B03D6B4" w:rsidR="005308D4" w:rsidRPr="00EA2C19" w:rsidRDefault="005308D4" w:rsidP="00302C6D">
      <w:pPr>
        <w:rPr>
          <w:i/>
          <w:iCs/>
          <w:lang w:eastAsia="en-AU"/>
        </w:rPr>
      </w:pPr>
      <w:r>
        <w:rPr>
          <w:i/>
          <w:iCs/>
          <w:lang w:eastAsia="en-AU"/>
        </w:rPr>
        <w:t>National Road Safety Strategy</w:t>
      </w:r>
      <w:r w:rsidR="00463213">
        <w:rPr>
          <w:i/>
          <w:iCs/>
          <w:lang w:eastAsia="en-AU"/>
        </w:rPr>
        <w:t xml:space="preserve"> 2021</w:t>
      </w:r>
      <w:r w:rsidR="00452585" w:rsidRPr="00F548FB">
        <w:rPr>
          <w:i/>
          <w:iCs/>
          <w:color w:val="000000"/>
          <w:sz w:val="26"/>
          <w:szCs w:val="26"/>
          <w:shd w:val="clear" w:color="auto" w:fill="FFFFFF"/>
        </w:rPr>
        <w:t>–</w:t>
      </w:r>
      <w:r w:rsidR="00463213">
        <w:rPr>
          <w:i/>
          <w:iCs/>
          <w:lang w:eastAsia="en-AU"/>
        </w:rPr>
        <w:t>2030</w:t>
      </w:r>
    </w:p>
    <w:p w14:paraId="0B1282B2" w14:textId="5BE31EA5" w:rsidR="00A010CD" w:rsidRPr="003B0E9C" w:rsidRDefault="00A010CD" w:rsidP="009D4E1B">
      <w:pPr>
        <w:pStyle w:val="AltHeading1"/>
        <w:tabs>
          <w:tab w:val="clear" w:pos="1134"/>
          <w:tab w:val="left" w:pos="900"/>
        </w:tabs>
        <w:spacing w:before="240" w:after="120"/>
        <w:ind w:left="0" w:right="707" w:firstLine="0"/>
      </w:pPr>
      <w:bookmarkStart w:id="40" w:name="_Toc173245774"/>
      <w:r w:rsidRPr="00C4126C">
        <w:lastRenderedPageBreak/>
        <w:t>Authority</w:t>
      </w:r>
      <w:bookmarkEnd w:id="40"/>
    </w:p>
    <w:p w14:paraId="602CAC59" w14:textId="77777777" w:rsidR="00A010CD" w:rsidRPr="00C4126C" w:rsidRDefault="00A010CD" w:rsidP="008271FB">
      <w:pPr>
        <w:pStyle w:val="AltHeading2"/>
        <w:rPr>
          <w:rStyle w:val="Heading2Char"/>
          <w:bCs w:val="0"/>
          <w:iCs w:val="0"/>
          <w:color w:val="7AB800"/>
          <w:kern w:val="32"/>
          <w:sz w:val="16"/>
          <w:szCs w:val="16"/>
        </w:rPr>
      </w:pPr>
      <w:bookmarkStart w:id="41" w:name="_Toc173245775"/>
      <w:r w:rsidRPr="00C4126C">
        <w:t>Accountability</w:t>
      </w:r>
      <w:bookmarkEnd w:id="41"/>
    </w:p>
    <w:p w14:paraId="2CDCA953" w14:textId="77777777" w:rsidR="00A010CD" w:rsidRPr="00C4126C" w:rsidRDefault="00A010CD" w:rsidP="00302C6D">
      <w:pPr>
        <w:rPr>
          <w:lang w:eastAsia="en-AU"/>
        </w:rPr>
      </w:pPr>
      <w:r w:rsidRPr="00C4126C">
        <w:rPr>
          <w:lang w:eastAsia="en-AU"/>
        </w:rPr>
        <w:t>The accountable officer is the Director-General of TMR.</w:t>
      </w:r>
    </w:p>
    <w:p w14:paraId="2858AA93" w14:textId="314AB672" w:rsidR="00A010CD" w:rsidRPr="00C4126C" w:rsidRDefault="00A010CD" w:rsidP="009D4E1B">
      <w:pPr>
        <w:pStyle w:val="AltHeading1"/>
        <w:tabs>
          <w:tab w:val="clear" w:pos="1134"/>
          <w:tab w:val="left" w:pos="900"/>
        </w:tabs>
        <w:spacing w:before="240" w:after="120"/>
        <w:ind w:left="0" w:right="707" w:firstLine="0"/>
        <w:rPr>
          <w:rStyle w:val="Heading1Char"/>
          <w:rFonts w:cs="Arial"/>
          <w:color w:val="003C69"/>
          <w:sz w:val="16"/>
          <w:szCs w:val="16"/>
        </w:rPr>
      </w:pPr>
      <w:bookmarkStart w:id="42" w:name="_Toc173245776"/>
      <w:r w:rsidRPr="00C4126C">
        <w:t>Responsibility</w:t>
      </w:r>
      <w:bookmarkStart w:id="43" w:name="_Toc145593582"/>
      <w:bookmarkEnd w:id="42"/>
      <w:bookmarkEnd w:id="43"/>
    </w:p>
    <w:p w14:paraId="6C947F93" w14:textId="77777777" w:rsidR="00A010CD" w:rsidRPr="00C4126C" w:rsidRDefault="00A010CD" w:rsidP="008271FB">
      <w:pPr>
        <w:pStyle w:val="AltHeading2"/>
        <w:rPr>
          <w:rStyle w:val="Heading2Char"/>
          <w:bCs w:val="0"/>
          <w:iCs w:val="0"/>
          <w:color w:val="7AB800"/>
          <w:kern w:val="32"/>
          <w:sz w:val="16"/>
          <w:szCs w:val="16"/>
        </w:rPr>
      </w:pPr>
      <w:bookmarkStart w:id="44" w:name="_Toc173245777"/>
      <w:r w:rsidRPr="00C4126C">
        <w:t>Functional responsibility</w:t>
      </w:r>
      <w:bookmarkStart w:id="45" w:name="_Toc145593583"/>
      <w:bookmarkEnd w:id="44"/>
      <w:bookmarkEnd w:id="45"/>
    </w:p>
    <w:p w14:paraId="17EF10C2" w14:textId="77777777"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The General Manager, Transport Policy Branch, will monitor and revise the policy every two years.</w:t>
      </w:r>
      <w:bookmarkStart w:id="46" w:name="_Toc145593584"/>
      <w:bookmarkStart w:id="47" w:name="_Toc145593585"/>
      <w:bookmarkEnd w:id="46"/>
      <w:bookmarkEnd w:id="47"/>
    </w:p>
    <w:p w14:paraId="49629ABF" w14:textId="514F3CEB"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The implementation of the Operational Framework will be governed by a TMR collaborative </w:t>
      </w:r>
      <w:r w:rsidR="005201FA">
        <w:rPr>
          <w:rFonts w:asciiTheme="minorHAnsi" w:hAnsiTheme="minorHAnsi" w:cstheme="minorHAnsi"/>
          <w:szCs w:val="24"/>
          <w:lang w:eastAsia="en-AU"/>
        </w:rPr>
        <w:t>governance</w:t>
      </w:r>
      <w:r w:rsidRPr="00FB3188">
        <w:rPr>
          <w:rFonts w:asciiTheme="minorHAnsi" w:hAnsiTheme="minorHAnsi" w:cstheme="minorHAnsi"/>
          <w:szCs w:val="24"/>
          <w:lang w:eastAsia="en-AU"/>
        </w:rPr>
        <w:t xml:space="preserve"> group (</w:t>
      </w:r>
      <w:r w:rsidRPr="00FB3188">
        <w:rPr>
          <w:rFonts w:asciiTheme="minorHAnsi" w:hAnsiTheme="minorHAnsi" w:cstheme="minorHAnsi"/>
          <w:i/>
          <w:iCs/>
          <w:szCs w:val="24"/>
          <w:lang w:eastAsia="en-AU"/>
        </w:rPr>
        <w:t>refer 12. Supporting documents</w:t>
      </w:r>
      <w:r w:rsidRPr="00FB3188">
        <w:rPr>
          <w:rFonts w:asciiTheme="minorHAnsi" w:hAnsiTheme="minorHAnsi" w:cstheme="minorHAnsi"/>
          <w:szCs w:val="24"/>
          <w:lang w:eastAsia="en-AU"/>
        </w:rPr>
        <w:t>).</w:t>
      </w:r>
    </w:p>
    <w:p w14:paraId="66D77B09" w14:textId="77777777" w:rsidR="00A010CD" w:rsidRPr="00C4126C" w:rsidRDefault="00A010CD" w:rsidP="009D4E1B">
      <w:pPr>
        <w:pStyle w:val="AltHeading1"/>
        <w:tabs>
          <w:tab w:val="clear" w:pos="1134"/>
          <w:tab w:val="num" w:pos="900"/>
        </w:tabs>
        <w:spacing w:before="240" w:after="120"/>
        <w:ind w:left="0" w:firstLine="0"/>
        <w:rPr>
          <w:rStyle w:val="Heading1Char"/>
          <w:rFonts w:cs="Arial"/>
          <w:sz w:val="16"/>
          <w:szCs w:val="16"/>
        </w:rPr>
      </w:pPr>
      <w:bookmarkStart w:id="48" w:name="_Toc173245778"/>
      <w:r w:rsidRPr="00C4126C">
        <w:t>Supporting documents</w:t>
      </w:r>
      <w:bookmarkEnd w:id="48"/>
    </w:p>
    <w:p w14:paraId="7397E674" w14:textId="661AED17" w:rsidR="00A010CD" w:rsidRPr="00FB3188" w:rsidRDefault="00A010CD" w:rsidP="00FB3188">
      <w:pPr>
        <w:spacing w:after="120"/>
        <w:rPr>
          <w:rFonts w:asciiTheme="minorHAnsi" w:hAnsiTheme="minorHAnsi" w:cstheme="minorHAnsi"/>
          <w:szCs w:val="24"/>
          <w:lang w:eastAsia="en-AU"/>
        </w:rPr>
      </w:pPr>
      <w:r w:rsidRPr="008B1E2C">
        <w:rPr>
          <w:rFonts w:asciiTheme="minorHAnsi" w:hAnsiTheme="minorHAnsi" w:cstheme="minorHAnsi"/>
          <w:b/>
          <w:bCs/>
          <w:szCs w:val="24"/>
          <w:lang w:eastAsia="en-AU"/>
        </w:rPr>
        <w:t>Introduc</w:t>
      </w:r>
      <w:r w:rsidR="009510B4">
        <w:rPr>
          <w:rFonts w:asciiTheme="minorHAnsi" w:hAnsiTheme="minorHAnsi" w:cstheme="minorHAnsi"/>
          <w:b/>
          <w:bCs/>
          <w:szCs w:val="24"/>
          <w:lang w:eastAsia="en-AU"/>
        </w:rPr>
        <w:t>ing</w:t>
      </w:r>
      <w:r w:rsidRPr="008B1E2C">
        <w:rPr>
          <w:rFonts w:asciiTheme="minorHAnsi" w:hAnsiTheme="minorHAnsi" w:cstheme="minorHAnsi"/>
          <w:b/>
          <w:bCs/>
          <w:szCs w:val="24"/>
          <w:lang w:eastAsia="en-AU"/>
        </w:rPr>
        <w:t xml:space="preserve"> Movement and Place</w:t>
      </w:r>
      <w:r w:rsidRPr="00FB3188">
        <w:rPr>
          <w:rFonts w:asciiTheme="minorHAnsi" w:hAnsiTheme="minorHAnsi" w:cstheme="minorHAnsi"/>
          <w:szCs w:val="24"/>
          <w:lang w:eastAsia="en-AU"/>
        </w:rPr>
        <w:t xml:space="preserve"> provides more background information to the process and why it is important and relevant to Queensland.</w:t>
      </w:r>
      <w:r w:rsidR="00553530">
        <w:rPr>
          <w:rFonts w:asciiTheme="minorHAnsi" w:hAnsiTheme="minorHAnsi" w:cstheme="minorHAnsi"/>
          <w:szCs w:val="24"/>
          <w:lang w:eastAsia="en-AU"/>
        </w:rPr>
        <w:t xml:space="preserve"> It e</w:t>
      </w:r>
      <w:r w:rsidR="00553530">
        <w:t xml:space="preserve">xplains what the </w:t>
      </w:r>
      <w:r w:rsidR="003E7400">
        <w:rPr>
          <w:i/>
          <w:iCs/>
        </w:rPr>
        <w:t>m</w:t>
      </w:r>
      <w:r w:rsidR="00553530" w:rsidRPr="00852653">
        <w:rPr>
          <w:i/>
          <w:iCs/>
        </w:rPr>
        <w:t xml:space="preserve">ovement and </w:t>
      </w:r>
      <w:r w:rsidR="003E7400">
        <w:rPr>
          <w:i/>
          <w:iCs/>
        </w:rPr>
        <w:t>p</w:t>
      </w:r>
      <w:r w:rsidR="00553530" w:rsidRPr="00852653">
        <w:rPr>
          <w:i/>
          <w:iCs/>
        </w:rPr>
        <w:t>lace</w:t>
      </w:r>
      <w:r w:rsidR="00553530">
        <w:t xml:space="preserve"> concept is, why it is important and how it will be applied across TMR.</w:t>
      </w:r>
    </w:p>
    <w:p w14:paraId="2570D658" w14:textId="5750F6C8"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An accompanying </w:t>
      </w:r>
      <w:r w:rsidRPr="008B1E2C">
        <w:rPr>
          <w:rFonts w:asciiTheme="minorHAnsi" w:hAnsiTheme="minorHAnsi" w:cstheme="minorHAnsi"/>
          <w:b/>
          <w:bCs/>
          <w:szCs w:val="24"/>
          <w:lang w:eastAsia="en-AU"/>
        </w:rPr>
        <w:t>Practitioner Guidance</w:t>
      </w:r>
      <w:r w:rsidRPr="00FB3188">
        <w:rPr>
          <w:rFonts w:asciiTheme="minorHAnsi" w:hAnsiTheme="minorHAnsi" w:cstheme="minorHAnsi"/>
          <w:szCs w:val="24"/>
          <w:lang w:eastAsia="en-AU"/>
        </w:rPr>
        <w:t xml:space="preserve"> </w:t>
      </w:r>
      <w:r w:rsidR="00BB14DF">
        <w:rPr>
          <w:rFonts w:asciiTheme="minorHAnsi" w:hAnsiTheme="minorHAnsi" w:cstheme="minorHAnsi"/>
          <w:szCs w:val="24"/>
          <w:lang w:eastAsia="en-AU"/>
        </w:rPr>
        <w:t>e</w:t>
      </w:r>
      <w:r w:rsidR="00BB14DF">
        <w:t>xplains how practitioners can apply the Policy to decision making, planning, design and management of our transport network to maximise benefits for our customers, while supporting a context-sensitive application of MPP elements to projects across Queensland.</w:t>
      </w:r>
    </w:p>
    <w:p w14:paraId="74DBBE84" w14:textId="58183969" w:rsidR="00A010CD" w:rsidRPr="00FB3188"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 xml:space="preserve">The Policy and accompanying </w:t>
      </w:r>
      <w:r w:rsidR="009510B4">
        <w:rPr>
          <w:rFonts w:asciiTheme="minorHAnsi" w:hAnsiTheme="minorHAnsi" w:cstheme="minorHAnsi"/>
          <w:szCs w:val="24"/>
          <w:lang w:eastAsia="en-AU"/>
        </w:rPr>
        <w:t xml:space="preserve">Introducing Movement and Place and </w:t>
      </w:r>
      <w:r w:rsidRPr="00FB3188">
        <w:rPr>
          <w:rFonts w:asciiTheme="minorHAnsi" w:hAnsiTheme="minorHAnsi" w:cstheme="minorHAnsi"/>
          <w:szCs w:val="24"/>
          <w:lang w:eastAsia="en-AU"/>
        </w:rPr>
        <w:t xml:space="preserve">Practitioner Guidance are the first elements of a Movement and Place </w:t>
      </w:r>
      <w:r w:rsidRPr="008B1E2C">
        <w:rPr>
          <w:rFonts w:asciiTheme="minorHAnsi" w:hAnsiTheme="minorHAnsi" w:cstheme="minorHAnsi"/>
          <w:b/>
          <w:bCs/>
          <w:szCs w:val="24"/>
          <w:lang w:eastAsia="en-AU"/>
        </w:rPr>
        <w:t>Operational Framework</w:t>
      </w:r>
      <w:r w:rsidRPr="00FB3188">
        <w:rPr>
          <w:rFonts w:asciiTheme="minorHAnsi" w:hAnsiTheme="minorHAnsi" w:cstheme="minorHAnsi"/>
          <w:szCs w:val="24"/>
          <w:lang w:eastAsia="en-AU"/>
        </w:rPr>
        <w:t xml:space="preserve"> (Figure </w:t>
      </w:r>
      <w:r w:rsidR="00BF449A">
        <w:rPr>
          <w:rFonts w:asciiTheme="minorHAnsi" w:hAnsiTheme="minorHAnsi" w:cstheme="minorHAnsi"/>
          <w:szCs w:val="24"/>
          <w:lang w:eastAsia="en-AU"/>
        </w:rPr>
        <w:t>2</w:t>
      </w:r>
      <w:r w:rsidRPr="00FB3188">
        <w:rPr>
          <w:rFonts w:asciiTheme="minorHAnsi" w:hAnsiTheme="minorHAnsi" w:cstheme="minorHAnsi"/>
          <w:szCs w:val="24"/>
          <w:lang w:eastAsia="en-AU"/>
        </w:rPr>
        <w:t xml:space="preserve">) which will embed </w:t>
      </w:r>
      <w:r w:rsidRPr="00FB3188">
        <w:rPr>
          <w:rFonts w:asciiTheme="minorHAnsi" w:hAnsiTheme="minorHAnsi" w:cstheme="minorHAnsi"/>
          <w:i/>
          <w:iCs/>
          <w:szCs w:val="24"/>
          <w:lang w:eastAsia="en-AU"/>
        </w:rPr>
        <w:t>movement and place</w:t>
      </w:r>
      <w:r w:rsidRPr="00FB3188">
        <w:rPr>
          <w:rFonts w:asciiTheme="minorHAnsi" w:hAnsiTheme="minorHAnsi" w:cstheme="minorHAnsi"/>
          <w:szCs w:val="24"/>
          <w:lang w:eastAsia="en-AU"/>
        </w:rPr>
        <w:t xml:space="preserve"> over the long term</w:t>
      </w:r>
      <w:r w:rsidR="00B02DDE">
        <w:rPr>
          <w:rFonts w:asciiTheme="minorHAnsi" w:hAnsiTheme="minorHAnsi" w:cstheme="minorHAnsi"/>
          <w:szCs w:val="24"/>
          <w:lang w:eastAsia="en-AU"/>
        </w:rPr>
        <w:t>,</w:t>
      </w:r>
      <w:r w:rsidRPr="00FB3188">
        <w:rPr>
          <w:rFonts w:asciiTheme="minorHAnsi" w:hAnsiTheme="minorHAnsi" w:cstheme="minorHAnsi"/>
          <w:szCs w:val="24"/>
          <w:lang w:eastAsia="en-AU"/>
        </w:rPr>
        <w:t xml:space="preserve"> to drive organisational change and grow capability to deliver </w:t>
      </w:r>
      <w:r w:rsidRPr="00FB3188">
        <w:rPr>
          <w:rFonts w:asciiTheme="minorHAnsi" w:hAnsiTheme="minorHAnsi" w:cstheme="minorHAnsi"/>
          <w:i/>
          <w:iCs/>
          <w:szCs w:val="24"/>
          <w:lang w:eastAsia="en-AU"/>
        </w:rPr>
        <w:t>movement and place</w:t>
      </w:r>
      <w:r w:rsidRPr="00FB3188">
        <w:rPr>
          <w:rFonts w:asciiTheme="minorHAnsi" w:hAnsiTheme="minorHAnsi" w:cstheme="minorHAnsi"/>
          <w:szCs w:val="24"/>
          <w:lang w:eastAsia="en-AU"/>
        </w:rPr>
        <w:t xml:space="preserve"> outcomes.</w:t>
      </w:r>
    </w:p>
    <w:p w14:paraId="2D28B1E9" w14:textId="797DC4D9" w:rsidR="0070277A" w:rsidRDefault="00A010CD" w:rsidP="00FB3188">
      <w:pPr>
        <w:spacing w:after="120"/>
        <w:rPr>
          <w:rFonts w:asciiTheme="minorHAnsi" w:hAnsiTheme="minorHAnsi" w:cstheme="minorHAnsi"/>
          <w:szCs w:val="24"/>
          <w:lang w:eastAsia="en-AU"/>
        </w:rPr>
      </w:pPr>
      <w:r w:rsidRPr="00FB3188">
        <w:rPr>
          <w:rFonts w:asciiTheme="minorHAnsi" w:hAnsiTheme="minorHAnsi" w:cstheme="minorHAnsi"/>
          <w:szCs w:val="24"/>
          <w:lang w:eastAsia="en-AU"/>
        </w:rPr>
        <w:t>The collaborative</w:t>
      </w:r>
      <w:r w:rsidR="00B766D4">
        <w:rPr>
          <w:rFonts w:asciiTheme="minorHAnsi" w:hAnsiTheme="minorHAnsi" w:cstheme="minorHAnsi"/>
          <w:szCs w:val="24"/>
          <w:lang w:eastAsia="en-AU"/>
        </w:rPr>
        <w:t>, cross-disciplinary</w:t>
      </w:r>
      <w:r w:rsidRPr="00FB3188">
        <w:rPr>
          <w:rFonts w:asciiTheme="minorHAnsi" w:hAnsiTheme="minorHAnsi" w:cstheme="minorHAnsi"/>
          <w:szCs w:val="24"/>
          <w:lang w:eastAsia="en-AU"/>
        </w:rPr>
        <w:t xml:space="preserve"> </w:t>
      </w:r>
      <w:r w:rsidR="001E3456">
        <w:rPr>
          <w:rFonts w:asciiTheme="minorHAnsi" w:hAnsiTheme="minorHAnsi" w:cstheme="minorHAnsi"/>
          <w:szCs w:val="24"/>
          <w:lang w:eastAsia="en-AU"/>
        </w:rPr>
        <w:t>governance</w:t>
      </w:r>
      <w:r w:rsidRPr="00FB3188">
        <w:rPr>
          <w:rFonts w:asciiTheme="minorHAnsi" w:hAnsiTheme="minorHAnsi" w:cstheme="minorHAnsi"/>
          <w:szCs w:val="24"/>
          <w:lang w:eastAsia="en-AU"/>
        </w:rPr>
        <w:t xml:space="preserve"> group and structure oversees the implementation of the Movement and Place Operational Framework.</w:t>
      </w:r>
    </w:p>
    <w:p w14:paraId="4C12B9DC" w14:textId="77777777" w:rsidR="00095C22" w:rsidRDefault="00095C22">
      <w:pPr>
        <w:spacing w:after="160" w:line="259" w:lineRule="auto"/>
        <w:rPr>
          <w:rFonts w:asciiTheme="minorHAnsi" w:hAnsiTheme="minorHAnsi" w:cstheme="minorHAnsi"/>
          <w:i/>
          <w:iCs/>
          <w:szCs w:val="24"/>
          <w:lang w:eastAsia="en-AU"/>
        </w:rPr>
      </w:pPr>
      <w:r>
        <w:rPr>
          <w:rFonts w:asciiTheme="minorHAnsi" w:hAnsiTheme="minorHAnsi" w:cstheme="minorHAnsi"/>
          <w:i/>
          <w:iCs/>
          <w:szCs w:val="24"/>
          <w:lang w:eastAsia="en-AU"/>
        </w:rPr>
        <w:br w:type="page"/>
      </w:r>
    </w:p>
    <w:p w14:paraId="7890A332" w14:textId="77777777" w:rsidR="00DF14D0" w:rsidRDefault="00095C22" w:rsidP="00DF14D0">
      <w:pPr>
        <w:pStyle w:val="FigureCaption"/>
        <w:rPr>
          <w:lang w:eastAsia="en-AU"/>
        </w:rPr>
      </w:pPr>
      <w:r w:rsidRPr="00FB3188">
        <w:rPr>
          <w:lang w:eastAsia="en-AU"/>
        </w:rPr>
        <w:lastRenderedPageBreak/>
        <w:t xml:space="preserve">Figure </w:t>
      </w:r>
      <w:r>
        <w:rPr>
          <w:lang w:eastAsia="en-AU"/>
        </w:rPr>
        <w:t>2</w:t>
      </w:r>
      <w:r w:rsidRPr="00FB3188">
        <w:rPr>
          <w:lang w:eastAsia="en-AU"/>
        </w:rPr>
        <w:t xml:space="preserve">: TMR Movement and Place </w:t>
      </w:r>
      <w:r w:rsidRPr="00D929FC">
        <w:t>operational</w:t>
      </w:r>
      <w:r w:rsidRPr="00FB3188">
        <w:rPr>
          <w:lang w:eastAsia="en-AU"/>
        </w:rPr>
        <w:t xml:space="preserve"> framework</w:t>
      </w:r>
    </w:p>
    <w:p w14:paraId="5BD4B4A1" w14:textId="76D154B6" w:rsidR="00F024C6" w:rsidRPr="00DF14D0" w:rsidRDefault="009E5D4B" w:rsidP="00DF14D0">
      <w:pPr>
        <w:pStyle w:val="FigureCaption"/>
        <w:rPr>
          <w:lang w:eastAsia="en-AU"/>
        </w:rPr>
      </w:pPr>
      <w:r>
        <w:rPr>
          <w:noProof/>
        </w:rPr>
        <w:drawing>
          <wp:inline distT="0" distB="0" distL="0" distR="0" wp14:anchorId="0E90217F" wp14:editId="7907DCA7">
            <wp:extent cx="5759450" cy="370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246"/>
                    <a:stretch/>
                  </pic:blipFill>
                  <pic:spPr bwMode="auto">
                    <a:xfrm>
                      <a:off x="0" y="0"/>
                      <a:ext cx="5759450" cy="3709420"/>
                    </a:xfrm>
                    <a:prstGeom prst="rect">
                      <a:avLst/>
                    </a:prstGeom>
                    <a:noFill/>
                    <a:ln>
                      <a:noFill/>
                    </a:ln>
                    <a:extLst>
                      <a:ext uri="{53640926-AAD7-44D8-BBD7-CCE9431645EC}">
                        <a14:shadowObscured xmlns:a14="http://schemas.microsoft.com/office/drawing/2010/main"/>
                      </a:ext>
                    </a:extLst>
                  </pic:spPr>
                </pic:pic>
              </a:graphicData>
            </a:graphic>
          </wp:inline>
        </w:drawing>
      </w:r>
    </w:p>
    <w:p w14:paraId="652B39B8" w14:textId="77777777" w:rsidR="00A010CD" w:rsidRPr="00C4126C" w:rsidRDefault="00A010CD" w:rsidP="009D4E1B">
      <w:pPr>
        <w:pStyle w:val="AltHeading1"/>
        <w:tabs>
          <w:tab w:val="clear" w:pos="1134"/>
          <w:tab w:val="left" w:pos="900"/>
        </w:tabs>
        <w:spacing w:before="240" w:after="120"/>
        <w:ind w:left="0" w:firstLine="0"/>
        <w:rPr>
          <w:rStyle w:val="Heading1Char"/>
          <w:rFonts w:cs="Arial"/>
          <w:color w:val="003C69"/>
          <w:sz w:val="16"/>
          <w:szCs w:val="16"/>
        </w:rPr>
      </w:pPr>
      <w:bookmarkStart w:id="49" w:name="_Toc173245779"/>
      <w:r w:rsidRPr="00C4126C">
        <w:t>Implementation and review</w:t>
      </w:r>
      <w:bookmarkEnd w:id="49"/>
    </w:p>
    <w:p w14:paraId="46522BA6" w14:textId="70FE0EC4" w:rsidR="00A010CD" w:rsidRPr="00C738D3" w:rsidRDefault="00A010CD" w:rsidP="00C738D3">
      <w:pPr>
        <w:spacing w:after="120"/>
        <w:rPr>
          <w:rFonts w:asciiTheme="minorHAnsi" w:hAnsiTheme="minorHAnsi" w:cstheme="minorHAnsi"/>
          <w:szCs w:val="24"/>
          <w:lang w:eastAsia="en-AU"/>
        </w:rPr>
      </w:pPr>
      <w:r w:rsidRPr="00C738D3">
        <w:rPr>
          <w:rFonts w:asciiTheme="minorHAnsi" w:hAnsiTheme="minorHAnsi" w:cstheme="minorHAnsi"/>
          <w:szCs w:val="24"/>
          <w:lang w:eastAsia="en-AU"/>
        </w:rPr>
        <w:t>The Policy takes effect</w:t>
      </w:r>
      <w:r w:rsidR="000356EE" w:rsidRPr="00C738D3">
        <w:rPr>
          <w:rFonts w:asciiTheme="minorHAnsi" w:hAnsiTheme="minorHAnsi" w:cstheme="minorHAnsi"/>
          <w:szCs w:val="24"/>
          <w:lang w:eastAsia="en-AU"/>
        </w:rPr>
        <w:t xml:space="preserve"> </w:t>
      </w:r>
      <w:r w:rsidR="000356EE" w:rsidRPr="00B011C9">
        <w:rPr>
          <w:rFonts w:asciiTheme="minorHAnsi" w:hAnsiTheme="minorHAnsi" w:cstheme="minorHAnsi"/>
          <w:szCs w:val="24"/>
          <w:lang w:eastAsia="en-AU"/>
        </w:rPr>
        <w:t>from</w:t>
      </w:r>
      <w:r w:rsidRPr="00B011C9">
        <w:rPr>
          <w:rFonts w:asciiTheme="minorHAnsi" w:hAnsiTheme="minorHAnsi" w:cstheme="minorHAnsi"/>
          <w:szCs w:val="24"/>
          <w:lang w:eastAsia="en-AU"/>
        </w:rPr>
        <w:t xml:space="preserve"> </w:t>
      </w:r>
      <w:r w:rsidR="00B011C9" w:rsidRPr="00B011C9">
        <w:rPr>
          <w:rFonts w:asciiTheme="minorHAnsi" w:hAnsiTheme="minorHAnsi" w:cstheme="minorHAnsi"/>
          <w:szCs w:val="24"/>
          <w:lang w:eastAsia="en-AU"/>
        </w:rPr>
        <w:t xml:space="preserve">30 July </w:t>
      </w:r>
      <w:r w:rsidR="00084F98" w:rsidRPr="00B011C9">
        <w:rPr>
          <w:rFonts w:asciiTheme="minorHAnsi" w:hAnsiTheme="minorHAnsi" w:cstheme="minorHAnsi"/>
          <w:szCs w:val="24"/>
          <w:lang w:eastAsia="en-AU"/>
        </w:rPr>
        <w:t>2024</w:t>
      </w:r>
      <w:r w:rsidRPr="00B011C9">
        <w:rPr>
          <w:rFonts w:asciiTheme="minorHAnsi" w:hAnsiTheme="minorHAnsi" w:cstheme="minorHAnsi"/>
          <w:szCs w:val="24"/>
          <w:lang w:eastAsia="en-AU"/>
        </w:rPr>
        <w:t>. In recognition that there will be a need to align and integrate the Policy into existing procedures</w:t>
      </w:r>
      <w:r w:rsidRPr="00C738D3">
        <w:rPr>
          <w:rFonts w:asciiTheme="minorHAnsi" w:hAnsiTheme="minorHAnsi" w:cstheme="minorHAnsi"/>
          <w:szCs w:val="24"/>
          <w:lang w:eastAsia="en-AU"/>
        </w:rPr>
        <w:t>, implementation will be guided by the Movement and Place Operational Framework, and progressively developed and refined through pilot projects. The Movement and Place Practitioner Guidance provides further detail on broad process steps that are designed to be able to be adapted to and tested on current projects.</w:t>
      </w:r>
    </w:p>
    <w:p w14:paraId="312F5934" w14:textId="77777777" w:rsidR="00134532" w:rsidRDefault="00A010CD" w:rsidP="00C738D3">
      <w:pPr>
        <w:spacing w:after="120"/>
        <w:rPr>
          <w:rFonts w:asciiTheme="minorHAnsi" w:hAnsiTheme="minorHAnsi" w:cstheme="minorHAnsi"/>
          <w:szCs w:val="24"/>
          <w:lang w:eastAsia="en-AU"/>
        </w:rPr>
      </w:pPr>
      <w:r w:rsidRPr="00C738D3">
        <w:rPr>
          <w:rFonts w:asciiTheme="minorHAnsi" w:hAnsiTheme="minorHAnsi" w:cstheme="minorHAnsi"/>
          <w:szCs w:val="24"/>
          <w:lang w:eastAsia="en-AU"/>
        </w:rPr>
        <w:t>The Policy will be monitored and revised every two years by the General Manager, Transport Policy Branch, Policy, Planning and Investment Division.</w:t>
      </w:r>
      <w:r w:rsidR="00134532">
        <w:rPr>
          <w:rFonts w:asciiTheme="minorHAnsi" w:hAnsiTheme="minorHAnsi" w:cstheme="minorHAnsi"/>
          <w:szCs w:val="24"/>
          <w:lang w:eastAsia="en-AU"/>
        </w:rPr>
        <w:br w:type="page"/>
      </w:r>
    </w:p>
    <w:p w14:paraId="0DFB46FD" w14:textId="2B3BBA5B" w:rsidR="00A010CD" w:rsidRPr="00C4126C" w:rsidRDefault="00A010CD" w:rsidP="009D4E1B">
      <w:pPr>
        <w:pStyle w:val="AltHeading1"/>
        <w:tabs>
          <w:tab w:val="clear" w:pos="1134"/>
          <w:tab w:val="num" w:pos="900"/>
        </w:tabs>
        <w:spacing w:before="240" w:after="120"/>
        <w:ind w:left="0" w:right="707" w:firstLine="0"/>
        <w:rPr>
          <w:sz w:val="22"/>
        </w:rPr>
      </w:pPr>
      <w:bookmarkStart w:id="50" w:name="_Toc173245780"/>
      <w:r w:rsidRPr="00C4126C">
        <w:lastRenderedPageBreak/>
        <w:t>Definitions</w:t>
      </w:r>
      <w:bookmarkEnd w:id="50"/>
    </w:p>
    <w:tbl>
      <w:tblPr>
        <w:tblStyle w:val="TMR"/>
        <w:tblW w:w="5086" w:type="pct"/>
        <w:tblLook w:val="0620" w:firstRow="1" w:lastRow="0" w:firstColumn="0" w:lastColumn="0" w:noHBand="1" w:noVBand="1"/>
      </w:tblPr>
      <w:tblGrid>
        <w:gridCol w:w="3704"/>
        <w:gridCol w:w="5522"/>
      </w:tblGrid>
      <w:tr w:rsidR="00A010CD" w:rsidRPr="00C4126C" w14:paraId="2AE956F4" w14:textId="77777777" w:rsidTr="00CC2C37">
        <w:trPr>
          <w:cnfStyle w:val="100000000000" w:firstRow="1" w:lastRow="0" w:firstColumn="0" w:lastColumn="0" w:oddVBand="0" w:evenVBand="0" w:oddHBand="0" w:evenHBand="0" w:firstRowFirstColumn="0" w:firstRowLastColumn="0" w:lastRowFirstColumn="0" w:lastRowLastColumn="0"/>
          <w:trHeight w:val="293"/>
        </w:trPr>
        <w:tc>
          <w:tcPr>
            <w:tcW w:w="0" w:type="dxa"/>
          </w:tcPr>
          <w:p w14:paraId="7BDF1BA4" w14:textId="77777777" w:rsidR="00A010CD" w:rsidRPr="00CC2C37" w:rsidRDefault="00A010CD" w:rsidP="003E204F">
            <w:pPr>
              <w:spacing w:line="0" w:lineRule="atLeast"/>
              <w:rPr>
                <w:b/>
                <w:bCs/>
                <w:szCs w:val="24"/>
                <w:lang w:eastAsia="en-AU"/>
              </w:rPr>
            </w:pPr>
            <w:bookmarkStart w:id="51" w:name="_Hlk527030823"/>
            <w:r w:rsidRPr="00CC2C37">
              <w:rPr>
                <w:b/>
                <w:bCs/>
                <w:szCs w:val="24"/>
                <w:lang w:eastAsia="en-AU"/>
              </w:rPr>
              <w:t>Term</w:t>
            </w:r>
          </w:p>
        </w:tc>
        <w:tc>
          <w:tcPr>
            <w:tcW w:w="0" w:type="dxa"/>
          </w:tcPr>
          <w:p w14:paraId="39346A93" w14:textId="77777777" w:rsidR="00A010CD" w:rsidRPr="00CC2C37" w:rsidRDefault="00A010CD" w:rsidP="003E204F">
            <w:pPr>
              <w:spacing w:line="0" w:lineRule="atLeast"/>
              <w:rPr>
                <w:b/>
                <w:bCs/>
                <w:szCs w:val="24"/>
                <w:lang w:eastAsia="en-AU"/>
              </w:rPr>
            </w:pPr>
            <w:r w:rsidRPr="00CC2C37">
              <w:rPr>
                <w:b/>
                <w:bCs/>
                <w:szCs w:val="24"/>
                <w:lang w:eastAsia="en-AU"/>
              </w:rPr>
              <w:t>Explanation</w:t>
            </w:r>
          </w:p>
        </w:tc>
      </w:tr>
      <w:tr w:rsidR="00A010CD" w:rsidRPr="00C4126C" w14:paraId="197B3A8F" w14:textId="77777777" w:rsidTr="00CC2C37">
        <w:trPr>
          <w:trHeight w:val="631"/>
        </w:trPr>
        <w:tc>
          <w:tcPr>
            <w:tcW w:w="0" w:type="dxa"/>
          </w:tcPr>
          <w:p w14:paraId="54B9A867" w14:textId="339D1DF4" w:rsidR="00A010CD" w:rsidRPr="00CC2C37" w:rsidRDefault="00A010CD" w:rsidP="00401B22">
            <w:pPr>
              <w:rPr>
                <w:b/>
                <w:bCs/>
                <w:szCs w:val="24"/>
              </w:rPr>
            </w:pPr>
            <w:r w:rsidRPr="00CC2C37">
              <w:rPr>
                <w:b/>
                <w:bCs/>
                <w:szCs w:val="24"/>
              </w:rPr>
              <w:t>Active Travel/Active Transport</w:t>
            </w:r>
          </w:p>
        </w:tc>
        <w:tc>
          <w:tcPr>
            <w:tcW w:w="0" w:type="dxa"/>
          </w:tcPr>
          <w:p w14:paraId="717E687B" w14:textId="41584F42" w:rsidR="00A010CD" w:rsidRPr="00CC2C37" w:rsidRDefault="003859A2" w:rsidP="00401B22">
            <w:pPr>
              <w:rPr>
                <w:szCs w:val="24"/>
              </w:rPr>
            </w:pPr>
            <w:r w:rsidRPr="00CC2C37">
              <w:rPr>
                <w:szCs w:val="24"/>
              </w:rPr>
              <w:t>I</w:t>
            </w:r>
            <w:r w:rsidR="00A010CD" w:rsidRPr="00CC2C37">
              <w:rPr>
                <w:szCs w:val="24"/>
              </w:rPr>
              <w:t>ncorporates cycling, walking and other physically active ways of travelling that can be undertaken alone or combined with public transport.</w:t>
            </w:r>
          </w:p>
        </w:tc>
      </w:tr>
      <w:tr w:rsidR="00A010CD" w:rsidRPr="00C4126C" w14:paraId="1B2AFFF9" w14:textId="77777777" w:rsidTr="00CC2C37">
        <w:trPr>
          <w:trHeight w:val="287"/>
        </w:trPr>
        <w:tc>
          <w:tcPr>
            <w:tcW w:w="0" w:type="dxa"/>
          </w:tcPr>
          <w:p w14:paraId="27824DCD" w14:textId="77777777" w:rsidR="00A010CD" w:rsidRPr="00CC2C37" w:rsidRDefault="00A010CD" w:rsidP="00401B22">
            <w:pPr>
              <w:rPr>
                <w:b/>
                <w:bCs/>
                <w:szCs w:val="24"/>
              </w:rPr>
            </w:pPr>
            <w:r w:rsidRPr="00CC2C37">
              <w:rPr>
                <w:b/>
                <w:bCs/>
                <w:szCs w:val="24"/>
              </w:rPr>
              <w:t>Micro-mobility</w:t>
            </w:r>
          </w:p>
        </w:tc>
        <w:tc>
          <w:tcPr>
            <w:tcW w:w="0" w:type="dxa"/>
          </w:tcPr>
          <w:p w14:paraId="4CEF80BF" w14:textId="77777777" w:rsidR="00A010CD" w:rsidRPr="00CC2C37" w:rsidRDefault="00A010CD" w:rsidP="00401B22">
            <w:pPr>
              <w:rPr>
                <w:szCs w:val="24"/>
              </w:rPr>
            </w:pPr>
            <w:r w:rsidRPr="00CC2C37">
              <w:rPr>
                <w:szCs w:val="24"/>
              </w:rPr>
              <w:t>Includes personal mobility devices such as e-scooters.</w:t>
            </w:r>
          </w:p>
        </w:tc>
      </w:tr>
      <w:tr w:rsidR="00A010CD" w:rsidRPr="00C4126C" w14:paraId="3C5B9BFC" w14:textId="77777777" w:rsidTr="00CC2C37">
        <w:trPr>
          <w:trHeight w:val="278"/>
        </w:trPr>
        <w:tc>
          <w:tcPr>
            <w:tcW w:w="0" w:type="dxa"/>
          </w:tcPr>
          <w:p w14:paraId="5BAAAC1A" w14:textId="77777777" w:rsidR="00A010CD" w:rsidRPr="00CC2C37" w:rsidRDefault="00A010CD" w:rsidP="00401B22">
            <w:pPr>
              <w:rPr>
                <w:b/>
                <w:bCs/>
                <w:szCs w:val="24"/>
              </w:rPr>
            </w:pPr>
            <w:r w:rsidRPr="00CC2C37">
              <w:rPr>
                <w:b/>
                <w:bCs/>
                <w:szCs w:val="24"/>
              </w:rPr>
              <w:t>Modal hierarchy</w:t>
            </w:r>
          </w:p>
        </w:tc>
        <w:tc>
          <w:tcPr>
            <w:tcW w:w="0" w:type="dxa"/>
          </w:tcPr>
          <w:p w14:paraId="3D994793" w14:textId="77777777" w:rsidR="00A010CD" w:rsidRPr="00CC2C37" w:rsidRDefault="00A010CD" w:rsidP="00401B22">
            <w:pPr>
              <w:rPr>
                <w:szCs w:val="24"/>
              </w:rPr>
            </w:pPr>
            <w:r w:rsidRPr="00CC2C37">
              <w:rPr>
                <w:szCs w:val="24"/>
              </w:rPr>
              <w:t>The ordered priority of transport modes within a transport corridor or a study area.</w:t>
            </w:r>
          </w:p>
        </w:tc>
      </w:tr>
      <w:tr w:rsidR="00A010CD" w:rsidRPr="00C4126C" w14:paraId="35F20CD0" w14:textId="77777777" w:rsidTr="00CC2C37">
        <w:trPr>
          <w:trHeight w:val="1007"/>
        </w:trPr>
        <w:tc>
          <w:tcPr>
            <w:tcW w:w="0" w:type="dxa"/>
          </w:tcPr>
          <w:p w14:paraId="217BD443" w14:textId="77777777" w:rsidR="00A010CD" w:rsidRPr="00CC2C37" w:rsidRDefault="00A010CD" w:rsidP="00401B22">
            <w:pPr>
              <w:rPr>
                <w:b/>
                <w:bCs/>
                <w:szCs w:val="24"/>
              </w:rPr>
            </w:pPr>
            <w:r w:rsidRPr="00CC2C37">
              <w:rPr>
                <w:b/>
                <w:bCs/>
                <w:szCs w:val="24"/>
              </w:rPr>
              <w:t>Movement</w:t>
            </w:r>
          </w:p>
        </w:tc>
        <w:tc>
          <w:tcPr>
            <w:tcW w:w="0" w:type="dxa"/>
          </w:tcPr>
          <w:p w14:paraId="268ACD48" w14:textId="34E47277" w:rsidR="00A010CD" w:rsidRPr="00CC2C37" w:rsidRDefault="00A010CD" w:rsidP="00401B22">
            <w:pPr>
              <w:rPr>
                <w:szCs w:val="24"/>
              </w:rPr>
            </w:pPr>
            <w:r w:rsidRPr="00CC2C37">
              <w:rPr>
                <w:szCs w:val="24"/>
              </w:rPr>
              <w:t>The movement of people and goods by a transport mode (</w:t>
            </w:r>
            <w:r w:rsidR="00154110" w:rsidRPr="00CC2C37">
              <w:rPr>
                <w:szCs w:val="24"/>
              </w:rPr>
              <w:t>for example,</w:t>
            </w:r>
            <w:r w:rsidRPr="00CC2C37">
              <w:rPr>
                <w:szCs w:val="24"/>
              </w:rPr>
              <w:t xml:space="preserve"> active or public transport, private vehicle), typically covering movement to and from, through or within a transport system, or a combination.</w:t>
            </w:r>
          </w:p>
        </w:tc>
      </w:tr>
      <w:tr w:rsidR="00A010CD" w:rsidRPr="00C4126C" w14:paraId="1C5858C9" w14:textId="77777777" w:rsidTr="00CC2C37">
        <w:trPr>
          <w:trHeight w:val="1007"/>
        </w:trPr>
        <w:tc>
          <w:tcPr>
            <w:tcW w:w="0" w:type="dxa"/>
          </w:tcPr>
          <w:p w14:paraId="21E2503F" w14:textId="77777777" w:rsidR="00A010CD" w:rsidRPr="00CC2C37" w:rsidRDefault="00A010CD" w:rsidP="00401B22">
            <w:pPr>
              <w:rPr>
                <w:b/>
                <w:bCs/>
                <w:szCs w:val="24"/>
              </w:rPr>
            </w:pPr>
            <w:r w:rsidRPr="00CC2C37">
              <w:rPr>
                <w:b/>
                <w:bCs/>
                <w:szCs w:val="24"/>
              </w:rPr>
              <w:t>Movement and place</w:t>
            </w:r>
          </w:p>
        </w:tc>
        <w:tc>
          <w:tcPr>
            <w:tcW w:w="0" w:type="dxa"/>
          </w:tcPr>
          <w:p w14:paraId="022D3BB6" w14:textId="77777777" w:rsidR="00A010CD" w:rsidRPr="00CC2C37" w:rsidRDefault="00A010CD" w:rsidP="00401B22">
            <w:pPr>
              <w:rPr>
                <w:szCs w:val="24"/>
              </w:rPr>
            </w:pPr>
            <w:r w:rsidRPr="00CC2C37">
              <w:rPr>
                <w:szCs w:val="24"/>
              </w:rPr>
              <w:t>Internationally recognised best practice planning approach that helps decision makers balance the movement of people and goods to, from and within a transport system, with places that are essential to social and economic activity.</w:t>
            </w:r>
          </w:p>
        </w:tc>
      </w:tr>
      <w:tr w:rsidR="00A010CD" w:rsidRPr="00C4126C" w14:paraId="16726416" w14:textId="77777777" w:rsidTr="00CC2C37">
        <w:trPr>
          <w:trHeight w:val="1007"/>
        </w:trPr>
        <w:tc>
          <w:tcPr>
            <w:tcW w:w="0" w:type="dxa"/>
          </w:tcPr>
          <w:p w14:paraId="0452DC2F" w14:textId="74A48D21" w:rsidR="00A010CD" w:rsidRPr="00CC2C37" w:rsidRDefault="00A010CD" w:rsidP="00401B22">
            <w:pPr>
              <w:rPr>
                <w:b/>
                <w:bCs/>
                <w:szCs w:val="24"/>
              </w:rPr>
            </w:pPr>
            <w:r w:rsidRPr="00CC2C37">
              <w:rPr>
                <w:b/>
                <w:bCs/>
                <w:szCs w:val="24"/>
              </w:rPr>
              <w:t xml:space="preserve">Operational Framework </w:t>
            </w:r>
          </w:p>
        </w:tc>
        <w:tc>
          <w:tcPr>
            <w:tcW w:w="0" w:type="dxa"/>
          </w:tcPr>
          <w:p w14:paraId="79D5B44A" w14:textId="4794034D" w:rsidR="00A010CD" w:rsidRPr="00CC2C37" w:rsidRDefault="00A010CD" w:rsidP="00401B22">
            <w:pPr>
              <w:rPr>
                <w:i/>
                <w:szCs w:val="24"/>
              </w:rPr>
            </w:pPr>
            <w:r w:rsidRPr="00CC2C37">
              <w:rPr>
                <w:szCs w:val="24"/>
              </w:rPr>
              <w:t xml:space="preserve">The operational framework </w:t>
            </w:r>
            <w:r w:rsidR="00AB00BE" w:rsidRPr="00CC2C37">
              <w:rPr>
                <w:szCs w:val="24"/>
              </w:rPr>
              <w:t>is TMR</w:t>
            </w:r>
            <w:r w:rsidR="00D353AA" w:rsidRPr="00CC2C37">
              <w:rPr>
                <w:szCs w:val="24"/>
              </w:rPr>
              <w:t>’</w:t>
            </w:r>
            <w:r w:rsidR="00AB00BE" w:rsidRPr="00CC2C37">
              <w:rPr>
                <w:szCs w:val="24"/>
              </w:rPr>
              <w:t xml:space="preserve">s Movement and Place methodology, procedures, policy and tools to guide and support implementation of Movement and Place across the </w:t>
            </w:r>
            <w:r w:rsidR="00705012" w:rsidRPr="00CC2C37">
              <w:rPr>
                <w:szCs w:val="24"/>
              </w:rPr>
              <w:t>depar</w:t>
            </w:r>
            <w:r w:rsidR="00154110" w:rsidRPr="00CC2C37">
              <w:rPr>
                <w:szCs w:val="24"/>
              </w:rPr>
              <w:t>t</w:t>
            </w:r>
            <w:r w:rsidR="00705012" w:rsidRPr="00CC2C37">
              <w:rPr>
                <w:szCs w:val="24"/>
              </w:rPr>
              <w:t>ment</w:t>
            </w:r>
            <w:r w:rsidR="00AB00BE" w:rsidRPr="00CC2C37">
              <w:rPr>
                <w:szCs w:val="24"/>
              </w:rPr>
              <w:t xml:space="preserve">. </w:t>
            </w:r>
          </w:p>
        </w:tc>
      </w:tr>
      <w:tr w:rsidR="00A010CD" w:rsidRPr="00C4126C" w14:paraId="3D30A4C8" w14:textId="77777777" w:rsidTr="00CC2C37">
        <w:trPr>
          <w:trHeight w:val="863"/>
        </w:trPr>
        <w:tc>
          <w:tcPr>
            <w:tcW w:w="0" w:type="dxa"/>
          </w:tcPr>
          <w:p w14:paraId="3D76545E" w14:textId="77777777" w:rsidR="00A010CD" w:rsidRPr="00CC2C37" w:rsidRDefault="00A010CD" w:rsidP="00401B22">
            <w:pPr>
              <w:rPr>
                <w:b/>
                <w:bCs/>
                <w:szCs w:val="24"/>
              </w:rPr>
            </w:pPr>
            <w:r w:rsidRPr="00CC2C37">
              <w:rPr>
                <w:b/>
                <w:bCs/>
                <w:szCs w:val="24"/>
              </w:rPr>
              <w:t>Pedestrian</w:t>
            </w:r>
          </w:p>
        </w:tc>
        <w:tc>
          <w:tcPr>
            <w:tcW w:w="0" w:type="dxa"/>
          </w:tcPr>
          <w:p w14:paraId="7F8F72B6" w14:textId="77777777" w:rsidR="00A010CD" w:rsidRPr="00CC2C37" w:rsidRDefault="00A010CD" w:rsidP="00401B22">
            <w:pPr>
              <w:rPr>
                <w:szCs w:val="24"/>
              </w:rPr>
            </w:pPr>
            <w:r w:rsidRPr="00CC2C37">
              <w:rPr>
                <w:szCs w:val="24"/>
              </w:rPr>
              <w:t>This definition includes a person walking, a person operating motorised mobility device, a person in a wheelchair, or a person pushing a wheelchair.</w:t>
            </w:r>
          </w:p>
        </w:tc>
      </w:tr>
      <w:tr w:rsidR="00A010CD" w:rsidRPr="00C4126C" w14:paraId="2FD4E7DE" w14:textId="77777777" w:rsidTr="00CC2C37">
        <w:trPr>
          <w:trHeight w:val="763"/>
        </w:trPr>
        <w:tc>
          <w:tcPr>
            <w:tcW w:w="0" w:type="dxa"/>
          </w:tcPr>
          <w:p w14:paraId="0E2E5F75" w14:textId="77777777" w:rsidR="00A010CD" w:rsidRPr="00CC2C37" w:rsidRDefault="00A010CD" w:rsidP="00401B22">
            <w:pPr>
              <w:rPr>
                <w:b/>
                <w:bCs/>
                <w:szCs w:val="24"/>
              </w:rPr>
            </w:pPr>
            <w:r w:rsidRPr="00CC2C37">
              <w:rPr>
                <w:b/>
                <w:bCs/>
                <w:szCs w:val="24"/>
              </w:rPr>
              <w:t>Place</w:t>
            </w:r>
          </w:p>
        </w:tc>
        <w:tc>
          <w:tcPr>
            <w:tcW w:w="0" w:type="dxa"/>
          </w:tcPr>
          <w:p w14:paraId="2410B3F8" w14:textId="125BD125" w:rsidR="00A010CD" w:rsidRPr="00CC2C37" w:rsidRDefault="00A010CD" w:rsidP="00401B22">
            <w:pPr>
              <w:rPr>
                <w:szCs w:val="24"/>
              </w:rPr>
            </w:pPr>
            <w:r w:rsidRPr="00CC2C37">
              <w:rPr>
                <w:szCs w:val="24"/>
              </w:rPr>
              <w:t xml:space="preserve">A place is a space or location </w:t>
            </w:r>
            <w:r w:rsidR="00644524" w:rsidRPr="00CC2C37">
              <w:rPr>
                <w:szCs w:val="24"/>
              </w:rPr>
              <w:t>which has meaning shaped by the activity of people within it, its social and economic value to the community, and its physical and natural setting</w:t>
            </w:r>
            <w:r w:rsidRPr="00CC2C37">
              <w:rPr>
                <w:szCs w:val="24"/>
              </w:rPr>
              <w:t>.</w:t>
            </w:r>
          </w:p>
        </w:tc>
      </w:tr>
      <w:tr w:rsidR="00A010CD" w:rsidRPr="00C4126C" w14:paraId="655B8B5F" w14:textId="77777777" w:rsidTr="00CC2C37">
        <w:trPr>
          <w:trHeight w:val="551"/>
        </w:trPr>
        <w:tc>
          <w:tcPr>
            <w:tcW w:w="0" w:type="dxa"/>
          </w:tcPr>
          <w:p w14:paraId="15D00106" w14:textId="1A924989" w:rsidR="00A010CD" w:rsidRPr="00CC2C37" w:rsidRDefault="00A010CD" w:rsidP="00401B22">
            <w:pPr>
              <w:rPr>
                <w:b/>
                <w:bCs/>
                <w:szCs w:val="24"/>
              </w:rPr>
            </w:pPr>
            <w:r w:rsidRPr="00CC2C37">
              <w:rPr>
                <w:b/>
                <w:bCs/>
                <w:szCs w:val="24"/>
              </w:rPr>
              <w:t>Predict and provide</w:t>
            </w:r>
          </w:p>
        </w:tc>
        <w:tc>
          <w:tcPr>
            <w:tcW w:w="0" w:type="dxa"/>
          </w:tcPr>
          <w:p w14:paraId="67C400B2" w14:textId="1AB336F4" w:rsidR="00A010CD" w:rsidRPr="00CC2C37" w:rsidRDefault="00A010CD" w:rsidP="00401B22">
            <w:pPr>
              <w:rPr>
                <w:szCs w:val="24"/>
              </w:rPr>
            </w:pPr>
            <w:r w:rsidRPr="00CC2C37">
              <w:rPr>
                <w:szCs w:val="24"/>
              </w:rPr>
              <w:t>A problem-solving method where future requirements are predicted based on past and present behaviours, and a response is designed to meet them.</w:t>
            </w:r>
          </w:p>
        </w:tc>
      </w:tr>
      <w:tr w:rsidR="00A010CD" w:rsidRPr="00C4126C" w14:paraId="778C4C26" w14:textId="77777777" w:rsidTr="0082315A">
        <w:trPr>
          <w:trHeight w:val="1418"/>
        </w:trPr>
        <w:tc>
          <w:tcPr>
            <w:tcW w:w="0" w:type="dxa"/>
          </w:tcPr>
          <w:p w14:paraId="03FEAC22" w14:textId="77777777" w:rsidR="00A010CD" w:rsidRPr="00CC2C37" w:rsidRDefault="00A010CD" w:rsidP="00401B22">
            <w:pPr>
              <w:rPr>
                <w:b/>
                <w:bCs/>
                <w:szCs w:val="24"/>
              </w:rPr>
            </w:pPr>
            <w:r w:rsidRPr="00CC2C37">
              <w:rPr>
                <w:b/>
                <w:bCs/>
                <w:szCs w:val="24"/>
              </w:rPr>
              <w:t>Transport system</w:t>
            </w:r>
          </w:p>
        </w:tc>
        <w:tc>
          <w:tcPr>
            <w:tcW w:w="0" w:type="dxa"/>
          </w:tcPr>
          <w:p w14:paraId="5C1E480D" w14:textId="77777777" w:rsidR="00A010CD" w:rsidRPr="00CC2C37" w:rsidRDefault="00A010CD" w:rsidP="00401B22">
            <w:pPr>
              <w:rPr>
                <w:szCs w:val="24"/>
              </w:rPr>
            </w:pPr>
            <w:r w:rsidRPr="00CC2C37">
              <w:rPr>
                <w:szCs w:val="24"/>
              </w:rPr>
              <w:t>The transport system includes:</w:t>
            </w:r>
          </w:p>
          <w:p w14:paraId="10BF014D" w14:textId="4F9D16CE" w:rsidR="00A010CD" w:rsidRPr="00CC2C37" w:rsidRDefault="00A010CD" w:rsidP="000F6407">
            <w:pPr>
              <w:pStyle w:val="ListParagraph"/>
              <w:numPr>
                <w:ilvl w:val="0"/>
                <w:numId w:val="20"/>
              </w:numPr>
              <w:rPr>
                <w:szCs w:val="24"/>
              </w:rPr>
            </w:pPr>
            <w:r w:rsidRPr="00CC2C37">
              <w:rPr>
                <w:szCs w:val="24"/>
              </w:rPr>
              <w:t>The physical infrastructure (</w:t>
            </w:r>
            <w:r w:rsidR="009A1D48" w:rsidRPr="00CC2C37">
              <w:rPr>
                <w:szCs w:val="24"/>
              </w:rPr>
              <w:t xml:space="preserve">e.g. </w:t>
            </w:r>
            <w:r w:rsidRPr="00CC2C37">
              <w:rPr>
                <w:szCs w:val="24"/>
              </w:rPr>
              <w:t>ports, roads, rail, stations, transport hubs)</w:t>
            </w:r>
          </w:p>
          <w:p w14:paraId="0AA1B401" w14:textId="7D7669EA" w:rsidR="00A010CD" w:rsidRPr="00CC2C37" w:rsidRDefault="00A010CD" w:rsidP="000F6407">
            <w:pPr>
              <w:pStyle w:val="ListParagraph"/>
              <w:numPr>
                <w:ilvl w:val="0"/>
                <w:numId w:val="20"/>
              </w:numPr>
              <w:rPr>
                <w:szCs w:val="24"/>
              </w:rPr>
            </w:pPr>
            <w:r w:rsidRPr="00CC2C37">
              <w:rPr>
                <w:szCs w:val="24"/>
              </w:rPr>
              <w:t>Digital infrastructure (</w:t>
            </w:r>
            <w:r w:rsidR="009A1D48" w:rsidRPr="00CC2C37">
              <w:rPr>
                <w:szCs w:val="24"/>
              </w:rPr>
              <w:t xml:space="preserve">e.g. </w:t>
            </w:r>
            <w:r w:rsidRPr="00CC2C37">
              <w:rPr>
                <w:szCs w:val="24"/>
              </w:rPr>
              <w:t>satellite-based navigation aids, travel apps, communication technologies)</w:t>
            </w:r>
          </w:p>
          <w:p w14:paraId="78833359" w14:textId="791BBE38" w:rsidR="00A010CD" w:rsidRPr="00CC2C37" w:rsidRDefault="00A010CD" w:rsidP="000F6407">
            <w:pPr>
              <w:pStyle w:val="ListParagraph"/>
              <w:numPr>
                <w:ilvl w:val="0"/>
                <w:numId w:val="20"/>
              </w:numPr>
              <w:rPr>
                <w:szCs w:val="24"/>
              </w:rPr>
            </w:pPr>
            <w:r w:rsidRPr="00CC2C37">
              <w:rPr>
                <w:szCs w:val="24"/>
              </w:rPr>
              <w:lastRenderedPageBreak/>
              <w:t>Mobility services (</w:t>
            </w:r>
            <w:r w:rsidR="009A1D48" w:rsidRPr="00CC2C37">
              <w:rPr>
                <w:szCs w:val="24"/>
              </w:rPr>
              <w:t xml:space="preserve">e.g. </w:t>
            </w:r>
            <w:r w:rsidRPr="00CC2C37">
              <w:rPr>
                <w:szCs w:val="24"/>
              </w:rPr>
              <w:t>public transport, ride</w:t>
            </w:r>
            <w:r w:rsidR="007B1853" w:rsidRPr="00CC2C37">
              <w:rPr>
                <w:szCs w:val="24"/>
              </w:rPr>
              <w:t>–</w:t>
            </w:r>
            <w:r w:rsidRPr="00CC2C37">
              <w:rPr>
                <w:szCs w:val="24"/>
              </w:rPr>
              <w:t>shares)</w:t>
            </w:r>
          </w:p>
          <w:p w14:paraId="616EED23" w14:textId="44B6E59E" w:rsidR="00A010CD" w:rsidRPr="00CC2C37" w:rsidRDefault="00A010CD" w:rsidP="000F6407">
            <w:pPr>
              <w:pStyle w:val="ListParagraph"/>
              <w:numPr>
                <w:ilvl w:val="0"/>
                <w:numId w:val="20"/>
              </w:numPr>
              <w:rPr>
                <w:szCs w:val="24"/>
              </w:rPr>
            </w:pPr>
            <w:r w:rsidRPr="00CC2C37">
              <w:rPr>
                <w:szCs w:val="24"/>
              </w:rPr>
              <w:t xml:space="preserve">Regulation systems that influence how the transport system functions and develops. </w:t>
            </w:r>
          </w:p>
        </w:tc>
      </w:tr>
      <w:tr w:rsidR="00BD6494" w:rsidRPr="00C4126C" w14:paraId="00B4D712" w14:textId="77777777" w:rsidTr="00CC2C37">
        <w:trPr>
          <w:trHeight w:val="1069"/>
        </w:trPr>
        <w:tc>
          <w:tcPr>
            <w:tcW w:w="0" w:type="dxa"/>
          </w:tcPr>
          <w:p w14:paraId="117E1FFE" w14:textId="1CD82A00" w:rsidR="00BD6494" w:rsidRPr="00CC2C37" w:rsidRDefault="00BD6494" w:rsidP="00401B22">
            <w:pPr>
              <w:rPr>
                <w:b/>
                <w:bCs/>
                <w:szCs w:val="24"/>
              </w:rPr>
            </w:pPr>
            <w:r w:rsidRPr="00CC2C37">
              <w:rPr>
                <w:b/>
                <w:bCs/>
                <w:szCs w:val="24"/>
              </w:rPr>
              <w:lastRenderedPageBreak/>
              <w:t>Universal design</w:t>
            </w:r>
          </w:p>
        </w:tc>
        <w:tc>
          <w:tcPr>
            <w:tcW w:w="0" w:type="dxa"/>
          </w:tcPr>
          <w:p w14:paraId="2E9E0F11" w14:textId="76EFB773" w:rsidR="00BD6494" w:rsidRPr="00CC2C37" w:rsidRDefault="004D49A3" w:rsidP="00401B22">
            <w:pPr>
              <w:rPr>
                <w:szCs w:val="24"/>
              </w:rPr>
            </w:pPr>
            <w:r w:rsidRPr="00CC2C37">
              <w:rPr>
                <w:szCs w:val="24"/>
              </w:rPr>
              <w:t>Universal Design is a framework for the design of living and working spaces and products benefiting the widest possible range of people in the widest range of situations without special or separate design.</w:t>
            </w:r>
          </w:p>
        </w:tc>
      </w:tr>
      <w:tr w:rsidR="00A010CD" w:rsidRPr="00C4126C" w14:paraId="45813B3A" w14:textId="77777777" w:rsidTr="00CC2C37">
        <w:trPr>
          <w:trHeight w:val="984"/>
        </w:trPr>
        <w:tc>
          <w:tcPr>
            <w:tcW w:w="0" w:type="dxa"/>
          </w:tcPr>
          <w:p w14:paraId="5C525858" w14:textId="7220D65D" w:rsidR="00A010CD" w:rsidRPr="00CC2C37" w:rsidRDefault="00A010CD" w:rsidP="00401B22">
            <w:pPr>
              <w:rPr>
                <w:b/>
                <w:bCs/>
                <w:szCs w:val="24"/>
              </w:rPr>
            </w:pPr>
            <w:r w:rsidRPr="00CC2C37">
              <w:rPr>
                <w:b/>
                <w:bCs/>
                <w:szCs w:val="24"/>
              </w:rPr>
              <w:t>Vision and validate</w:t>
            </w:r>
          </w:p>
        </w:tc>
        <w:tc>
          <w:tcPr>
            <w:tcW w:w="0" w:type="dxa"/>
          </w:tcPr>
          <w:p w14:paraId="5E1422A0" w14:textId="40FCF363" w:rsidR="00A010CD" w:rsidRPr="00CC2C37" w:rsidRDefault="00A010CD" w:rsidP="00401B22">
            <w:pPr>
              <w:rPr>
                <w:szCs w:val="24"/>
              </w:rPr>
            </w:pPr>
            <w:r w:rsidRPr="00CC2C37">
              <w:rPr>
                <w:szCs w:val="24"/>
              </w:rPr>
              <w:t>A method of creating a shared future vision for a location or project, identifying and developing strategies and initiatives to achieve the agreed vision, and testing and validating these strategies and initiatives to ensure they can deliver the agreed vision.</w:t>
            </w:r>
          </w:p>
        </w:tc>
      </w:tr>
    </w:tbl>
    <w:p w14:paraId="09C9F784" w14:textId="28EB9E7C" w:rsidR="00A010CD" w:rsidRPr="00C4126C" w:rsidRDefault="00A010CD" w:rsidP="009D4E1B">
      <w:pPr>
        <w:pStyle w:val="AltHeading1"/>
        <w:tabs>
          <w:tab w:val="clear" w:pos="1134"/>
          <w:tab w:val="left" w:pos="900"/>
        </w:tabs>
        <w:spacing w:before="240" w:after="120"/>
        <w:ind w:left="0" w:right="709" w:firstLine="0"/>
      </w:pPr>
      <w:bookmarkStart w:id="52" w:name="_Toc145593589"/>
      <w:bookmarkStart w:id="53" w:name="_Toc173245781"/>
      <w:bookmarkEnd w:id="51"/>
      <w:bookmarkEnd w:id="52"/>
      <w:r w:rsidRPr="00C4126C">
        <w:t>References</w:t>
      </w:r>
      <w:bookmarkEnd w:id="53"/>
    </w:p>
    <w:p w14:paraId="24293575" w14:textId="760D1D12" w:rsidR="00A010CD" w:rsidRPr="00CC2C37" w:rsidRDefault="00A010CD" w:rsidP="00FB3188">
      <w:pPr>
        <w:spacing w:after="120"/>
        <w:rPr>
          <w:rFonts w:asciiTheme="minorHAnsi" w:hAnsiTheme="minorHAnsi" w:cstheme="minorHAnsi"/>
          <w:szCs w:val="24"/>
          <w:lang w:eastAsia="en-AU"/>
        </w:rPr>
      </w:pPr>
      <w:r w:rsidRPr="00CC2C37">
        <w:rPr>
          <w:rFonts w:asciiTheme="minorHAnsi" w:hAnsiTheme="minorHAnsi" w:cstheme="minorHAnsi"/>
          <w:szCs w:val="24"/>
          <w:lang w:eastAsia="en-AU"/>
        </w:rPr>
        <w:t>NSW Government. Accessed 202</w:t>
      </w:r>
      <w:r w:rsidR="00540AFF" w:rsidRPr="00CC2C37">
        <w:rPr>
          <w:rFonts w:asciiTheme="minorHAnsi" w:hAnsiTheme="minorHAnsi" w:cstheme="minorHAnsi"/>
          <w:szCs w:val="24"/>
          <w:lang w:eastAsia="en-AU"/>
        </w:rPr>
        <w:t>4</w:t>
      </w:r>
      <w:r w:rsidRPr="00CC2C37">
        <w:rPr>
          <w:rFonts w:asciiTheme="minorHAnsi" w:hAnsiTheme="minorHAnsi" w:cstheme="minorHAnsi"/>
          <w:szCs w:val="24"/>
          <w:lang w:eastAsia="en-AU"/>
        </w:rPr>
        <w:t>. Movement and Place.</w:t>
      </w:r>
      <w:r w:rsidR="00E933FC" w:rsidRPr="00CC2C37">
        <w:rPr>
          <w:rFonts w:asciiTheme="minorHAnsi" w:hAnsiTheme="minorHAnsi" w:cstheme="minorHAnsi"/>
          <w:szCs w:val="24"/>
          <w:lang w:eastAsia="en-AU"/>
        </w:rPr>
        <w:t xml:space="preserve"> </w:t>
      </w:r>
      <w:hyperlink r:id="rId22" w:history="1">
        <w:r w:rsidR="00E933FC" w:rsidRPr="00CC2C37">
          <w:rPr>
            <w:rStyle w:val="Hyperlink"/>
            <w:rFonts w:asciiTheme="minorHAnsi" w:hAnsiTheme="minorHAnsi" w:cstheme="minorHAnsi"/>
            <w:szCs w:val="24"/>
            <w:lang w:eastAsia="en-AU"/>
          </w:rPr>
          <w:t>https://www.movementandplace.nsw.gov.au/about/about-movement-and-place</w:t>
        </w:r>
      </w:hyperlink>
    </w:p>
    <w:p w14:paraId="5BF48D50" w14:textId="586EE73D" w:rsidR="00A010CD" w:rsidRPr="00CC2C37" w:rsidRDefault="00A010CD" w:rsidP="00FB3188">
      <w:pPr>
        <w:spacing w:after="120"/>
        <w:rPr>
          <w:rFonts w:asciiTheme="minorHAnsi" w:hAnsiTheme="minorHAnsi" w:cstheme="minorHAnsi"/>
          <w:szCs w:val="24"/>
          <w:lang w:eastAsia="en-AU"/>
        </w:rPr>
      </w:pPr>
      <w:r w:rsidRPr="00CC2C37">
        <w:rPr>
          <w:rFonts w:asciiTheme="minorHAnsi" w:hAnsiTheme="minorHAnsi" w:cstheme="minorHAnsi"/>
          <w:szCs w:val="24"/>
          <w:lang w:eastAsia="en-AU"/>
        </w:rPr>
        <w:t>Victorian Government. Accessed 202</w:t>
      </w:r>
      <w:r w:rsidR="00540AFF" w:rsidRPr="00CC2C37">
        <w:rPr>
          <w:rFonts w:asciiTheme="minorHAnsi" w:hAnsiTheme="minorHAnsi" w:cstheme="minorHAnsi"/>
          <w:szCs w:val="24"/>
          <w:lang w:eastAsia="en-AU"/>
        </w:rPr>
        <w:t>4</w:t>
      </w:r>
      <w:r w:rsidRPr="00CC2C37">
        <w:rPr>
          <w:rFonts w:asciiTheme="minorHAnsi" w:hAnsiTheme="minorHAnsi" w:cstheme="minorHAnsi"/>
          <w:szCs w:val="24"/>
          <w:lang w:eastAsia="en-AU"/>
        </w:rPr>
        <w:t xml:space="preserve">. Movement and Place. </w:t>
      </w:r>
      <w:hyperlink r:id="rId23" w:history="1">
        <w:r w:rsidR="00846D15" w:rsidRPr="00CC2C37">
          <w:rPr>
            <w:rStyle w:val="Hyperlink"/>
            <w:rFonts w:asciiTheme="minorHAnsi" w:hAnsiTheme="minorHAnsi" w:cstheme="minorHAnsi"/>
            <w:szCs w:val="24"/>
            <w:lang w:eastAsia="en-AU"/>
          </w:rPr>
          <w:t>https://www.vic.gov.au/movement-and-place-victoria</w:t>
        </w:r>
      </w:hyperlink>
    </w:p>
    <w:p w14:paraId="0BD20C14" w14:textId="747EAE40" w:rsidR="0084404D" w:rsidRPr="00FE1C7D" w:rsidRDefault="00A010CD" w:rsidP="00FE1C7D">
      <w:r w:rsidRPr="00CC2C37">
        <w:rPr>
          <w:rFonts w:asciiTheme="minorHAnsi" w:hAnsiTheme="minorHAnsi" w:cstheme="minorHAnsi"/>
          <w:szCs w:val="24"/>
          <w:lang w:eastAsia="en-AU"/>
        </w:rPr>
        <w:t>Ministry of Transport New Zealand.</w:t>
      </w:r>
      <w:r w:rsidR="00FF7A32" w:rsidRPr="00CC2C37">
        <w:rPr>
          <w:rFonts w:asciiTheme="minorHAnsi" w:hAnsiTheme="minorHAnsi" w:cstheme="minorHAnsi"/>
          <w:szCs w:val="24"/>
          <w:lang w:eastAsia="en-AU"/>
        </w:rPr>
        <w:t xml:space="preserve"> Accessed 2024.</w:t>
      </w:r>
      <w:r w:rsidR="000B59D1" w:rsidRPr="00CC2C37">
        <w:rPr>
          <w:rFonts w:asciiTheme="minorHAnsi" w:hAnsiTheme="minorHAnsi" w:cstheme="minorHAnsi"/>
          <w:szCs w:val="24"/>
          <w:lang w:eastAsia="en-AU"/>
        </w:rPr>
        <w:t xml:space="preserve"> </w:t>
      </w:r>
      <w:r w:rsidR="00FE1C7D">
        <w:rPr>
          <w:rFonts w:asciiTheme="minorHAnsi" w:hAnsiTheme="minorHAnsi" w:cstheme="minorHAnsi"/>
          <w:szCs w:val="24"/>
          <w:lang w:eastAsia="en-AU"/>
        </w:rPr>
        <w:t>One Network</w:t>
      </w:r>
      <w:r w:rsidR="000B59D1" w:rsidRPr="00CC2C37">
        <w:rPr>
          <w:rFonts w:asciiTheme="minorHAnsi" w:hAnsiTheme="minorHAnsi" w:cstheme="minorHAnsi"/>
          <w:szCs w:val="24"/>
          <w:lang w:eastAsia="en-AU"/>
        </w:rPr>
        <w:t xml:space="preserve"> Framework. </w:t>
      </w:r>
      <w:hyperlink r:id="rId24" w:history="1">
        <w:r w:rsidR="00FE1C7D" w:rsidRPr="006B34CE">
          <w:rPr>
            <w:rStyle w:val="Hyperlink"/>
          </w:rPr>
          <w:t>https://www.nzta.govt.nz/planning-and-investment/planning/one-network-framework/</w:t>
        </w:r>
      </w:hyperlink>
      <w:r w:rsidR="00FE1C7D">
        <w:t xml:space="preserve"> </w:t>
      </w:r>
    </w:p>
    <w:p w14:paraId="7F51FA3E" w14:textId="77777777" w:rsidR="000B59D1" w:rsidRPr="00BA2048" w:rsidRDefault="000B59D1" w:rsidP="00BA2048">
      <w:pPr>
        <w:spacing w:after="120"/>
        <w:rPr>
          <w:rFonts w:asciiTheme="minorHAnsi" w:hAnsiTheme="minorHAnsi" w:cstheme="minorHAnsi"/>
          <w:szCs w:val="24"/>
          <w:lang w:eastAsia="en-AU"/>
        </w:rPr>
      </w:pPr>
    </w:p>
    <w:sectPr w:rsidR="000B59D1" w:rsidRPr="00BA2048" w:rsidSect="004B2E0F">
      <w:pgSz w:w="11906" w:h="16838" w:code="9"/>
      <w:pgMar w:top="1560" w:right="1418" w:bottom="1559" w:left="1418"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7B1A6" w14:textId="77777777" w:rsidR="00C34FA0" w:rsidRDefault="00C34FA0" w:rsidP="00A9280E">
      <w:pPr>
        <w:spacing w:line="240" w:lineRule="auto"/>
      </w:pPr>
      <w:r>
        <w:separator/>
      </w:r>
    </w:p>
  </w:endnote>
  <w:endnote w:type="continuationSeparator" w:id="0">
    <w:p w14:paraId="14B22C75" w14:textId="77777777" w:rsidR="00C34FA0" w:rsidRDefault="00C34FA0" w:rsidP="00A9280E">
      <w:pPr>
        <w:spacing w:line="240" w:lineRule="auto"/>
      </w:pPr>
      <w:r>
        <w:continuationSeparator/>
      </w:r>
    </w:p>
  </w:endnote>
  <w:endnote w:type="continuationNotice" w:id="1">
    <w:p w14:paraId="11503E59" w14:textId="77777777" w:rsidR="00C34FA0" w:rsidRDefault="00C34F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1E64" w14:textId="77777777" w:rsidR="007A1A5A" w:rsidRDefault="007A1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F433" w14:textId="38111192" w:rsidR="00186938" w:rsidRDefault="00D74A79">
    <w:pPr>
      <w:pStyle w:val="Footer"/>
      <w:tabs>
        <w:tab w:val="left" w:pos="5130"/>
      </w:tabs>
    </w:pPr>
    <w:r>
      <w:rPr>
        <w:noProof/>
        <w:color w:val="808080" w:themeColor="background1" w:themeShade="80"/>
      </w:rPr>
      <w:drawing>
        <wp:anchor distT="0" distB="0" distL="114300" distR="114300" simplePos="0" relativeHeight="251658240" behindDoc="1" locked="0" layoutInCell="1" allowOverlap="1" wp14:anchorId="4FA9295B" wp14:editId="2B514E34">
          <wp:simplePos x="0" y="0"/>
          <wp:positionH relativeFrom="page">
            <wp:posOffset>-203835</wp:posOffset>
          </wp:positionH>
          <wp:positionV relativeFrom="paragraph">
            <wp:posOffset>-885141</wp:posOffset>
          </wp:positionV>
          <wp:extent cx="7768311" cy="1421276"/>
          <wp:effectExtent l="0" t="0" r="4445" b="7620"/>
          <wp:wrapNone/>
          <wp:docPr id="163662670" name="Picture 16366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68311" cy="1421276"/>
                  </a:xfrm>
                  <a:prstGeom prst="rect">
                    <a:avLst/>
                  </a:prstGeom>
                </pic:spPr>
              </pic:pic>
            </a:graphicData>
          </a:graphic>
          <wp14:sizeRelH relativeFrom="page">
            <wp14:pctWidth>0</wp14:pctWidth>
          </wp14:sizeRelH>
          <wp14:sizeRelV relativeFrom="page">
            <wp14:pctHeight>0</wp14:pctHeight>
          </wp14:sizeRelV>
        </wp:anchor>
      </w:drawing>
    </w:r>
    <w:r w:rsidR="00186938">
      <w:rPr>
        <w:noProof/>
        <w:color w:val="808080" w:themeColor="background1" w:themeShade="80"/>
      </w:rPr>
      <mc:AlternateContent>
        <mc:Choice Requires="wps">
          <w:drawing>
            <wp:anchor distT="0" distB="0" distL="182880" distR="182880" simplePos="0" relativeHeight="251658242" behindDoc="0" locked="0" layoutInCell="1" allowOverlap="1" wp14:anchorId="3A9A0EE3" wp14:editId="01DBDC0B">
              <wp:simplePos x="0" y="0"/>
              <wp:positionH relativeFrom="rightMargin">
                <wp:posOffset>-6574155</wp:posOffset>
              </wp:positionH>
              <wp:positionV relativeFrom="page">
                <wp:posOffset>10048875</wp:posOffset>
              </wp:positionV>
              <wp:extent cx="371475" cy="320040"/>
              <wp:effectExtent l="0" t="0" r="9525" b="3810"/>
              <wp:wrapNone/>
              <wp:docPr id="41" name="Rectangle 41"/>
              <wp:cNvGraphicFramePr/>
              <a:graphic xmlns:a="http://schemas.openxmlformats.org/drawingml/2006/main">
                <a:graphicData uri="http://schemas.microsoft.com/office/word/2010/wordprocessingShape">
                  <wps:wsp>
                    <wps:cNvSpPr/>
                    <wps:spPr>
                      <a:xfrm>
                        <a:off x="0" y="0"/>
                        <a:ext cx="371475" cy="320040"/>
                      </a:xfrm>
                      <a:prstGeom prst="rect">
                        <a:avLst/>
                      </a:prstGeom>
                      <a:solidFill>
                        <a:schemeClr val="accent2"/>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BAF73" w14:textId="77777777" w:rsidR="00186938" w:rsidRDefault="0018693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A9A0EE3" id="Rectangle 41" o:spid="_x0000_s1030" style="position:absolute;margin-left:-517.65pt;margin-top:791.25pt;width:29.25pt;height:25.2pt;z-index:251658242;visibility:visible;mso-wrap-style:square;mso-width-percent:0;mso-wrap-distance-left:14.4pt;mso-wrap-distance-top:0;mso-wrap-distance-right:14.4pt;mso-wrap-distance-bottom:0;mso-position-horizontal:absolute;mso-position-horizontal-relative:right-margin-area;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" fillcolor="#071e30 [3205]" stroked="f" strokeweight="3pt">
              <v:textbox>
                <w:txbxContent>
                  <w:p w14:paraId="27EBAF73" w14:textId="77777777" w:rsidR="00186938" w:rsidRDefault="0018693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p>
  <w:p w14:paraId="71D961DF" w14:textId="742EEA10" w:rsidR="00302C6D" w:rsidRDefault="00302C6D" w:rsidP="00302C6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9096" w14:textId="77777777" w:rsidR="007A1A5A" w:rsidRDefault="007A1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F3802" w14:textId="77777777" w:rsidR="00C34FA0" w:rsidRDefault="00C34FA0" w:rsidP="00A9280E">
      <w:pPr>
        <w:spacing w:line="240" w:lineRule="auto"/>
      </w:pPr>
      <w:r>
        <w:separator/>
      </w:r>
    </w:p>
  </w:footnote>
  <w:footnote w:type="continuationSeparator" w:id="0">
    <w:p w14:paraId="590D3449" w14:textId="77777777" w:rsidR="00C34FA0" w:rsidRDefault="00C34FA0" w:rsidP="00A9280E">
      <w:pPr>
        <w:spacing w:line="240" w:lineRule="auto"/>
      </w:pPr>
      <w:r>
        <w:continuationSeparator/>
      </w:r>
    </w:p>
  </w:footnote>
  <w:footnote w:type="continuationNotice" w:id="1">
    <w:p w14:paraId="74EF4963" w14:textId="77777777" w:rsidR="00C34FA0" w:rsidRDefault="00C34FA0">
      <w:pPr>
        <w:spacing w:line="240" w:lineRule="auto"/>
      </w:pPr>
    </w:p>
  </w:footnote>
  <w:footnote w:id="2">
    <w:p w14:paraId="745C1E16" w14:textId="6EF8B205" w:rsidR="006408B5" w:rsidRDefault="006408B5">
      <w:pPr>
        <w:pStyle w:val="FootnoteText"/>
      </w:pPr>
      <w:r w:rsidRPr="0030571B">
        <w:rPr>
          <w:rStyle w:val="FootnoteReference"/>
          <w:sz w:val="16"/>
          <w:szCs w:val="16"/>
        </w:rPr>
        <w:footnoteRef/>
      </w:r>
      <w:r w:rsidR="00A55D40" w:rsidRPr="0030571B">
        <w:rPr>
          <w:sz w:val="16"/>
          <w:szCs w:val="16"/>
        </w:rPr>
        <w:t>Queensland Government Statistician’s Office, 2023 edition (medium series)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2784" w14:textId="77777777" w:rsidR="007A1A5A" w:rsidRDefault="007A1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8528" w14:textId="4D4DBA2E" w:rsidR="00186938" w:rsidRDefault="00186938">
    <w:pPr>
      <w:pStyle w:val="Header"/>
    </w:pPr>
    <w:r>
      <w:rPr>
        <w:noProof/>
        <w:color w:val="808080" w:themeColor="background1" w:themeShade="80"/>
      </w:rPr>
      <mc:AlternateContent>
        <mc:Choice Requires="wpg">
          <w:drawing>
            <wp:anchor distT="0" distB="0" distL="182880" distR="182880" simplePos="0" relativeHeight="251658241" behindDoc="1" locked="0" layoutInCell="1" allowOverlap="1" wp14:anchorId="1ED7631C" wp14:editId="6EFDFC71">
              <wp:simplePos x="0" y="0"/>
              <wp:positionH relativeFrom="rightMargin">
                <wp:posOffset>-6679867</wp:posOffset>
              </wp:positionH>
              <wp:positionV relativeFrom="page">
                <wp:posOffset>789482</wp:posOffset>
              </wp:positionV>
              <wp:extent cx="514662" cy="9310370"/>
              <wp:effectExtent l="0" t="0" r="0" b="5080"/>
              <wp:wrapNone/>
              <wp:docPr id="42" name="Group 42"/>
              <wp:cNvGraphicFramePr/>
              <a:graphic xmlns:a="http://schemas.openxmlformats.org/drawingml/2006/main">
                <a:graphicData uri="http://schemas.microsoft.com/office/word/2010/wordprocessingGroup">
                  <wpg:wgp>
                    <wpg:cNvGrpSpPr/>
                    <wpg:grpSpPr>
                      <a:xfrm>
                        <a:off x="0" y="0"/>
                        <a:ext cx="514662" cy="9310370"/>
                        <a:chOff x="-19050" y="0"/>
                        <a:chExt cx="514662" cy="8229600"/>
                      </a:xfrm>
                    </wpg:grpSpPr>
                    <wps:wsp>
                      <wps:cNvPr id="43" name="Rectangle 43"/>
                      <wps:cNvSpPr/>
                      <wps:spPr>
                        <a:xfrm>
                          <a:off x="439387" y="0"/>
                          <a:ext cx="17813" cy="822960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19050" y="0"/>
                          <a:ext cx="514662"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3C746" w14:textId="3792439E" w:rsidR="00186938" w:rsidRDefault="00186938">
                            <w:pPr>
                              <w:rPr>
                                <w:color w:val="5F89AA" w:themeColor="text1" w:themeTint="80"/>
                              </w:rPr>
                            </w:pPr>
                            <w:r w:rsidRPr="00186938">
                              <w:rPr>
                                <w:color w:val="071E30" w:themeColor="accent2"/>
                              </w:rPr>
                              <w:t>Movement and Place Policy, Transport and Main Roads,</w:t>
                            </w:r>
                            <w:r w:rsidR="007A1A5A">
                              <w:rPr>
                                <w:color w:val="071E30" w:themeColor="accent2"/>
                              </w:rPr>
                              <w:t xml:space="preserve"> December </w:t>
                            </w:r>
                            <w:r w:rsidRPr="00186938">
                              <w:rPr>
                                <w:color w:val="071E30" w:themeColor="accent2"/>
                              </w:rPr>
                              <w:t>2024</w:t>
                            </w:r>
                            <w:r>
                              <w:rPr>
                                <w:color w:val="5F89AA" w:themeColor="text1" w:themeTint="80"/>
                              </w:rPr>
                              <w:t>.</w:t>
                            </w: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ED7631C" id="Group 42" o:spid="_x0000_s1027" style="position:absolute;margin-left:-525.95pt;margin-top:62.15pt;width:40.5pt;height:733.1pt;z-index:-251658239;mso-wrap-distance-left:14.4pt;mso-wrap-distance-right:14.4pt;mso-position-horizontal-relative:right-margin-area;mso-position-vertical-relative:page;mso-width-relative:margin" coordorigin="-190" coordsize="514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">
              <v:rect id="Rectangle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" fillcolor="#071e30 [3205]" stroked="f"/>
              <v:shapetype id="_x0000_t202" coordsize="21600,21600" o:spt="202" path="m,l,21600r21600,l21600,xe">
                <v:stroke joinstyle="miter"/>
                <v:path gradientshapeok="t" o:connecttype="rect"/>
              </v:shapetype>
              <v:shape id="Text Box 44" o:spid="_x0000_s1029" type="#_x0000_t202" style="position:absolute;left:-190;width:5146;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14:paraId="52A3C746" w14:textId="3792439E" w:rsidR="00186938" w:rsidRDefault="00186938">
                      <w:pPr>
                        <w:rPr>
                          <w:color w:val="5F89AA" w:themeColor="text1" w:themeTint="80"/>
                        </w:rPr>
                      </w:pPr>
                      <w:r w:rsidRPr="00186938">
                        <w:rPr>
                          <w:color w:val="071E30" w:themeColor="accent2"/>
                        </w:rPr>
                        <w:t>Movement and Place Policy, Transport and Main Roads,</w:t>
                      </w:r>
                      <w:r w:rsidR="007A1A5A">
                        <w:rPr>
                          <w:color w:val="071E30" w:themeColor="accent2"/>
                        </w:rPr>
                        <w:t xml:space="preserve"> December </w:t>
                      </w:r>
                      <w:r w:rsidRPr="00186938">
                        <w:rPr>
                          <w:color w:val="071E30" w:themeColor="accent2"/>
                        </w:rPr>
                        <w:t>2024</w:t>
                      </w:r>
                      <w:r>
                        <w:rPr>
                          <w:color w:val="5F89AA" w:themeColor="text1" w:themeTint="80"/>
                        </w:rPr>
                        <w:t>.</w:t>
                      </w:r>
                    </w:p>
                  </w:txbxContent>
                </v:textbox>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2DD1" w14:textId="77777777" w:rsidR="007A1A5A" w:rsidRDefault="007A1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3B07"/>
    <w:multiLevelType w:val="hybridMultilevel"/>
    <w:tmpl w:val="8F22B724"/>
    <w:lvl w:ilvl="0" w:tplc="2A30E67A">
      <w:start w:val="1"/>
      <w:numFmt w:val="decimal"/>
      <w:lvlText w:val="%1."/>
      <w:lvlJc w:val="left"/>
      <w:pPr>
        <w:ind w:left="720" w:hanging="360"/>
      </w:pPr>
      <w:rPr>
        <w:rFonts w:hint="default"/>
        <w:b/>
        <w:color w:val="37415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B28C5"/>
    <w:multiLevelType w:val="multilevel"/>
    <w:tmpl w:val="11C64328"/>
    <w:styleLink w:val="ListParagraph0"/>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411265A"/>
    <w:multiLevelType w:val="hybridMultilevel"/>
    <w:tmpl w:val="2480C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D2642"/>
    <w:multiLevelType w:val="hybridMultilevel"/>
    <w:tmpl w:val="D0169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BA5ED7"/>
    <w:multiLevelType w:val="hybridMultilevel"/>
    <w:tmpl w:val="6902D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DD369D"/>
    <w:multiLevelType w:val="hybridMultilevel"/>
    <w:tmpl w:val="D154F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CE3516"/>
    <w:multiLevelType w:val="hybridMultilevel"/>
    <w:tmpl w:val="4B72DF08"/>
    <w:lvl w:ilvl="0" w:tplc="0C090001">
      <w:start w:val="1"/>
      <w:numFmt w:val="bullet"/>
      <w:lvlText w:val=""/>
      <w:lvlJc w:val="left"/>
      <w:pPr>
        <w:ind w:left="720" w:hanging="360"/>
      </w:pPr>
      <w:rPr>
        <w:rFonts w:ascii="Symbol" w:hAnsi="Symbol" w:hint="default"/>
        <w:b/>
        <w:color w:val="37415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3D160E"/>
    <w:multiLevelType w:val="hybridMultilevel"/>
    <w:tmpl w:val="B726D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236F3D"/>
    <w:multiLevelType w:val="multilevel"/>
    <w:tmpl w:val="11C64328"/>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9" w15:restartNumberingAfterBreak="0">
    <w:nsid w:val="2851654E"/>
    <w:multiLevelType w:val="hybridMultilevel"/>
    <w:tmpl w:val="8416E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EE7260"/>
    <w:multiLevelType w:val="hybridMultilevel"/>
    <w:tmpl w:val="B546DA3E"/>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696E48"/>
    <w:multiLevelType w:val="hybridMultilevel"/>
    <w:tmpl w:val="03566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071FAE"/>
    <w:multiLevelType w:val="multilevel"/>
    <w:tmpl w:val="6108DC14"/>
    <w:styleLink w:val="ListNumberedHeadings"/>
    <w:lvl w:ilvl="0">
      <w:start w:val="1"/>
      <w:numFmt w:val="decimal"/>
      <w:pStyle w:val="AltHeading1"/>
      <w:lvlText w:val="%1."/>
      <w:lvlJc w:val="left"/>
      <w:pPr>
        <w:tabs>
          <w:tab w:val="num" w:pos="1844"/>
        </w:tabs>
        <w:ind w:left="1844" w:hanging="1134"/>
      </w:pPr>
      <w:rPr>
        <w:rFonts w:ascii="Arial" w:hAnsi="Arial" w:hint="default"/>
        <w:b/>
        <w:color w:val="003E69" w:themeColor="accent1"/>
        <w:sz w:val="40"/>
      </w:rPr>
    </w:lvl>
    <w:lvl w:ilvl="1">
      <w:start w:val="1"/>
      <w:numFmt w:val="decimal"/>
      <w:pStyle w:val="AltHeading2"/>
      <w:lvlText w:val="%1.%2"/>
      <w:lvlJc w:val="left"/>
      <w:pPr>
        <w:tabs>
          <w:tab w:val="num" w:pos="1844"/>
        </w:tabs>
        <w:ind w:left="1844" w:hanging="1134"/>
      </w:pPr>
      <w:rPr>
        <w:rFonts w:asciiTheme="majorHAnsi" w:hAnsiTheme="majorHAnsi" w:hint="default"/>
        <w:color w:val="071E30" w:themeColor="accent2"/>
      </w:rPr>
    </w:lvl>
    <w:lvl w:ilvl="2">
      <w:start w:val="1"/>
      <w:numFmt w:val="decimal"/>
      <w:pStyle w:val="AltHeading3"/>
      <w:lvlText w:val="%1.%2.%3"/>
      <w:lvlJc w:val="left"/>
      <w:pPr>
        <w:tabs>
          <w:tab w:val="num" w:pos="1844"/>
        </w:tabs>
        <w:ind w:left="1844" w:hanging="1134"/>
      </w:pPr>
      <w:rPr>
        <w:rFonts w:asciiTheme="majorHAnsi" w:hAnsiTheme="majorHAnsi" w:hint="default"/>
        <w:color w:val="003E69" w:themeColor="accent1"/>
      </w:rPr>
    </w:lvl>
    <w:lvl w:ilvl="3">
      <w:start w:val="1"/>
      <w:numFmt w:val="decimal"/>
      <w:pStyle w:val="AltHeading4"/>
      <w:lvlText w:val="%1.%2.%3.%4"/>
      <w:lvlJc w:val="left"/>
      <w:pPr>
        <w:tabs>
          <w:tab w:val="num" w:pos="1844"/>
        </w:tabs>
        <w:ind w:left="1844" w:hanging="1134"/>
      </w:pPr>
      <w:rPr>
        <w:rFonts w:asciiTheme="majorHAnsi" w:hAnsiTheme="majorHAnsi" w:hint="default"/>
        <w:color w:val="071E30" w:themeColor="accent2"/>
        <w:sz w:val="24"/>
      </w:rPr>
    </w:lvl>
    <w:lvl w:ilvl="4">
      <w:start w:val="1"/>
      <w:numFmt w:val="decimal"/>
      <w:pStyle w:val="AltHeading5"/>
      <w:lvlText w:val="%1.%2.%3.%4.%5"/>
      <w:lvlJc w:val="left"/>
      <w:pPr>
        <w:tabs>
          <w:tab w:val="num" w:pos="1844"/>
        </w:tabs>
        <w:ind w:left="1844" w:hanging="1134"/>
      </w:pPr>
      <w:rPr>
        <w:rFonts w:asciiTheme="majorHAnsi" w:hAnsiTheme="majorHAnsi" w:hint="default"/>
        <w:color w:val="auto"/>
        <w:sz w:val="20"/>
      </w:rPr>
    </w:lvl>
    <w:lvl w:ilvl="5">
      <w:start w:val="1"/>
      <w:numFmt w:val="none"/>
      <w:lvlText w:val=""/>
      <w:lvlJc w:val="left"/>
      <w:pPr>
        <w:ind w:left="-32057" w:firstLine="0"/>
      </w:pPr>
      <w:rPr>
        <w:rFonts w:hint="default"/>
      </w:rPr>
    </w:lvl>
    <w:lvl w:ilvl="6">
      <w:start w:val="1"/>
      <w:numFmt w:val="none"/>
      <w:lvlRestart w:val="1"/>
      <w:suff w:val="nothing"/>
      <w:lvlText w:val=""/>
      <w:lvlJc w:val="left"/>
      <w:pPr>
        <w:ind w:left="710" w:firstLine="0"/>
      </w:pPr>
      <w:rPr>
        <w:rFonts w:hint="default"/>
      </w:rPr>
    </w:lvl>
    <w:lvl w:ilvl="7">
      <w:start w:val="1"/>
      <w:numFmt w:val="none"/>
      <w:suff w:val="nothing"/>
      <w:lvlText w:val=""/>
      <w:lvlJc w:val="left"/>
      <w:pPr>
        <w:ind w:left="710" w:firstLine="0"/>
      </w:pPr>
      <w:rPr>
        <w:rFonts w:hint="default"/>
      </w:rPr>
    </w:lvl>
    <w:lvl w:ilvl="8">
      <w:start w:val="1"/>
      <w:numFmt w:val="none"/>
      <w:suff w:val="space"/>
      <w:lvlText w:val=""/>
      <w:lvlJc w:val="left"/>
      <w:pPr>
        <w:ind w:left="710" w:firstLine="0"/>
      </w:pPr>
      <w:rPr>
        <w:rFonts w:hint="default"/>
      </w:rPr>
    </w:lvl>
  </w:abstractNum>
  <w:abstractNum w:abstractNumId="13" w15:restartNumberingAfterBreak="0">
    <w:nsid w:val="461D19B0"/>
    <w:multiLevelType w:val="hybridMultilevel"/>
    <w:tmpl w:val="70EA4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A47409"/>
    <w:multiLevelType w:val="hybridMultilevel"/>
    <w:tmpl w:val="9CF01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400348"/>
    <w:multiLevelType w:val="hybridMultilevel"/>
    <w:tmpl w:val="37D2E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4E2854"/>
    <w:multiLevelType w:val="hybridMultilevel"/>
    <w:tmpl w:val="CFDA5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8"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19"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0"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287855716">
    <w:abstractNumId w:val="17"/>
  </w:num>
  <w:num w:numId="2" w16cid:durableId="2023555934">
    <w:abstractNumId w:val="19"/>
  </w:num>
  <w:num w:numId="3" w16cid:durableId="296616123">
    <w:abstractNumId w:val="20"/>
  </w:num>
  <w:num w:numId="4" w16cid:durableId="1090004592">
    <w:abstractNumId w:val="18"/>
  </w:num>
  <w:num w:numId="5" w16cid:durableId="829178285">
    <w:abstractNumId w:val="1"/>
  </w:num>
  <w:num w:numId="6" w16cid:durableId="1564296924">
    <w:abstractNumId w:val="12"/>
    <w:lvlOverride w:ilvl="0">
      <w:lvl w:ilvl="0">
        <w:start w:val="1"/>
        <w:numFmt w:val="decimal"/>
        <w:pStyle w:val="AltHeading1"/>
        <w:lvlText w:val="%1."/>
        <w:lvlJc w:val="left"/>
        <w:pPr>
          <w:tabs>
            <w:tab w:val="num" w:pos="2551"/>
          </w:tabs>
          <w:ind w:left="2551" w:hanging="1134"/>
        </w:pPr>
        <w:rPr>
          <w:b/>
          <w:bCs w:val="0"/>
          <w:i w:val="0"/>
          <w:iCs w:val="0"/>
          <w:caps w:val="0"/>
          <w:smallCaps w:val="0"/>
          <w:strike w:val="0"/>
          <w:dstrike w:val="0"/>
          <w:outline w:val="0"/>
          <w:shadow w:val="0"/>
          <w:emboss w:val="0"/>
          <w:imprint w:val="0"/>
          <w:noProof w:val="0"/>
          <w:vanish w:val="0"/>
          <w:color w:val="003C69"/>
          <w:spacing w:val="0"/>
          <w:position w:val="0"/>
          <w:sz w:val="40"/>
          <w:szCs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ltHeading2"/>
        <w:lvlText w:val="%1.%2"/>
        <w:lvlJc w:val="left"/>
        <w:pPr>
          <w:tabs>
            <w:tab w:val="num" w:pos="1134"/>
          </w:tabs>
          <w:ind w:left="1134" w:hanging="1134"/>
        </w:pPr>
        <w:rPr>
          <w:rFonts w:ascii="Arial" w:hAnsi="Arial" w:cs="Arial" w:hint="default"/>
          <w:i w:val="0"/>
          <w:caps w:val="0"/>
          <w:smallCaps w:val="0"/>
          <w:strike w:val="0"/>
          <w:dstrike w:val="0"/>
          <w:outline w:val="0"/>
          <w:shadow w:val="0"/>
          <w:emboss w:val="0"/>
          <w:imprint w:val="0"/>
          <w:noProof w:val="0"/>
          <w:vanish w:val="0"/>
          <w:color w:val="7AB800"/>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ltHeading3"/>
        <w:lvlText w:val="%1.%2.%3"/>
        <w:lvlJc w:val="left"/>
        <w:pPr>
          <w:tabs>
            <w:tab w:val="num" w:pos="1134"/>
          </w:tabs>
          <w:ind w:left="1134" w:hanging="1134"/>
        </w:pPr>
        <w:rPr>
          <w:rFonts w:ascii="Arial" w:hAnsi="Arial" w:cs="Arial" w:hint="default"/>
          <w:color w:val="003C69"/>
          <w:sz w:val="28"/>
          <w:szCs w:val="28"/>
        </w:rPr>
      </w:lvl>
    </w:lvlOverride>
    <w:lvlOverride w:ilvl="3">
      <w:lvl w:ilvl="3">
        <w:start w:val="1"/>
        <w:numFmt w:val="decimal"/>
        <w:pStyle w:val="AltHeading4"/>
        <w:lvlText w:val="%1.%2.%3.%4"/>
        <w:lvlJc w:val="left"/>
        <w:pPr>
          <w:tabs>
            <w:tab w:val="num" w:pos="1134"/>
          </w:tabs>
          <w:ind w:left="1134" w:hanging="1134"/>
        </w:pPr>
        <w:rPr>
          <w:rFonts w:asciiTheme="majorHAnsi" w:hAnsiTheme="majorHAnsi" w:hint="default"/>
          <w:color w:val="071E30" w:themeColor="accent2"/>
          <w:sz w:val="24"/>
        </w:rPr>
      </w:lvl>
    </w:lvlOverride>
    <w:lvlOverride w:ilvl="4">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7" w16cid:durableId="502431375">
    <w:abstractNumId w:val="12"/>
  </w:num>
  <w:num w:numId="8" w16cid:durableId="585960604">
    <w:abstractNumId w:val="12"/>
    <w:lvlOverride w:ilvl="0">
      <w:lvl w:ilvl="0">
        <w:start w:val="1"/>
        <w:numFmt w:val="decimal"/>
        <w:pStyle w:val="AltHeading1"/>
        <w:lvlText w:val="%1."/>
        <w:lvlJc w:val="left"/>
        <w:pPr>
          <w:tabs>
            <w:tab w:val="num" w:pos="5104"/>
          </w:tabs>
          <w:ind w:left="5104" w:hanging="1134"/>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ltHeading2"/>
        <w:lvlText w:val="%1.%2"/>
        <w:lvlJc w:val="left"/>
        <w:pPr>
          <w:tabs>
            <w:tab w:val="num" w:pos="3261"/>
          </w:tabs>
          <w:ind w:left="3261" w:hanging="1134"/>
        </w:pPr>
        <w:rPr>
          <w:rFonts w:ascii="Arial" w:hAnsi="Arial" w:cs="Arial" w:hint="default"/>
          <w:i w:val="0"/>
          <w:caps w:val="0"/>
          <w:smallCaps w:val="0"/>
          <w:strike w:val="0"/>
          <w:dstrike w:val="0"/>
          <w:outline w:val="0"/>
          <w:shadow w:val="0"/>
          <w:emboss w:val="0"/>
          <w:imprint w:val="0"/>
          <w:noProof w:val="0"/>
          <w:vanish w:val="0"/>
          <w:color w:val="003C69"/>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ltHeading3"/>
        <w:lvlText w:val="%1.%2.%3"/>
        <w:lvlJc w:val="left"/>
        <w:pPr>
          <w:tabs>
            <w:tab w:val="num" w:pos="1134"/>
          </w:tabs>
          <w:ind w:left="1134" w:hanging="1134"/>
        </w:pPr>
        <w:rPr>
          <w:b/>
          <w:i w:val="0"/>
          <w:caps w:val="0"/>
          <w:smallCaps w:val="0"/>
          <w:strike w:val="0"/>
          <w:dstrike w:val="0"/>
          <w:outline w:val="0"/>
          <w:shadow w:val="0"/>
          <w:emboss w:val="0"/>
          <w:imprint w:val="0"/>
          <w:noProof w:val="0"/>
          <w:vanish w:val="0"/>
          <w:color w:val="003C69"/>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194611390">
    <w:abstractNumId w:val="0"/>
  </w:num>
  <w:num w:numId="10" w16cid:durableId="545917026">
    <w:abstractNumId w:val="13"/>
  </w:num>
  <w:num w:numId="11" w16cid:durableId="800003662">
    <w:abstractNumId w:val="14"/>
  </w:num>
  <w:num w:numId="12" w16cid:durableId="1556313059">
    <w:abstractNumId w:val="9"/>
  </w:num>
  <w:num w:numId="13" w16cid:durableId="1968118335">
    <w:abstractNumId w:val="5"/>
  </w:num>
  <w:num w:numId="14" w16cid:durableId="901521970">
    <w:abstractNumId w:val="4"/>
  </w:num>
  <w:num w:numId="15" w16cid:durableId="479470208">
    <w:abstractNumId w:val="11"/>
  </w:num>
  <w:num w:numId="16" w16cid:durableId="231936958">
    <w:abstractNumId w:val="7"/>
  </w:num>
  <w:num w:numId="17" w16cid:durableId="2005815084">
    <w:abstractNumId w:val="2"/>
  </w:num>
  <w:num w:numId="18" w16cid:durableId="790436557">
    <w:abstractNumId w:val="15"/>
  </w:num>
  <w:num w:numId="19" w16cid:durableId="1566179503">
    <w:abstractNumId w:val="16"/>
  </w:num>
  <w:num w:numId="20" w16cid:durableId="707294435">
    <w:abstractNumId w:val="3"/>
  </w:num>
  <w:num w:numId="21" w16cid:durableId="678626803">
    <w:abstractNumId w:val="10"/>
  </w:num>
  <w:num w:numId="22" w16cid:durableId="708648650">
    <w:abstractNumId w:val="8"/>
  </w:num>
  <w:num w:numId="23" w16cid:durableId="112920776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B9F"/>
    <w:rsid w:val="00003BED"/>
    <w:rsid w:val="000112D6"/>
    <w:rsid w:val="00012CAD"/>
    <w:rsid w:val="0001356D"/>
    <w:rsid w:val="00015908"/>
    <w:rsid w:val="00024C73"/>
    <w:rsid w:val="00027C00"/>
    <w:rsid w:val="000323D8"/>
    <w:rsid w:val="00032F8C"/>
    <w:rsid w:val="000330B9"/>
    <w:rsid w:val="000356EE"/>
    <w:rsid w:val="000367C3"/>
    <w:rsid w:val="00040D81"/>
    <w:rsid w:val="00055E88"/>
    <w:rsid w:val="00060E40"/>
    <w:rsid w:val="0006262A"/>
    <w:rsid w:val="00063EC5"/>
    <w:rsid w:val="00067CCE"/>
    <w:rsid w:val="00071C83"/>
    <w:rsid w:val="00073B95"/>
    <w:rsid w:val="0007412F"/>
    <w:rsid w:val="00080DFF"/>
    <w:rsid w:val="0008210B"/>
    <w:rsid w:val="00084F98"/>
    <w:rsid w:val="000865FC"/>
    <w:rsid w:val="00091474"/>
    <w:rsid w:val="000919D4"/>
    <w:rsid w:val="00094534"/>
    <w:rsid w:val="00095677"/>
    <w:rsid w:val="0009568B"/>
    <w:rsid w:val="00095C22"/>
    <w:rsid w:val="00096CFF"/>
    <w:rsid w:val="000A21FE"/>
    <w:rsid w:val="000A3D35"/>
    <w:rsid w:val="000A437C"/>
    <w:rsid w:val="000A537D"/>
    <w:rsid w:val="000B14AA"/>
    <w:rsid w:val="000B50A4"/>
    <w:rsid w:val="000B59D1"/>
    <w:rsid w:val="000B62D3"/>
    <w:rsid w:val="000C02EA"/>
    <w:rsid w:val="000C1D4A"/>
    <w:rsid w:val="000C5836"/>
    <w:rsid w:val="000D1CE3"/>
    <w:rsid w:val="000D4CEE"/>
    <w:rsid w:val="000D54AC"/>
    <w:rsid w:val="000E042D"/>
    <w:rsid w:val="000E7E0C"/>
    <w:rsid w:val="000F2720"/>
    <w:rsid w:val="000F6407"/>
    <w:rsid w:val="0010099B"/>
    <w:rsid w:val="00101A73"/>
    <w:rsid w:val="00104B02"/>
    <w:rsid w:val="001102A1"/>
    <w:rsid w:val="00113117"/>
    <w:rsid w:val="00120753"/>
    <w:rsid w:val="00121CF1"/>
    <w:rsid w:val="00123430"/>
    <w:rsid w:val="001270BA"/>
    <w:rsid w:val="00134532"/>
    <w:rsid w:val="001353C0"/>
    <w:rsid w:val="00136E90"/>
    <w:rsid w:val="00140B83"/>
    <w:rsid w:val="00140CB2"/>
    <w:rsid w:val="00141687"/>
    <w:rsid w:val="00144F50"/>
    <w:rsid w:val="001506E6"/>
    <w:rsid w:val="00154110"/>
    <w:rsid w:val="00154AB7"/>
    <w:rsid w:val="00155A7A"/>
    <w:rsid w:val="00164F97"/>
    <w:rsid w:val="00165B51"/>
    <w:rsid w:val="00171882"/>
    <w:rsid w:val="00171D63"/>
    <w:rsid w:val="00172F20"/>
    <w:rsid w:val="00173197"/>
    <w:rsid w:val="00175D5A"/>
    <w:rsid w:val="0018390F"/>
    <w:rsid w:val="00186938"/>
    <w:rsid w:val="00186F39"/>
    <w:rsid w:val="00186F51"/>
    <w:rsid w:val="00190D28"/>
    <w:rsid w:val="0019114D"/>
    <w:rsid w:val="0019174A"/>
    <w:rsid w:val="00193BB2"/>
    <w:rsid w:val="0019439A"/>
    <w:rsid w:val="001A25B4"/>
    <w:rsid w:val="001A3A3D"/>
    <w:rsid w:val="001C08E7"/>
    <w:rsid w:val="001D2F1F"/>
    <w:rsid w:val="001E0C82"/>
    <w:rsid w:val="001E2C9E"/>
    <w:rsid w:val="001E3456"/>
    <w:rsid w:val="001E4EC4"/>
    <w:rsid w:val="00203695"/>
    <w:rsid w:val="00204A19"/>
    <w:rsid w:val="00205F1F"/>
    <w:rsid w:val="0021456D"/>
    <w:rsid w:val="00223BBE"/>
    <w:rsid w:val="00225A2D"/>
    <w:rsid w:val="00232CF2"/>
    <w:rsid w:val="0023628B"/>
    <w:rsid w:val="002371A7"/>
    <w:rsid w:val="00240281"/>
    <w:rsid w:val="00240B9E"/>
    <w:rsid w:val="00242092"/>
    <w:rsid w:val="0024694E"/>
    <w:rsid w:val="00252B60"/>
    <w:rsid w:val="00254FCD"/>
    <w:rsid w:val="00255732"/>
    <w:rsid w:val="00260334"/>
    <w:rsid w:val="002611E3"/>
    <w:rsid w:val="00263F19"/>
    <w:rsid w:val="002640D5"/>
    <w:rsid w:val="00264860"/>
    <w:rsid w:val="0026519F"/>
    <w:rsid w:val="00267FDF"/>
    <w:rsid w:val="00270007"/>
    <w:rsid w:val="00273076"/>
    <w:rsid w:val="00275049"/>
    <w:rsid w:val="00283E47"/>
    <w:rsid w:val="002909B5"/>
    <w:rsid w:val="00290B05"/>
    <w:rsid w:val="00292F8A"/>
    <w:rsid w:val="00293985"/>
    <w:rsid w:val="002A0A51"/>
    <w:rsid w:val="002A3EB6"/>
    <w:rsid w:val="002A7912"/>
    <w:rsid w:val="002B1770"/>
    <w:rsid w:val="002B2F7D"/>
    <w:rsid w:val="002C2338"/>
    <w:rsid w:val="002C4244"/>
    <w:rsid w:val="002C5D9B"/>
    <w:rsid w:val="002D6C9E"/>
    <w:rsid w:val="002D7D2F"/>
    <w:rsid w:val="002E02E0"/>
    <w:rsid w:val="002E29F7"/>
    <w:rsid w:val="002E3822"/>
    <w:rsid w:val="002E41DD"/>
    <w:rsid w:val="002E6E73"/>
    <w:rsid w:val="002F1F81"/>
    <w:rsid w:val="002F2FF2"/>
    <w:rsid w:val="002F46EC"/>
    <w:rsid w:val="002F5321"/>
    <w:rsid w:val="002F5E8F"/>
    <w:rsid w:val="0030134E"/>
    <w:rsid w:val="00302C6D"/>
    <w:rsid w:val="003050F9"/>
    <w:rsid w:val="0030571B"/>
    <w:rsid w:val="00321BB9"/>
    <w:rsid w:val="003277E3"/>
    <w:rsid w:val="00330284"/>
    <w:rsid w:val="00333249"/>
    <w:rsid w:val="00335122"/>
    <w:rsid w:val="00337668"/>
    <w:rsid w:val="0034090D"/>
    <w:rsid w:val="003533A6"/>
    <w:rsid w:val="00365918"/>
    <w:rsid w:val="00367614"/>
    <w:rsid w:val="0037504A"/>
    <w:rsid w:val="00375610"/>
    <w:rsid w:val="00375AFE"/>
    <w:rsid w:val="00376651"/>
    <w:rsid w:val="003824DD"/>
    <w:rsid w:val="00385414"/>
    <w:rsid w:val="003859A2"/>
    <w:rsid w:val="00385D62"/>
    <w:rsid w:val="00387344"/>
    <w:rsid w:val="00394461"/>
    <w:rsid w:val="003A0561"/>
    <w:rsid w:val="003A138B"/>
    <w:rsid w:val="003B0977"/>
    <w:rsid w:val="003B15BA"/>
    <w:rsid w:val="003B4322"/>
    <w:rsid w:val="003B77FD"/>
    <w:rsid w:val="003C73AE"/>
    <w:rsid w:val="003D0941"/>
    <w:rsid w:val="003D15D7"/>
    <w:rsid w:val="003D3DDE"/>
    <w:rsid w:val="003D4361"/>
    <w:rsid w:val="003D4691"/>
    <w:rsid w:val="003D7163"/>
    <w:rsid w:val="003E0083"/>
    <w:rsid w:val="003E204F"/>
    <w:rsid w:val="003E4D96"/>
    <w:rsid w:val="003E7400"/>
    <w:rsid w:val="003F021E"/>
    <w:rsid w:val="003F033F"/>
    <w:rsid w:val="003F0E1B"/>
    <w:rsid w:val="00401B22"/>
    <w:rsid w:val="00401CB5"/>
    <w:rsid w:val="004045E9"/>
    <w:rsid w:val="00406ADB"/>
    <w:rsid w:val="0042018F"/>
    <w:rsid w:val="00420D3B"/>
    <w:rsid w:val="00424561"/>
    <w:rsid w:val="00425B45"/>
    <w:rsid w:val="00435625"/>
    <w:rsid w:val="00442C3B"/>
    <w:rsid w:val="00444D2D"/>
    <w:rsid w:val="0044632A"/>
    <w:rsid w:val="00446356"/>
    <w:rsid w:val="0045096B"/>
    <w:rsid w:val="00452585"/>
    <w:rsid w:val="0045776F"/>
    <w:rsid w:val="00460504"/>
    <w:rsid w:val="00463213"/>
    <w:rsid w:val="00464D36"/>
    <w:rsid w:val="00465B54"/>
    <w:rsid w:val="00470ACB"/>
    <w:rsid w:val="00474C84"/>
    <w:rsid w:val="00476F24"/>
    <w:rsid w:val="004807AC"/>
    <w:rsid w:val="00481168"/>
    <w:rsid w:val="00481FBF"/>
    <w:rsid w:val="00482035"/>
    <w:rsid w:val="00482276"/>
    <w:rsid w:val="004911BF"/>
    <w:rsid w:val="00492B82"/>
    <w:rsid w:val="00492FF4"/>
    <w:rsid w:val="004A7133"/>
    <w:rsid w:val="004B1068"/>
    <w:rsid w:val="004B2E0F"/>
    <w:rsid w:val="004C07FC"/>
    <w:rsid w:val="004C0C45"/>
    <w:rsid w:val="004C2901"/>
    <w:rsid w:val="004C4C2B"/>
    <w:rsid w:val="004C6FAE"/>
    <w:rsid w:val="004D49A3"/>
    <w:rsid w:val="004D56A9"/>
    <w:rsid w:val="004D6D71"/>
    <w:rsid w:val="004D7D50"/>
    <w:rsid w:val="004E159E"/>
    <w:rsid w:val="004E3690"/>
    <w:rsid w:val="004F0011"/>
    <w:rsid w:val="004F108A"/>
    <w:rsid w:val="004F6D59"/>
    <w:rsid w:val="004F7F54"/>
    <w:rsid w:val="005024DD"/>
    <w:rsid w:val="00503AD7"/>
    <w:rsid w:val="005075D9"/>
    <w:rsid w:val="005105FF"/>
    <w:rsid w:val="00511F74"/>
    <w:rsid w:val="005128BA"/>
    <w:rsid w:val="00514E75"/>
    <w:rsid w:val="00516334"/>
    <w:rsid w:val="0051751D"/>
    <w:rsid w:val="005201FA"/>
    <w:rsid w:val="005275AC"/>
    <w:rsid w:val="00527C0B"/>
    <w:rsid w:val="00530731"/>
    <w:rsid w:val="005308D4"/>
    <w:rsid w:val="00531C6E"/>
    <w:rsid w:val="00533437"/>
    <w:rsid w:val="005345E6"/>
    <w:rsid w:val="005356D0"/>
    <w:rsid w:val="00535B1E"/>
    <w:rsid w:val="00540AFF"/>
    <w:rsid w:val="005427F2"/>
    <w:rsid w:val="00545452"/>
    <w:rsid w:val="00546311"/>
    <w:rsid w:val="0054747F"/>
    <w:rsid w:val="00553530"/>
    <w:rsid w:val="00554143"/>
    <w:rsid w:val="005551C4"/>
    <w:rsid w:val="00557A08"/>
    <w:rsid w:val="00560347"/>
    <w:rsid w:val="0056055E"/>
    <w:rsid w:val="00561EC9"/>
    <w:rsid w:val="00562482"/>
    <w:rsid w:val="00564592"/>
    <w:rsid w:val="00567279"/>
    <w:rsid w:val="0057777A"/>
    <w:rsid w:val="00583719"/>
    <w:rsid w:val="00584AD4"/>
    <w:rsid w:val="0058512C"/>
    <w:rsid w:val="005864D4"/>
    <w:rsid w:val="005879DB"/>
    <w:rsid w:val="00591EAB"/>
    <w:rsid w:val="005934B1"/>
    <w:rsid w:val="00596985"/>
    <w:rsid w:val="00597297"/>
    <w:rsid w:val="005A175F"/>
    <w:rsid w:val="005A406A"/>
    <w:rsid w:val="005A421E"/>
    <w:rsid w:val="005A4B9F"/>
    <w:rsid w:val="005A5812"/>
    <w:rsid w:val="005A5AC3"/>
    <w:rsid w:val="005B351B"/>
    <w:rsid w:val="005B366A"/>
    <w:rsid w:val="005B40CE"/>
    <w:rsid w:val="005B5785"/>
    <w:rsid w:val="005B5D84"/>
    <w:rsid w:val="005C346D"/>
    <w:rsid w:val="005C435D"/>
    <w:rsid w:val="005C4E81"/>
    <w:rsid w:val="005C5E3A"/>
    <w:rsid w:val="005C7F93"/>
    <w:rsid w:val="005D1AE0"/>
    <w:rsid w:val="005D2488"/>
    <w:rsid w:val="005D6E5E"/>
    <w:rsid w:val="005D715A"/>
    <w:rsid w:val="005E01B9"/>
    <w:rsid w:val="005F07A0"/>
    <w:rsid w:val="00603651"/>
    <w:rsid w:val="006044BA"/>
    <w:rsid w:val="00605F67"/>
    <w:rsid w:val="006112F8"/>
    <w:rsid w:val="006157EE"/>
    <w:rsid w:val="006173F5"/>
    <w:rsid w:val="00617B09"/>
    <w:rsid w:val="00617F61"/>
    <w:rsid w:val="0062270D"/>
    <w:rsid w:val="00632DDC"/>
    <w:rsid w:val="006408B5"/>
    <w:rsid w:val="00641C5F"/>
    <w:rsid w:val="00641EB7"/>
    <w:rsid w:val="00644524"/>
    <w:rsid w:val="0064766C"/>
    <w:rsid w:val="00650A5D"/>
    <w:rsid w:val="0065103A"/>
    <w:rsid w:val="00660451"/>
    <w:rsid w:val="006607AB"/>
    <w:rsid w:val="006615AD"/>
    <w:rsid w:val="00670826"/>
    <w:rsid w:val="00671977"/>
    <w:rsid w:val="0067263C"/>
    <w:rsid w:val="0067596A"/>
    <w:rsid w:val="00680721"/>
    <w:rsid w:val="006818A7"/>
    <w:rsid w:val="00683EAB"/>
    <w:rsid w:val="0068573B"/>
    <w:rsid w:val="006861B5"/>
    <w:rsid w:val="006862FF"/>
    <w:rsid w:val="006879A8"/>
    <w:rsid w:val="006902D2"/>
    <w:rsid w:val="0069082A"/>
    <w:rsid w:val="0069107D"/>
    <w:rsid w:val="00692EE8"/>
    <w:rsid w:val="006A1C79"/>
    <w:rsid w:val="006A257D"/>
    <w:rsid w:val="006A5BC1"/>
    <w:rsid w:val="006A6895"/>
    <w:rsid w:val="006B275B"/>
    <w:rsid w:val="006B3545"/>
    <w:rsid w:val="006B54F1"/>
    <w:rsid w:val="006C044B"/>
    <w:rsid w:val="006C557B"/>
    <w:rsid w:val="006D0A57"/>
    <w:rsid w:val="006D0F98"/>
    <w:rsid w:val="006D1207"/>
    <w:rsid w:val="006D1BD0"/>
    <w:rsid w:val="006D49DD"/>
    <w:rsid w:val="006D5545"/>
    <w:rsid w:val="006E2675"/>
    <w:rsid w:val="006E3DE7"/>
    <w:rsid w:val="006F44A2"/>
    <w:rsid w:val="006F7AC1"/>
    <w:rsid w:val="006F7B3D"/>
    <w:rsid w:val="007017F0"/>
    <w:rsid w:val="0070277A"/>
    <w:rsid w:val="00704895"/>
    <w:rsid w:val="00705012"/>
    <w:rsid w:val="00706106"/>
    <w:rsid w:val="00713466"/>
    <w:rsid w:val="007144B9"/>
    <w:rsid w:val="00714764"/>
    <w:rsid w:val="00715DBD"/>
    <w:rsid w:val="007207A0"/>
    <w:rsid w:val="00723604"/>
    <w:rsid w:val="00737BE9"/>
    <w:rsid w:val="0074034E"/>
    <w:rsid w:val="007473C4"/>
    <w:rsid w:val="00751131"/>
    <w:rsid w:val="00751A17"/>
    <w:rsid w:val="00754CB4"/>
    <w:rsid w:val="00760852"/>
    <w:rsid w:val="00762A86"/>
    <w:rsid w:val="00763037"/>
    <w:rsid w:val="007642D4"/>
    <w:rsid w:val="00766EFA"/>
    <w:rsid w:val="00767E80"/>
    <w:rsid w:val="00772301"/>
    <w:rsid w:val="00772F63"/>
    <w:rsid w:val="007777F6"/>
    <w:rsid w:val="00777AC6"/>
    <w:rsid w:val="0078191A"/>
    <w:rsid w:val="0078498D"/>
    <w:rsid w:val="00790FC4"/>
    <w:rsid w:val="00792BD5"/>
    <w:rsid w:val="00794CEF"/>
    <w:rsid w:val="00795E22"/>
    <w:rsid w:val="00797700"/>
    <w:rsid w:val="007A0CD7"/>
    <w:rsid w:val="007A130F"/>
    <w:rsid w:val="007A1A5A"/>
    <w:rsid w:val="007A41FF"/>
    <w:rsid w:val="007B1828"/>
    <w:rsid w:val="007B1853"/>
    <w:rsid w:val="007B1930"/>
    <w:rsid w:val="007B214F"/>
    <w:rsid w:val="007B55B4"/>
    <w:rsid w:val="007B5787"/>
    <w:rsid w:val="007B6439"/>
    <w:rsid w:val="007C038C"/>
    <w:rsid w:val="007D1AE2"/>
    <w:rsid w:val="007D2398"/>
    <w:rsid w:val="007D2691"/>
    <w:rsid w:val="007D574F"/>
    <w:rsid w:val="007D7817"/>
    <w:rsid w:val="007E0CD4"/>
    <w:rsid w:val="007E23F9"/>
    <w:rsid w:val="007E24E6"/>
    <w:rsid w:val="007E45D3"/>
    <w:rsid w:val="007E6613"/>
    <w:rsid w:val="007F1252"/>
    <w:rsid w:val="007F1D64"/>
    <w:rsid w:val="007F2BC5"/>
    <w:rsid w:val="007F3E8A"/>
    <w:rsid w:val="007F5F5C"/>
    <w:rsid w:val="00805CF7"/>
    <w:rsid w:val="00811AA6"/>
    <w:rsid w:val="0081702A"/>
    <w:rsid w:val="00817400"/>
    <w:rsid w:val="008214DD"/>
    <w:rsid w:val="0082315A"/>
    <w:rsid w:val="008271FB"/>
    <w:rsid w:val="00831DDA"/>
    <w:rsid w:val="00832E05"/>
    <w:rsid w:val="00833B82"/>
    <w:rsid w:val="00837384"/>
    <w:rsid w:val="0084404D"/>
    <w:rsid w:val="00846D15"/>
    <w:rsid w:val="00850208"/>
    <w:rsid w:val="00850F61"/>
    <w:rsid w:val="00852653"/>
    <w:rsid w:val="00863C26"/>
    <w:rsid w:val="00871878"/>
    <w:rsid w:val="008718BF"/>
    <w:rsid w:val="00873321"/>
    <w:rsid w:val="00873D82"/>
    <w:rsid w:val="00874DDE"/>
    <w:rsid w:val="00882A57"/>
    <w:rsid w:val="00884A9D"/>
    <w:rsid w:val="0088793C"/>
    <w:rsid w:val="008938DB"/>
    <w:rsid w:val="0089682C"/>
    <w:rsid w:val="008A05EE"/>
    <w:rsid w:val="008A1493"/>
    <w:rsid w:val="008A32ED"/>
    <w:rsid w:val="008A501C"/>
    <w:rsid w:val="008A720E"/>
    <w:rsid w:val="008B1E2C"/>
    <w:rsid w:val="008B2ACF"/>
    <w:rsid w:val="008B31F1"/>
    <w:rsid w:val="008B55BC"/>
    <w:rsid w:val="008C0F00"/>
    <w:rsid w:val="008C21A7"/>
    <w:rsid w:val="008C5F34"/>
    <w:rsid w:val="008C76D1"/>
    <w:rsid w:val="008D1FAB"/>
    <w:rsid w:val="008D246C"/>
    <w:rsid w:val="008D375B"/>
    <w:rsid w:val="008D45CD"/>
    <w:rsid w:val="008D627A"/>
    <w:rsid w:val="008D70EA"/>
    <w:rsid w:val="008E08B2"/>
    <w:rsid w:val="008E3DE1"/>
    <w:rsid w:val="008E64D2"/>
    <w:rsid w:val="008F1E59"/>
    <w:rsid w:val="00900DEE"/>
    <w:rsid w:val="009023D3"/>
    <w:rsid w:val="00912F5B"/>
    <w:rsid w:val="00914834"/>
    <w:rsid w:val="0091637A"/>
    <w:rsid w:val="00923EA4"/>
    <w:rsid w:val="00924579"/>
    <w:rsid w:val="00935266"/>
    <w:rsid w:val="0094184C"/>
    <w:rsid w:val="00942818"/>
    <w:rsid w:val="009510B4"/>
    <w:rsid w:val="00954078"/>
    <w:rsid w:val="00954D92"/>
    <w:rsid w:val="00954EB3"/>
    <w:rsid w:val="00955855"/>
    <w:rsid w:val="00955CFE"/>
    <w:rsid w:val="0096024E"/>
    <w:rsid w:val="009623A2"/>
    <w:rsid w:val="00964C0A"/>
    <w:rsid w:val="00966A4E"/>
    <w:rsid w:val="00966CEB"/>
    <w:rsid w:val="00971735"/>
    <w:rsid w:val="00974A74"/>
    <w:rsid w:val="00980C46"/>
    <w:rsid w:val="00981D0B"/>
    <w:rsid w:val="00984F2A"/>
    <w:rsid w:val="009868A8"/>
    <w:rsid w:val="00991F92"/>
    <w:rsid w:val="00997FB8"/>
    <w:rsid w:val="009A063F"/>
    <w:rsid w:val="009A113C"/>
    <w:rsid w:val="009A127C"/>
    <w:rsid w:val="009A1D48"/>
    <w:rsid w:val="009A2009"/>
    <w:rsid w:val="009A4AED"/>
    <w:rsid w:val="009A64AD"/>
    <w:rsid w:val="009B024D"/>
    <w:rsid w:val="009B16C3"/>
    <w:rsid w:val="009B4D4A"/>
    <w:rsid w:val="009B6C3E"/>
    <w:rsid w:val="009B7379"/>
    <w:rsid w:val="009C3318"/>
    <w:rsid w:val="009C429E"/>
    <w:rsid w:val="009C46CE"/>
    <w:rsid w:val="009C476A"/>
    <w:rsid w:val="009C7280"/>
    <w:rsid w:val="009D0D01"/>
    <w:rsid w:val="009D130F"/>
    <w:rsid w:val="009D2DE3"/>
    <w:rsid w:val="009D4BBB"/>
    <w:rsid w:val="009D4E1B"/>
    <w:rsid w:val="009D6437"/>
    <w:rsid w:val="009D7707"/>
    <w:rsid w:val="009E45E4"/>
    <w:rsid w:val="009E5D4B"/>
    <w:rsid w:val="009E668C"/>
    <w:rsid w:val="009F2C80"/>
    <w:rsid w:val="009F7191"/>
    <w:rsid w:val="00A0054A"/>
    <w:rsid w:val="00A010CD"/>
    <w:rsid w:val="00A053BC"/>
    <w:rsid w:val="00A064B2"/>
    <w:rsid w:val="00A10C17"/>
    <w:rsid w:val="00A1137C"/>
    <w:rsid w:val="00A113BB"/>
    <w:rsid w:val="00A1232A"/>
    <w:rsid w:val="00A13321"/>
    <w:rsid w:val="00A2446B"/>
    <w:rsid w:val="00A250D6"/>
    <w:rsid w:val="00A32EB7"/>
    <w:rsid w:val="00A33DF0"/>
    <w:rsid w:val="00A41C23"/>
    <w:rsid w:val="00A42F1E"/>
    <w:rsid w:val="00A4387E"/>
    <w:rsid w:val="00A47A8C"/>
    <w:rsid w:val="00A47C0D"/>
    <w:rsid w:val="00A53315"/>
    <w:rsid w:val="00A54901"/>
    <w:rsid w:val="00A557CE"/>
    <w:rsid w:val="00A55BDB"/>
    <w:rsid w:val="00A55D40"/>
    <w:rsid w:val="00A567E6"/>
    <w:rsid w:val="00A57B43"/>
    <w:rsid w:val="00A6142A"/>
    <w:rsid w:val="00A63DCB"/>
    <w:rsid w:val="00A64F1B"/>
    <w:rsid w:val="00A67B95"/>
    <w:rsid w:val="00A74172"/>
    <w:rsid w:val="00A779EF"/>
    <w:rsid w:val="00A86086"/>
    <w:rsid w:val="00A865E7"/>
    <w:rsid w:val="00A9280E"/>
    <w:rsid w:val="00A9710D"/>
    <w:rsid w:val="00A978CA"/>
    <w:rsid w:val="00AA175C"/>
    <w:rsid w:val="00AA196A"/>
    <w:rsid w:val="00AB00B3"/>
    <w:rsid w:val="00AB00BE"/>
    <w:rsid w:val="00AB7A5D"/>
    <w:rsid w:val="00AC235E"/>
    <w:rsid w:val="00AC3BC7"/>
    <w:rsid w:val="00AC6949"/>
    <w:rsid w:val="00AD1A50"/>
    <w:rsid w:val="00AD1D4D"/>
    <w:rsid w:val="00AE2692"/>
    <w:rsid w:val="00AE2D98"/>
    <w:rsid w:val="00AE50CB"/>
    <w:rsid w:val="00AE6D22"/>
    <w:rsid w:val="00AF05F8"/>
    <w:rsid w:val="00AF61A4"/>
    <w:rsid w:val="00AF67C3"/>
    <w:rsid w:val="00B002AF"/>
    <w:rsid w:val="00B011C9"/>
    <w:rsid w:val="00B01571"/>
    <w:rsid w:val="00B015F2"/>
    <w:rsid w:val="00B02107"/>
    <w:rsid w:val="00B02DDE"/>
    <w:rsid w:val="00B103A7"/>
    <w:rsid w:val="00B1179E"/>
    <w:rsid w:val="00B118D2"/>
    <w:rsid w:val="00B271F6"/>
    <w:rsid w:val="00B376E6"/>
    <w:rsid w:val="00B43369"/>
    <w:rsid w:val="00B43BF0"/>
    <w:rsid w:val="00B44A61"/>
    <w:rsid w:val="00B5067E"/>
    <w:rsid w:val="00B52D7D"/>
    <w:rsid w:val="00B54845"/>
    <w:rsid w:val="00B54ACC"/>
    <w:rsid w:val="00B54C34"/>
    <w:rsid w:val="00B55D2E"/>
    <w:rsid w:val="00B56ABB"/>
    <w:rsid w:val="00B6035E"/>
    <w:rsid w:val="00B60769"/>
    <w:rsid w:val="00B63FAF"/>
    <w:rsid w:val="00B65437"/>
    <w:rsid w:val="00B70360"/>
    <w:rsid w:val="00B70F24"/>
    <w:rsid w:val="00B735A7"/>
    <w:rsid w:val="00B75F8B"/>
    <w:rsid w:val="00B766D4"/>
    <w:rsid w:val="00B814B7"/>
    <w:rsid w:val="00B83089"/>
    <w:rsid w:val="00B86366"/>
    <w:rsid w:val="00B86614"/>
    <w:rsid w:val="00B90FBA"/>
    <w:rsid w:val="00B93CEB"/>
    <w:rsid w:val="00BA1E73"/>
    <w:rsid w:val="00BA2048"/>
    <w:rsid w:val="00BA6747"/>
    <w:rsid w:val="00BB14DF"/>
    <w:rsid w:val="00BB29BA"/>
    <w:rsid w:val="00BB35E9"/>
    <w:rsid w:val="00BB6D02"/>
    <w:rsid w:val="00BB77B4"/>
    <w:rsid w:val="00BC3ED6"/>
    <w:rsid w:val="00BC4F17"/>
    <w:rsid w:val="00BC5A12"/>
    <w:rsid w:val="00BC5A7F"/>
    <w:rsid w:val="00BD6494"/>
    <w:rsid w:val="00BE630A"/>
    <w:rsid w:val="00BF449A"/>
    <w:rsid w:val="00BF4E9A"/>
    <w:rsid w:val="00BF7C30"/>
    <w:rsid w:val="00C01D72"/>
    <w:rsid w:val="00C111AD"/>
    <w:rsid w:val="00C22E9D"/>
    <w:rsid w:val="00C26837"/>
    <w:rsid w:val="00C2791F"/>
    <w:rsid w:val="00C34FA0"/>
    <w:rsid w:val="00C358A6"/>
    <w:rsid w:val="00C36E66"/>
    <w:rsid w:val="00C3753C"/>
    <w:rsid w:val="00C37FDC"/>
    <w:rsid w:val="00C4086A"/>
    <w:rsid w:val="00C40EE3"/>
    <w:rsid w:val="00C44D94"/>
    <w:rsid w:val="00C529FC"/>
    <w:rsid w:val="00C530E9"/>
    <w:rsid w:val="00C62835"/>
    <w:rsid w:val="00C67855"/>
    <w:rsid w:val="00C678C8"/>
    <w:rsid w:val="00C705DA"/>
    <w:rsid w:val="00C72285"/>
    <w:rsid w:val="00C722FB"/>
    <w:rsid w:val="00C738D3"/>
    <w:rsid w:val="00C74802"/>
    <w:rsid w:val="00C7562E"/>
    <w:rsid w:val="00C764AC"/>
    <w:rsid w:val="00C76C9A"/>
    <w:rsid w:val="00C811A8"/>
    <w:rsid w:val="00C824A4"/>
    <w:rsid w:val="00C84725"/>
    <w:rsid w:val="00C91540"/>
    <w:rsid w:val="00C918C4"/>
    <w:rsid w:val="00C944CB"/>
    <w:rsid w:val="00C96FC7"/>
    <w:rsid w:val="00CA12C9"/>
    <w:rsid w:val="00CA2D16"/>
    <w:rsid w:val="00CA6302"/>
    <w:rsid w:val="00CB6F7C"/>
    <w:rsid w:val="00CC2C37"/>
    <w:rsid w:val="00CC33DC"/>
    <w:rsid w:val="00CC58D5"/>
    <w:rsid w:val="00CC599C"/>
    <w:rsid w:val="00CD0DA8"/>
    <w:rsid w:val="00CD3F83"/>
    <w:rsid w:val="00CE0CFA"/>
    <w:rsid w:val="00CE393D"/>
    <w:rsid w:val="00CE5D17"/>
    <w:rsid w:val="00CE6CB9"/>
    <w:rsid w:val="00CF23E4"/>
    <w:rsid w:val="00CF31AC"/>
    <w:rsid w:val="00CF38B5"/>
    <w:rsid w:val="00D12E20"/>
    <w:rsid w:val="00D22591"/>
    <w:rsid w:val="00D242AE"/>
    <w:rsid w:val="00D24AB7"/>
    <w:rsid w:val="00D2779B"/>
    <w:rsid w:val="00D30516"/>
    <w:rsid w:val="00D33CC6"/>
    <w:rsid w:val="00D34B3F"/>
    <w:rsid w:val="00D353AA"/>
    <w:rsid w:val="00D47936"/>
    <w:rsid w:val="00D55B9A"/>
    <w:rsid w:val="00D56A7A"/>
    <w:rsid w:val="00D62542"/>
    <w:rsid w:val="00D6319D"/>
    <w:rsid w:val="00D66170"/>
    <w:rsid w:val="00D671AD"/>
    <w:rsid w:val="00D74A79"/>
    <w:rsid w:val="00D75F51"/>
    <w:rsid w:val="00D77F76"/>
    <w:rsid w:val="00D8103A"/>
    <w:rsid w:val="00D810F2"/>
    <w:rsid w:val="00D840FD"/>
    <w:rsid w:val="00D844C2"/>
    <w:rsid w:val="00D84566"/>
    <w:rsid w:val="00D87D7A"/>
    <w:rsid w:val="00D908BB"/>
    <w:rsid w:val="00D91F41"/>
    <w:rsid w:val="00D929FC"/>
    <w:rsid w:val="00D96B1A"/>
    <w:rsid w:val="00D9795E"/>
    <w:rsid w:val="00DB1B72"/>
    <w:rsid w:val="00DB3117"/>
    <w:rsid w:val="00DB7881"/>
    <w:rsid w:val="00DC0880"/>
    <w:rsid w:val="00DC317F"/>
    <w:rsid w:val="00DC31E7"/>
    <w:rsid w:val="00DE0712"/>
    <w:rsid w:val="00DE34E5"/>
    <w:rsid w:val="00DE520B"/>
    <w:rsid w:val="00DE709B"/>
    <w:rsid w:val="00DF14D0"/>
    <w:rsid w:val="00DF6D52"/>
    <w:rsid w:val="00DF6EE0"/>
    <w:rsid w:val="00DF7139"/>
    <w:rsid w:val="00E00D50"/>
    <w:rsid w:val="00E0364B"/>
    <w:rsid w:val="00E037B4"/>
    <w:rsid w:val="00E048EF"/>
    <w:rsid w:val="00E12652"/>
    <w:rsid w:val="00E13E5B"/>
    <w:rsid w:val="00E21A0D"/>
    <w:rsid w:val="00E37E6D"/>
    <w:rsid w:val="00E42757"/>
    <w:rsid w:val="00E42F4B"/>
    <w:rsid w:val="00E4305A"/>
    <w:rsid w:val="00E43405"/>
    <w:rsid w:val="00E43D2C"/>
    <w:rsid w:val="00E43E5A"/>
    <w:rsid w:val="00E562C5"/>
    <w:rsid w:val="00E57BB5"/>
    <w:rsid w:val="00E57E8B"/>
    <w:rsid w:val="00E712EE"/>
    <w:rsid w:val="00E77DF8"/>
    <w:rsid w:val="00E85549"/>
    <w:rsid w:val="00E933FC"/>
    <w:rsid w:val="00E95EE1"/>
    <w:rsid w:val="00EA3888"/>
    <w:rsid w:val="00EA3F9B"/>
    <w:rsid w:val="00EA6A40"/>
    <w:rsid w:val="00EB142A"/>
    <w:rsid w:val="00EB21D5"/>
    <w:rsid w:val="00EB3C3D"/>
    <w:rsid w:val="00EB5015"/>
    <w:rsid w:val="00EC1600"/>
    <w:rsid w:val="00EC2424"/>
    <w:rsid w:val="00EC40F8"/>
    <w:rsid w:val="00EC6B2E"/>
    <w:rsid w:val="00ED13DB"/>
    <w:rsid w:val="00ED2366"/>
    <w:rsid w:val="00ED32D7"/>
    <w:rsid w:val="00ED4C64"/>
    <w:rsid w:val="00EF1141"/>
    <w:rsid w:val="00F018C7"/>
    <w:rsid w:val="00F024C6"/>
    <w:rsid w:val="00F06635"/>
    <w:rsid w:val="00F10406"/>
    <w:rsid w:val="00F12B31"/>
    <w:rsid w:val="00F12FCA"/>
    <w:rsid w:val="00F177B7"/>
    <w:rsid w:val="00F26FB2"/>
    <w:rsid w:val="00F3039D"/>
    <w:rsid w:val="00F3649F"/>
    <w:rsid w:val="00F36529"/>
    <w:rsid w:val="00F37799"/>
    <w:rsid w:val="00F41E9F"/>
    <w:rsid w:val="00F451F0"/>
    <w:rsid w:val="00F55A44"/>
    <w:rsid w:val="00F62DDF"/>
    <w:rsid w:val="00F65ED2"/>
    <w:rsid w:val="00F742EC"/>
    <w:rsid w:val="00F8557B"/>
    <w:rsid w:val="00F91758"/>
    <w:rsid w:val="00F94257"/>
    <w:rsid w:val="00F94314"/>
    <w:rsid w:val="00FA1F0C"/>
    <w:rsid w:val="00FA282B"/>
    <w:rsid w:val="00FA66AD"/>
    <w:rsid w:val="00FB03C8"/>
    <w:rsid w:val="00FB3188"/>
    <w:rsid w:val="00FB4AD5"/>
    <w:rsid w:val="00FB605C"/>
    <w:rsid w:val="00FC1F8A"/>
    <w:rsid w:val="00FC72D0"/>
    <w:rsid w:val="00FC76B9"/>
    <w:rsid w:val="00FC7A6F"/>
    <w:rsid w:val="00FD0817"/>
    <w:rsid w:val="00FD4758"/>
    <w:rsid w:val="00FE0493"/>
    <w:rsid w:val="00FE1C7D"/>
    <w:rsid w:val="00FE2826"/>
    <w:rsid w:val="00FE5EE3"/>
    <w:rsid w:val="00FF4D38"/>
    <w:rsid w:val="00FF4D76"/>
    <w:rsid w:val="00FF7A32"/>
    <w:rsid w:val="011439B1"/>
    <w:rsid w:val="0D82351F"/>
    <w:rsid w:val="0F81778B"/>
    <w:rsid w:val="2271323C"/>
    <w:rsid w:val="25B2A134"/>
    <w:rsid w:val="2A7E8A73"/>
    <w:rsid w:val="2BA87CF6"/>
    <w:rsid w:val="2D1E052A"/>
    <w:rsid w:val="2D95340C"/>
    <w:rsid w:val="3A0586B0"/>
    <w:rsid w:val="3B41FD3D"/>
    <w:rsid w:val="43BEB6B7"/>
    <w:rsid w:val="4A5F875F"/>
    <w:rsid w:val="4E5B0992"/>
    <w:rsid w:val="50403235"/>
    <w:rsid w:val="56526B94"/>
    <w:rsid w:val="5751B430"/>
    <w:rsid w:val="69DF7C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D6CB8"/>
  <w15:chartTrackingRefBased/>
  <w15:docId w15:val="{C8441AF9-B187-4C0C-9008-B528FF64A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3"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iPriority w:val="99"/>
    <w:unhideWhenUsed/>
    <w:qFormat/>
    <w:rsid w:val="00DF6D52"/>
  </w:style>
  <w:style w:type="character" w:customStyle="1" w:styleId="BodyTextChar">
    <w:name w:val="Body Text Char"/>
    <w:basedOn w:val="DefaultParagraphFont"/>
    <w:link w:val="BodyText"/>
    <w:uiPriority w:val="99"/>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13"/>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13"/>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1"/>
      </w:numPr>
      <w:contextualSpacing/>
    </w:pPr>
  </w:style>
  <w:style w:type="paragraph" w:styleId="ListNumber2">
    <w:name w:val="List Number 2"/>
    <w:basedOn w:val="BodyText"/>
    <w:uiPriority w:val="99"/>
    <w:semiHidden/>
    <w:unhideWhenUsed/>
    <w:rsid w:val="004D56A9"/>
    <w:pPr>
      <w:numPr>
        <w:ilvl w:val="1"/>
        <w:numId w:val="1"/>
      </w:numPr>
      <w:contextualSpacing/>
    </w:pPr>
  </w:style>
  <w:style w:type="paragraph" w:styleId="ListNumber3">
    <w:name w:val="List Number 3"/>
    <w:basedOn w:val="BodyText"/>
    <w:uiPriority w:val="99"/>
    <w:semiHidden/>
    <w:unhideWhenUsed/>
    <w:rsid w:val="004D56A9"/>
    <w:pPr>
      <w:numPr>
        <w:ilvl w:val="2"/>
        <w:numId w:val="1"/>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2"/>
      </w:numPr>
      <w:contextualSpacing/>
    </w:pPr>
  </w:style>
  <w:style w:type="paragraph" w:styleId="ListBullet2">
    <w:name w:val="List Bullet 2"/>
    <w:basedOn w:val="BodyText"/>
    <w:uiPriority w:val="99"/>
    <w:semiHidden/>
    <w:unhideWhenUsed/>
    <w:rsid w:val="004D56A9"/>
    <w:pPr>
      <w:numPr>
        <w:numId w:val="3"/>
      </w:numPr>
      <w:contextualSpacing/>
    </w:pPr>
  </w:style>
  <w:style w:type="paragraph" w:styleId="ListBullet3">
    <w:name w:val="List Bullet 3"/>
    <w:basedOn w:val="BodyText"/>
    <w:uiPriority w:val="99"/>
    <w:semiHidden/>
    <w:unhideWhenUsed/>
    <w:rsid w:val="004D56A9"/>
    <w:pPr>
      <w:numPr>
        <w:numId w:val="4"/>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2"/>
    <w:qFormat/>
    <w:rsid w:val="00B56ABB"/>
    <w:pPr>
      <w:ind w:left="720"/>
      <w:contextualSpacing/>
    </w:pPr>
  </w:style>
  <w:style w:type="character" w:customStyle="1" w:styleId="Heading2Char">
    <w:name w:val="Heading 2 Char"/>
    <w:basedOn w:val="DefaultParagraphFont"/>
    <w:link w:val="Heading2"/>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paragraph" w:customStyle="1" w:styleId="AltHeading1">
    <w:name w:val="Alt Heading 1"/>
    <w:basedOn w:val="Heading1"/>
    <w:next w:val="BodyText"/>
    <w:qFormat/>
    <w:rsid w:val="00E43D2C"/>
    <w:pPr>
      <w:widowControl w:val="0"/>
      <w:numPr>
        <w:numId w:val="6"/>
      </w:numPr>
      <w:tabs>
        <w:tab w:val="clear" w:pos="2551"/>
        <w:tab w:val="num" w:pos="1134"/>
      </w:tabs>
      <w:spacing w:before="480" w:after="240" w:line="240" w:lineRule="auto"/>
      <w:ind w:left="1134"/>
    </w:pPr>
    <w:rPr>
      <w:rFonts w:eastAsia="Times New Roman" w:cs="Arial"/>
      <w:color w:val="003C69"/>
      <w:kern w:val="32"/>
      <w:sz w:val="40"/>
      <w:szCs w:val="32"/>
      <w:lang w:eastAsia="en-AU"/>
    </w:rPr>
  </w:style>
  <w:style w:type="paragraph" w:customStyle="1" w:styleId="AltHeading2">
    <w:name w:val="Alt Heading 2"/>
    <w:basedOn w:val="Heading2"/>
    <w:next w:val="BodyText"/>
    <w:qFormat/>
    <w:rsid w:val="00121CF1"/>
    <w:pPr>
      <w:numPr>
        <w:ilvl w:val="1"/>
        <w:numId w:val="8"/>
      </w:numPr>
      <w:tabs>
        <w:tab w:val="clear" w:pos="3261"/>
        <w:tab w:val="left" w:pos="902"/>
        <w:tab w:val="num" w:pos="1080"/>
      </w:tabs>
      <w:spacing w:before="120" w:after="120" w:line="240" w:lineRule="auto"/>
      <w:ind w:left="0" w:right="709" w:firstLine="0"/>
    </w:pPr>
    <w:rPr>
      <w:rFonts w:eastAsia="Times New Roman" w:cs="Arial"/>
      <w:bCs/>
      <w:iCs/>
      <w:color w:val="003C69"/>
      <w:sz w:val="36"/>
      <w:szCs w:val="28"/>
      <w:lang w:eastAsia="en-AU"/>
    </w:rPr>
  </w:style>
  <w:style w:type="paragraph" w:customStyle="1" w:styleId="AltHeading3">
    <w:name w:val="Alt Heading 3"/>
    <w:basedOn w:val="Heading3"/>
    <w:next w:val="BodyText"/>
    <w:qFormat/>
    <w:rsid w:val="00E43D2C"/>
    <w:pPr>
      <w:numPr>
        <w:ilvl w:val="2"/>
        <w:numId w:val="6"/>
      </w:numPr>
      <w:tabs>
        <w:tab w:val="clear" w:pos="1134"/>
      </w:tabs>
      <w:spacing w:before="280" w:after="140" w:line="240" w:lineRule="auto"/>
      <w:ind w:left="851" w:firstLine="0"/>
    </w:pPr>
    <w:rPr>
      <w:rFonts w:asciiTheme="majorHAnsi" w:eastAsia="Times New Roman" w:hAnsiTheme="majorHAnsi" w:cs="Times New Roman"/>
      <w:bCs/>
      <w:color w:val="003E69" w:themeColor="accent1"/>
      <w:sz w:val="28"/>
      <w:szCs w:val="24"/>
      <w:lang w:eastAsia="en-AU"/>
    </w:rPr>
  </w:style>
  <w:style w:type="paragraph" w:customStyle="1" w:styleId="AltHeading4">
    <w:name w:val="Alt Heading 4"/>
    <w:basedOn w:val="Heading4"/>
    <w:next w:val="BodyText"/>
    <w:qFormat/>
    <w:rsid w:val="00E43D2C"/>
    <w:pPr>
      <w:numPr>
        <w:ilvl w:val="3"/>
        <w:numId w:val="6"/>
      </w:numPr>
      <w:tabs>
        <w:tab w:val="clear" w:pos="1134"/>
      </w:tabs>
      <w:spacing w:before="240" w:after="120" w:line="240" w:lineRule="auto"/>
      <w:ind w:firstLine="0"/>
    </w:pPr>
    <w:rPr>
      <w:rFonts w:asciiTheme="majorHAnsi" w:eastAsia="Times New Roman" w:hAnsiTheme="majorHAnsi" w:cs="Times New Roman"/>
      <w:bCs/>
      <w:color w:val="071E30" w:themeColor="accent2"/>
      <w:szCs w:val="22"/>
      <w:lang w:eastAsia="en-AU"/>
    </w:rPr>
  </w:style>
  <w:style w:type="character" w:styleId="Hyperlink">
    <w:name w:val="Hyperlink"/>
    <w:basedOn w:val="DefaultParagraphFont"/>
    <w:uiPriority w:val="99"/>
    <w:rsid w:val="00E43D2C"/>
    <w:rPr>
      <w:color w:val="003E69" w:themeColor="accent1"/>
      <w:u w:val="single"/>
    </w:rPr>
  </w:style>
  <w:style w:type="paragraph" w:styleId="TOC1">
    <w:name w:val="toc 1"/>
    <w:basedOn w:val="Normal"/>
    <w:next w:val="Normal"/>
    <w:uiPriority w:val="39"/>
    <w:rsid w:val="00E43D2C"/>
    <w:pPr>
      <w:keepNext/>
      <w:tabs>
        <w:tab w:val="right" w:pos="10773"/>
      </w:tabs>
      <w:spacing w:before="240" w:after="120" w:line="240" w:lineRule="auto"/>
      <w:ind w:right="567"/>
    </w:pPr>
    <w:rPr>
      <w:rFonts w:ascii="Calibri" w:hAnsi="Calibri"/>
      <w:noProof/>
      <w:sz w:val="20"/>
    </w:rPr>
  </w:style>
  <w:style w:type="table" w:customStyle="1" w:styleId="StoneTable">
    <w:name w:val="Stone Table"/>
    <w:basedOn w:val="NavyTable"/>
    <w:uiPriority w:val="99"/>
    <w:rsid w:val="00E43D2C"/>
    <w:tblPr/>
    <w:tcPr>
      <w:shd w:val="clear" w:color="auto" w:fill="auto"/>
    </w:tcPr>
    <w:tblStylePr w:type="firstRow">
      <w:tblPr/>
      <w:tcPr>
        <w:tcBorders>
          <w:insideV w:val="single" w:sz="4" w:space="0" w:color="FFFFFF" w:themeColor="background1"/>
        </w:tcBorders>
        <w:shd w:val="clear" w:color="auto" w:fill="003E69" w:themeFill="accent1"/>
      </w:tcPr>
    </w:tblStylePr>
    <w:tblStylePr w:type="lastRow">
      <w:rPr>
        <w:b w:val="0"/>
      </w:rPr>
      <w:tblPr/>
      <w:tcPr>
        <w:shd w:val="clear" w:color="auto" w:fill="99B1C3"/>
      </w:tcPr>
    </w:tblStylePr>
    <w:tblStylePr w:type="firstCol">
      <w:tblPr/>
      <w:tcPr>
        <w:tcBorders>
          <w:insideH w:val="nil"/>
        </w:tcBorders>
        <w:shd w:val="clear" w:color="auto" w:fill="003E69" w:themeFill="accent1"/>
      </w:tcPr>
    </w:tblStylePr>
    <w:tblStylePr w:type="band2Vert">
      <w:tblPr/>
      <w:tcPr>
        <w:shd w:val="clear" w:color="auto" w:fill="CCD8E1"/>
      </w:tcPr>
    </w:tblStylePr>
    <w:tblStylePr w:type="band2Horz">
      <w:tblPr/>
      <w:tcPr>
        <w:shd w:val="clear" w:color="auto" w:fill="CCD8E1"/>
      </w:tcPr>
    </w:tblStylePr>
  </w:style>
  <w:style w:type="paragraph" w:customStyle="1" w:styleId="TableHeading">
    <w:name w:val="Table Heading"/>
    <w:basedOn w:val="Normal"/>
    <w:next w:val="BodyText"/>
    <w:uiPriority w:val="3"/>
    <w:qFormat/>
    <w:rsid w:val="00E43D2C"/>
    <w:pPr>
      <w:spacing w:before="60" w:after="60" w:line="240" w:lineRule="auto"/>
    </w:pPr>
    <w:rPr>
      <w:rFonts w:asciiTheme="minorHAnsi" w:hAnsiTheme="minorHAnsi"/>
      <w:b/>
      <w:sz w:val="18"/>
    </w:rPr>
  </w:style>
  <w:style w:type="paragraph" w:customStyle="1" w:styleId="TableText">
    <w:name w:val="Table Text"/>
    <w:basedOn w:val="Normal"/>
    <w:link w:val="TableTextChar"/>
    <w:uiPriority w:val="3"/>
    <w:qFormat/>
    <w:rsid w:val="00E43D2C"/>
    <w:pPr>
      <w:spacing w:before="60" w:after="60" w:line="240" w:lineRule="auto"/>
    </w:pPr>
    <w:rPr>
      <w:rFonts w:asciiTheme="minorHAnsi" w:hAnsiTheme="minorHAnsi"/>
      <w:sz w:val="18"/>
    </w:rPr>
  </w:style>
  <w:style w:type="paragraph" w:customStyle="1" w:styleId="AltHeading5">
    <w:name w:val="Alt Heading 5"/>
    <w:basedOn w:val="Heading5"/>
    <w:next w:val="BodyText"/>
    <w:qFormat/>
    <w:rsid w:val="00E43D2C"/>
    <w:pPr>
      <w:numPr>
        <w:ilvl w:val="4"/>
        <w:numId w:val="6"/>
      </w:numPr>
      <w:tabs>
        <w:tab w:val="clear" w:pos="1134"/>
      </w:tabs>
      <w:spacing w:before="240" w:after="120" w:line="240" w:lineRule="auto"/>
      <w:ind w:left="1418" w:firstLine="0"/>
    </w:pPr>
    <w:rPr>
      <w:rFonts w:eastAsia="Times New Roman" w:cs="Times New Roman"/>
      <w:b/>
      <w:bCs/>
      <w:iCs/>
      <w:caps w:val="0"/>
      <w:color w:val="auto"/>
      <w:sz w:val="20"/>
      <w:szCs w:val="26"/>
      <w:lang w:eastAsia="en-AU"/>
    </w:rPr>
  </w:style>
  <w:style w:type="numbering" w:customStyle="1" w:styleId="ListParagraph0">
    <w:name w:val="List Paragraph0"/>
    <w:uiPriority w:val="99"/>
    <w:rsid w:val="002611E3"/>
    <w:pPr>
      <w:numPr>
        <w:numId w:val="5"/>
      </w:numPr>
    </w:pPr>
  </w:style>
  <w:style w:type="table" w:customStyle="1" w:styleId="NavyTable">
    <w:name w:val="Navy Table"/>
    <w:basedOn w:val="TableNormal"/>
    <w:uiPriority w:val="99"/>
    <w:rsid w:val="00E43D2C"/>
    <w:pPr>
      <w:spacing w:after="0" w:line="240" w:lineRule="auto"/>
    </w:pPr>
    <w:tblPr>
      <w:tblStyleRowBandSize w:val="1"/>
      <w:tblStyleColBandSize w:val="1"/>
      <w:tblInd w:w="108" w:type="dxa"/>
      <w:tblBorders>
        <w:bottom w:val="single" w:sz="4" w:space="0" w:color="003E69" w:themeColor="accent1"/>
        <w:insideH w:val="single" w:sz="4" w:space="0" w:color="003E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E69" w:themeFill="accent1"/>
      </w:tcPr>
    </w:tblStylePr>
    <w:tblStylePr w:type="lastRow">
      <w:rPr>
        <w:b w:val="0"/>
      </w:rPr>
      <w:tblPr/>
      <w:tcPr>
        <w:shd w:val="clear" w:color="auto" w:fill="99B1C3"/>
      </w:tcPr>
    </w:tblStylePr>
    <w:tblStylePr w:type="firstCol">
      <w:tblPr/>
      <w:tcPr>
        <w:tcBorders>
          <w:insideH w:val="nil"/>
        </w:tcBorders>
        <w:shd w:val="clear" w:color="auto" w:fill="003E69" w:themeFill="accent1"/>
      </w:tcPr>
    </w:tblStylePr>
    <w:tblStylePr w:type="band2Vert">
      <w:tblPr/>
      <w:tcPr>
        <w:shd w:val="clear" w:color="auto" w:fill="CCD8E1"/>
      </w:tcPr>
    </w:tblStylePr>
    <w:tblStylePr w:type="band2Horz">
      <w:tblPr/>
      <w:tcPr>
        <w:shd w:val="clear" w:color="auto" w:fill="CCD8E1"/>
      </w:tcPr>
    </w:tblStylePr>
  </w:style>
  <w:style w:type="paragraph" w:customStyle="1" w:styleId="ListParagraph2">
    <w:name w:val="List Paragraph 2"/>
    <w:basedOn w:val="ListParagraph"/>
    <w:uiPriority w:val="19"/>
    <w:rsid w:val="00E43D2C"/>
    <w:pPr>
      <w:spacing w:after="120" w:line="260" w:lineRule="atLeast"/>
      <w:ind w:left="567"/>
      <w:contextualSpacing w:val="0"/>
    </w:pPr>
    <w:rPr>
      <w:rFonts w:asciiTheme="minorHAnsi" w:eastAsia="Times New Roman" w:hAnsiTheme="minorHAnsi" w:cs="Times New Roman"/>
      <w:sz w:val="20"/>
      <w:szCs w:val="24"/>
      <w:lang w:eastAsia="en-AU"/>
    </w:rPr>
  </w:style>
  <w:style w:type="paragraph" w:customStyle="1" w:styleId="ListParagraph3">
    <w:name w:val="List Paragraph 3"/>
    <w:basedOn w:val="ListParagraph"/>
    <w:uiPriority w:val="19"/>
    <w:rsid w:val="00E43D2C"/>
    <w:pPr>
      <w:spacing w:after="120" w:line="260" w:lineRule="atLeast"/>
      <w:ind w:left="851"/>
      <w:contextualSpacing w:val="0"/>
    </w:pPr>
    <w:rPr>
      <w:rFonts w:asciiTheme="minorHAnsi" w:eastAsia="Times New Roman" w:hAnsiTheme="minorHAnsi" w:cs="Times New Roman"/>
      <w:sz w:val="20"/>
      <w:szCs w:val="24"/>
      <w:lang w:eastAsia="en-AU"/>
    </w:rPr>
  </w:style>
  <w:style w:type="paragraph" w:customStyle="1" w:styleId="ListParagraph4">
    <w:name w:val="List Paragraph 4"/>
    <w:basedOn w:val="ListParagraph"/>
    <w:uiPriority w:val="19"/>
    <w:rsid w:val="00E43D2C"/>
    <w:pPr>
      <w:spacing w:after="120" w:line="260" w:lineRule="atLeast"/>
      <w:ind w:left="1134"/>
      <w:contextualSpacing w:val="0"/>
    </w:pPr>
    <w:rPr>
      <w:rFonts w:asciiTheme="minorHAnsi" w:eastAsia="Times New Roman" w:hAnsiTheme="minorHAnsi" w:cs="Times New Roman"/>
      <w:sz w:val="20"/>
      <w:szCs w:val="24"/>
      <w:lang w:eastAsia="en-AU"/>
    </w:rPr>
  </w:style>
  <w:style w:type="paragraph" w:customStyle="1" w:styleId="ListParagraph5">
    <w:name w:val="List Paragraph 5"/>
    <w:basedOn w:val="ListParagraph"/>
    <w:uiPriority w:val="19"/>
    <w:rsid w:val="00E43D2C"/>
    <w:pPr>
      <w:spacing w:after="120" w:line="260" w:lineRule="atLeast"/>
      <w:ind w:left="1418"/>
      <w:contextualSpacing w:val="0"/>
    </w:pPr>
    <w:rPr>
      <w:rFonts w:asciiTheme="minorHAnsi" w:eastAsia="Times New Roman" w:hAnsiTheme="minorHAnsi" w:cs="Times New Roman"/>
      <w:sz w:val="20"/>
      <w:szCs w:val="24"/>
      <w:lang w:eastAsia="en-AU"/>
    </w:rPr>
  </w:style>
  <w:style w:type="paragraph" w:customStyle="1" w:styleId="ListParagraph6">
    <w:name w:val="List Paragraph 6"/>
    <w:basedOn w:val="ListParagraph"/>
    <w:uiPriority w:val="19"/>
    <w:rsid w:val="00E43D2C"/>
    <w:pPr>
      <w:spacing w:after="120" w:line="260" w:lineRule="atLeast"/>
      <w:ind w:left="1701"/>
      <w:contextualSpacing w:val="0"/>
    </w:pPr>
    <w:rPr>
      <w:rFonts w:asciiTheme="minorHAnsi" w:eastAsia="Times New Roman" w:hAnsiTheme="minorHAnsi" w:cs="Times New Roman"/>
      <w:sz w:val="20"/>
      <w:szCs w:val="24"/>
      <w:lang w:eastAsia="en-AU"/>
    </w:rPr>
  </w:style>
  <w:style w:type="numbering" w:customStyle="1" w:styleId="ListNumberedHeadings">
    <w:name w:val="List_NumberedHeadings"/>
    <w:uiPriority w:val="99"/>
    <w:rsid w:val="00E43D2C"/>
    <w:pPr>
      <w:numPr>
        <w:numId w:val="7"/>
      </w:numPr>
    </w:pPr>
  </w:style>
  <w:style w:type="paragraph" w:customStyle="1" w:styleId="TableTitle">
    <w:name w:val="Table Title"/>
    <w:basedOn w:val="TableText"/>
    <w:rsid w:val="00E43D2C"/>
    <w:pPr>
      <w:keepLines/>
      <w:spacing w:before="40" w:after="40"/>
    </w:pPr>
    <w:rPr>
      <w:rFonts w:ascii="Arial" w:eastAsia="Times New Roman" w:hAnsi="Arial" w:cs="Times New Roman"/>
      <w:b/>
      <w:sz w:val="22"/>
      <w:szCs w:val="20"/>
      <w:lang w:eastAsia="en-AU"/>
    </w:rPr>
  </w:style>
  <w:style w:type="character" w:customStyle="1" w:styleId="TableTextChar">
    <w:name w:val="Table Text Char"/>
    <w:basedOn w:val="DefaultParagraphFont"/>
    <w:link w:val="TableText"/>
    <w:rsid w:val="00E43D2C"/>
    <w:rPr>
      <w:sz w:val="18"/>
    </w:rPr>
  </w:style>
  <w:style w:type="paragraph" w:styleId="NormalWeb">
    <w:name w:val="Normal (Web)"/>
    <w:basedOn w:val="Normal"/>
    <w:uiPriority w:val="99"/>
    <w:unhideWhenUsed/>
    <w:rsid w:val="00E43D2C"/>
    <w:pPr>
      <w:spacing w:before="100" w:beforeAutospacing="1" w:after="100" w:afterAutospacing="1" w:line="240" w:lineRule="auto"/>
    </w:pPr>
    <w:rPr>
      <w:rFonts w:ascii="Times New Roman" w:eastAsiaTheme="minorEastAsia" w:hAnsi="Times New Roman" w:cs="Times New Roman"/>
      <w:szCs w:val="24"/>
      <w:lang w:eastAsia="en-AU"/>
    </w:rPr>
  </w:style>
  <w:style w:type="paragraph" w:styleId="TOC4">
    <w:name w:val="toc 4"/>
    <w:basedOn w:val="Normal"/>
    <w:next w:val="Normal"/>
    <w:autoRedefine/>
    <w:uiPriority w:val="39"/>
    <w:unhideWhenUsed/>
    <w:rsid w:val="001270BA"/>
    <w:pPr>
      <w:tabs>
        <w:tab w:val="left" w:pos="440"/>
        <w:tab w:val="right" w:leader="dot" w:pos="9016"/>
      </w:tabs>
      <w:spacing w:before="240" w:after="100" w:line="240" w:lineRule="auto"/>
    </w:pPr>
    <w:rPr>
      <w:rFonts w:asciiTheme="minorHAnsi" w:hAnsiTheme="minorHAnsi"/>
      <w:sz w:val="20"/>
    </w:rPr>
  </w:style>
  <w:style w:type="table" w:customStyle="1" w:styleId="TableGrid0">
    <w:name w:val="TableGrid"/>
    <w:rsid w:val="00E43D2C"/>
    <w:pPr>
      <w:spacing w:after="0" w:line="240" w:lineRule="auto"/>
    </w:pPr>
    <w:rPr>
      <w:rFonts w:eastAsiaTheme="minorEastAsia"/>
      <w:lang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43D2C"/>
    <w:rPr>
      <w:color w:val="808080"/>
      <w:shd w:val="clear" w:color="auto" w:fill="E6E6E6"/>
    </w:rPr>
  </w:style>
  <w:style w:type="character" w:customStyle="1" w:styleId="Style1">
    <w:name w:val="Style1"/>
    <w:basedOn w:val="DefaultParagraphFont"/>
    <w:uiPriority w:val="1"/>
    <w:rsid w:val="00E43D2C"/>
    <w:rPr>
      <w:rFonts w:ascii="Arial" w:hAnsi="Arial"/>
      <w:sz w:val="20"/>
    </w:rPr>
  </w:style>
  <w:style w:type="character" w:customStyle="1" w:styleId="ArialBold10">
    <w:name w:val="ArialBold10"/>
    <w:basedOn w:val="DefaultParagraphFont"/>
    <w:uiPriority w:val="1"/>
    <w:rsid w:val="00E43D2C"/>
    <w:rPr>
      <w:rFonts w:ascii="Arial" w:hAnsi="Arial"/>
      <w:b/>
      <w:sz w:val="20"/>
    </w:rPr>
  </w:style>
  <w:style w:type="paragraph" w:styleId="TOC5">
    <w:name w:val="toc 5"/>
    <w:basedOn w:val="Normal"/>
    <w:next w:val="Normal"/>
    <w:autoRedefine/>
    <w:uiPriority w:val="39"/>
    <w:unhideWhenUsed/>
    <w:rsid w:val="00B43BF0"/>
    <w:pPr>
      <w:tabs>
        <w:tab w:val="left" w:pos="1540"/>
        <w:tab w:val="right" w:leader="dot" w:pos="9016"/>
      </w:tabs>
      <w:spacing w:after="100" w:line="240" w:lineRule="auto"/>
      <w:ind w:left="800"/>
    </w:pPr>
    <w:rPr>
      <w:rFonts w:asciiTheme="minorHAnsi" w:hAnsiTheme="minorHAnsi"/>
      <w:sz w:val="20"/>
    </w:rPr>
  </w:style>
  <w:style w:type="paragraph" w:styleId="TOC6">
    <w:name w:val="toc 6"/>
    <w:basedOn w:val="Normal"/>
    <w:next w:val="Normal"/>
    <w:autoRedefine/>
    <w:uiPriority w:val="39"/>
    <w:unhideWhenUsed/>
    <w:rsid w:val="00E43D2C"/>
    <w:pPr>
      <w:spacing w:after="100" w:line="240" w:lineRule="auto"/>
      <w:ind w:left="1000"/>
    </w:pPr>
    <w:rPr>
      <w:rFonts w:asciiTheme="minorHAnsi" w:hAnsiTheme="minorHAnsi"/>
      <w:sz w:val="20"/>
    </w:rPr>
  </w:style>
  <w:style w:type="character" w:styleId="CommentReference">
    <w:name w:val="annotation reference"/>
    <w:basedOn w:val="DefaultParagraphFont"/>
    <w:uiPriority w:val="99"/>
    <w:semiHidden/>
    <w:unhideWhenUsed/>
    <w:rsid w:val="00E43D2C"/>
    <w:rPr>
      <w:sz w:val="16"/>
      <w:szCs w:val="16"/>
    </w:rPr>
  </w:style>
  <w:style w:type="paragraph" w:styleId="CommentText">
    <w:name w:val="annotation text"/>
    <w:basedOn w:val="Normal"/>
    <w:link w:val="CommentTextChar"/>
    <w:uiPriority w:val="99"/>
    <w:unhideWhenUsed/>
    <w:rsid w:val="00E43D2C"/>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E43D2C"/>
    <w:rPr>
      <w:sz w:val="20"/>
      <w:szCs w:val="20"/>
    </w:rPr>
  </w:style>
  <w:style w:type="paragraph" w:styleId="CommentSubject">
    <w:name w:val="annotation subject"/>
    <w:basedOn w:val="CommentText"/>
    <w:next w:val="CommentText"/>
    <w:link w:val="CommentSubjectChar"/>
    <w:uiPriority w:val="99"/>
    <w:semiHidden/>
    <w:unhideWhenUsed/>
    <w:rsid w:val="00E43D2C"/>
    <w:rPr>
      <w:b/>
      <w:bCs/>
    </w:rPr>
  </w:style>
  <w:style w:type="character" w:customStyle="1" w:styleId="CommentSubjectChar">
    <w:name w:val="Comment Subject Char"/>
    <w:basedOn w:val="CommentTextChar"/>
    <w:link w:val="CommentSubject"/>
    <w:uiPriority w:val="99"/>
    <w:semiHidden/>
    <w:rsid w:val="00E43D2C"/>
    <w:rPr>
      <w:b/>
      <w:bCs/>
      <w:sz w:val="20"/>
      <w:szCs w:val="20"/>
    </w:rPr>
  </w:style>
  <w:style w:type="table" w:styleId="TableGridLight">
    <w:name w:val="Grid Table Light"/>
    <w:basedOn w:val="TableNormal"/>
    <w:uiPriority w:val="40"/>
    <w:locked/>
    <w:rsid w:val="00E43D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E43D2C"/>
    <w:rPr>
      <w:color w:val="0563C1" w:themeColor="followedHyperlink"/>
      <w:u w:val="single"/>
    </w:rPr>
  </w:style>
  <w:style w:type="table" w:styleId="PlainTable2">
    <w:name w:val="Plain Table 2"/>
    <w:basedOn w:val="TableNormal"/>
    <w:uiPriority w:val="42"/>
    <w:locked/>
    <w:rsid w:val="00E43D2C"/>
    <w:pPr>
      <w:spacing w:after="0" w:line="240" w:lineRule="auto"/>
    </w:pPr>
    <w:tblPr>
      <w:tblStyleRowBandSize w:val="1"/>
      <w:tblStyleColBandSize w:val="1"/>
      <w:tblBorders>
        <w:top w:val="single" w:sz="4" w:space="0" w:color="5F89AA" w:themeColor="text1" w:themeTint="80"/>
        <w:bottom w:val="single" w:sz="4" w:space="0" w:color="5F89AA" w:themeColor="text1" w:themeTint="80"/>
      </w:tblBorders>
    </w:tblPr>
    <w:tblStylePr w:type="firstRow">
      <w:rPr>
        <w:b/>
        <w:bCs/>
      </w:rPr>
      <w:tblPr/>
      <w:tcPr>
        <w:tcBorders>
          <w:bottom w:val="single" w:sz="4" w:space="0" w:color="5F89AA" w:themeColor="text1" w:themeTint="80"/>
        </w:tcBorders>
      </w:tcPr>
    </w:tblStylePr>
    <w:tblStylePr w:type="lastRow">
      <w:rPr>
        <w:b/>
        <w:bCs/>
      </w:rPr>
      <w:tblPr/>
      <w:tcPr>
        <w:tcBorders>
          <w:top w:val="single" w:sz="4" w:space="0" w:color="5F89AA" w:themeColor="text1" w:themeTint="80"/>
        </w:tcBorders>
      </w:tcPr>
    </w:tblStylePr>
    <w:tblStylePr w:type="firstCol">
      <w:rPr>
        <w:b/>
        <w:bCs/>
      </w:rPr>
    </w:tblStylePr>
    <w:tblStylePr w:type="lastCol">
      <w:rPr>
        <w:b/>
        <w:bCs/>
      </w:rPr>
    </w:tblStylePr>
    <w:tblStylePr w:type="band1Vert">
      <w:tblPr/>
      <w:tcPr>
        <w:tcBorders>
          <w:left w:val="single" w:sz="4" w:space="0" w:color="5F89AA" w:themeColor="text1" w:themeTint="80"/>
          <w:right w:val="single" w:sz="4" w:space="0" w:color="5F89AA" w:themeColor="text1" w:themeTint="80"/>
        </w:tcBorders>
      </w:tcPr>
    </w:tblStylePr>
    <w:tblStylePr w:type="band2Vert">
      <w:tblPr/>
      <w:tcPr>
        <w:tcBorders>
          <w:left w:val="single" w:sz="4" w:space="0" w:color="5F89AA" w:themeColor="text1" w:themeTint="80"/>
          <w:right w:val="single" w:sz="4" w:space="0" w:color="5F89AA" w:themeColor="text1" w:themeTint="80"/>
        </w:tcBorders>
      </w:tcPr>
    </w:tblStylePr>
    <w:tblStylePr w:type="band1Horz">
      <w:tblPr/>
      <w:tcPr>
        <w:tcBorders>
          <w:top w:val="single" w:sz="4" w:space="0" w:color="5F89AA" w:themeColor="text1" w:themeTint="80"/>
          <w:bottom w:val="single" w:sz="4" w:space="0" w:color="5F89AA" w:themeColor="text1" w:themeTint="80"/>
        </w:tcBorders>
      </w:tcPr>
    </w:tblStylePr>
  </w:style>
  <w:style w:type="table" w:styleId="PlainTable1">
    <w:name w:val="Plain Table 1"/>
    <w:basedOn w:val="TableNormal"/>
    <w:uiPriority w:val="41"/>
    <w:locked/>
    <w:rsid w:val="00E43D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ListNumberedHeadings1">
    <w:name w:val="List_NumberedHeadings1"/>
    <w:uiPriority w:val="99"/>
    <w:rsid w:val="00E43D2C"/>
  </w:style>
  <w:style w:type="table" w:styleId="ListTable1Light-Accent6">
    <w:name w:val="List Table 1 Light Accent 6"/>
    <w:basedOn w:val="TableNormal"/>
    <w:uiPriority w:val="46"/>
    <w:locked/>
    <w:rsid w:val="00E43D2C"/>
    <w:pPr>
      <w:spacing w:after="0" w:line="240" w:lineRule="auto"/>
    </w:pPr>
    <w:tblPr>
      <w:tblStyleRowBandSize w:val="1"/>
      <w:tblStyleColBandSize w:val="1"/>
    </w:tblPr>
    <w:tblStylePr w:type="firstRow">
      <w:rPr>
        <w:b/>
        <w:bCs/>
      </w:rPr>
      <w:tblPr/>
      <w:tcPr>
        <w:tcBorders>
          <w:bottom w:val="single" w:sz="4" w:space="0" w:color="E9395D" w:themeColor="accent6" w:themeTint="99"/>
        </w:tcBorders>
      </w:tcPr>
    </w:tblStylePr>
    <w:tblStylePr w:type="lastRow">
      <w:rPr>
        <w:b/>
        <w:bCs/>
      </w:rPr>
      <w:tblPr/>
      <w:tcPr>
        <w:tcBorders>
          <w:top w:val="single" w:sz="4" w:space="0" w:color="E9395D" w:themeColor="accent6" w:themeTint="99"/>
        </w:tcBorders>
      </w:tcPr>
    </w:tblStylePr>
    <w:tblStylePr w:type="firstCol">
      <w:rPr>
        <w:b/>
        <w:bCs/>
      </w:rPr>
    </w:tblStylePr>
    <w:tblStylePr w:type="lastCol">
      <w:rPr>
        <w:b/>
        <w:bCs/>
      </w:rPr>
    </w:tblStylePr>
    <w:tblStylePr w:type="band1Vert">
      <w:tblPr/>
      <w:tcPr>
        <w:shd w:val="clear" w:color="auto" w:fill="F8BDC9" w:themeFill="accent6" w:themeFillTint="33"/>
      </w:tcPr>
    </w:tblStylePr>
    <w:tblStylePr w:type="band1Horz">
      <w:tblPr/>
      <w:tcPr>
        <w:shd w:val="clear" w:color="auto" w:fill="F8BDC9" w:themeFill="accent6" w:themeFillTint="33"/>
      </w:tcPr>
    </w:tblStylePr>
  </w:style>
  <w:style w:type="table" w:styleId="ListTable2">
    <w:name w:val="List Table 2"/>
    <w:basedOn w:val="TableNormal"/>
    <w:uiPriority w:val="47"/>
    <w:locked/>
    <w:rsid w:val="00E43D2C"/>
    <w:pPr>
      <w:spacing w:after="0" w:line="240" w:lineRule="auto"/>
    </w:pPr>
    <w:tblPr>
      <w:tblStyleRowBandSize w:val="1"/>
      <w:tblStyleColBandSize w:val="1"/>
      <w:tblBorders>
        <w:top w:val="single" w:sz="4" w:space="0" w:color="4B718D" w:themeColor="text1" w:themeTint="99"/>
        <w:bottom w:val="single" w:sz="4" w:space="0" w:color="4B718D" w:themeColor="text1" w:themeTint="99"/>
        <w:insideH w:val="single" w:sz="4" w:space="0" w:color="4B718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D0DD" w:themeFill="text1" w:themeFillTint="33"/>
      </w:tcPr>
    </w:tblStylePr>
    <w:tblStylePr w:type="band1Horz">
      <w:tblPr/>
      <w:tcPr>
        <w:shd w:val="clear" w:color="auto" w:fill="BFD0DD" w:themeFill="text1" w:themeFillTint="33"/>
      </w:tcPr>
    </w:tblStylePr>
  </w:style>
  <w:style w:type="table" w:styleId="ListTable6Colorful-Accent6">
    <w:name w:val="List Table 6 Colorful Accent 6"/>
    <w:basedOn w:val="TableNormal"/>
    <w:uiPriority w:val="51"/>
    <w:locked/>
    <w:rsid w:val="00E43D2C"/>
    <w:pPr>
      <w:spacing w:after="0" w:line="240" w:lineRule="auto"/>
    </w:pPr>
    <w:rPr>
      <w:color w:val="610A1C" w:themeColor="accent6" w:themeShade="BF"/>
    </w:rPr>
    <w:tblPr>
      <w:tblStyleRowBandSize w:val="1"/>
      <w:tblStyleColBandSize w:val="1"/>
      <w:tblBorders>
        <w:top w:val="single" w:sz="4" w:space="0" w:color="830E26" w:themeColor="accent6"/>
        <w:bottom w:val="single" w:sz="4" w:space="0" w:color="830E26" w:themeColor="accent6"/>
      </w:tblBorders>
    </w:tblPr>
    <w:tblStylePr w:type="firstRow">
      <w:rPr>
        <w:b/>
        <w:bCs/>
      </w:rPr>
      <w:tblPr/>
      <w:tcPr>
        <w:tcBorders>
          <w:bottom w:val="single" w:sz="4" w:space="0" w:color="830E26" w:themeColor="accent6"/>
        </w:tcBorders>
      </w:tcPr>
    </w:tblStylePr>
    <w:tblStylePr w:type="lastRow">
      <w:rPr>
        <w:b/>
        <w:bCs/>
      </w:rPr>
      <w:tblPr/>
      <w:tcPr>
        <w:tcBorders>
          <w:top w:val="double" w:sz="4" w:space="0" w:color="830E26" w:themeColor="accent6"/>
        </w:tcBorders>
      </w:tcPr>
    </w:tblStylePr>
    <w:tblStylePr w:type="firstCol">
      <w:rPr>
        <w:b/>
        <w:bCs/>
      </w:rPr>
    </w:tblStylePr>
    <w:tblStylePr w:type="lastCol">
      <w:rPr>
        <w:b/>
        <w:bCs/>
      </w:rPr>
    </w:tblStylePr>
    <w:tblStylePr w:type="band1Vert">
      <w:tblPr/>
      <w:tcPr>
        <w:shd w:val="clear" w:color="auto" w:fill="F8BDC9" w:themeFill="accent6" w:themeFillTint="33"/>
      </w:tcPr>
    </w:tblStylePr>
    <w:tblStylePr w:type="band1Horz">
      <w:tblPr/>
      <w:tcPr>
        <w:shd w:val="clear" w:color="auto" w:fill="F8BDC9" w:themeFill="accent6" w:themeFillTint="33"/>
      </w:tcPr>
    </w:tblStylePr>
  </w:style>
  <w:style w:type="table" w:styleId="ListTable7Colorful">
    <w:name w:val="List Table 7 Colorful"/>
    <w:basedOn w:val="TableNormal"/>
    <w:uiPriority w:val="52"/>
    <w:locked/>
    <w:rsid w:val="00E43D2C"/>
    <w:pPr>
      <w:spacing w:after="0" w:line="240" w:lineRule="auto"/>
    </w:pPr>
    <w:rPr>
      <w:color w:val="080C0F"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0C0F"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0C0F"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0C0F"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0C0F" w:themeColor="text1"/>
        </w:tcBorders>
        <w:shd w:val="clear" w:color="auto" w:fill="FFFFFF" w:themeFill="background1"/>
      </w:tcPr>
    </w:tblStylePr>
    <w:tblStylePr w:type="band1Vert">
      <w:tblPr/>
      <w:tcPr>
        <w:shd w:val="clear" w:color="auto" w:fill="BFD0DD" w:themeFill="text1" w:themeFillTint="33"/>
      </w:tcPr>
    </w:tblStylePr>
    <w:tblStylePr w:type="band1Horz">
      <w:tblPr/>
      <w:tcPr>
        <w:shd w:val="clear" w:color="auto" w:fill="BFD0D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6">
    <w:name w:val="List Table 2 Accent 6"/>
    <w:basedOn w:val="TableNormal"/>
    <w:uiPriority w:val="47"/>
    <w:locked/>
    <w:rsid w:val="00E43D2C"/>
    <w:pPr>
      <w:spacing w:after="0" w:line="240" w:lineRule="auto"/>
    </w:pPr>
    <w:tblPr>
      <w:tblStyleRowBandSize w:val="1"/>
      <w:tblStyleColBandSize w:val="1"/>
      <w:tblBorders>
        <w:top w:val="single" w:sz="4" w:space="0" w:color="E9395D" w:themeColor="accent6" w:themeTint="99"/>
        <w:bottom w:val="single" w:sz="4" w:space="0" w:color="E9395D" w:themeColor="accent6" w:themeTint="99"/>
        <w:insideH w:val="single" w:sz="4" w:space="0" w:color="E939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BDC9" w:themeFill="accent6" w:themeFillTint="33"/>
      </w:tcPr>
    </w:tblStylePr>
    <w:tblStylePr w:type="band1Horz">
      <w:tblPr/>
      <w:tcPr>
        <w:shd w:val="clear" w:color="auto" w:fill="F8BDC9" w:themeFill="accent6" w:themeFillTint="33"/>
      </w:tcPr>
    </w:tblStylePr>
  </w:style>
  <w:style w:type="paragraph" w:styleId="Revision">
    <w:name w:val="Revision"/>
    <w:hidden/>
    <w:uiPriority w:val="99"/>
    <w:semiHidden/>
    <w:rsid w:val="00E43D2C"/>
    <w:pPr>
      <w:spacing w:after="0" w:line="240" w:lineRule="auto"/>
    </w:pPr>
    <w:rPr>
      <w:sz w:val="20"/>
    </w:rPr>
  </w:style>
  <w:style w:type="paragraph" w:customStyle="1" w:styleId="pf0">
    <w:name w:val="pf0"/>
    <w:basedOn w:val="Normal"/>
    <w:rsid w:val="00E43D2C"/>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f1">
    <w:name w:val="pf1"/>
    <w:basedOn w:val="Normal"/>
    <w:rsid w:val="00E43D2C"/>
    <w:pPr>
      <w:spacing w:before="100" w:beforeAutospacing="1" w:after="100" w:afterAutospacing="1" w:line="240" w:lineRule="auto"/>
      <w:ind w:left="720"/>
    </w:pPr>
    <w:rPr>
      <w:rFonts w:ascii="Times New Roman" w:eastAsia="Times New Roman" w:hAnsi="Times New Roman" w:cs="Times New Roman"/>
      <w:szCs w:val="24"/>
      <w:lang w:eastAsia="en-AU"/>
    </w:rPr>
  </w:style>
  <w:style w:type="character" w:customStyle="1" w:styleId="cf01">
    <w:name w:val="cf01"/>
    <w:basedOn w:val="DefaultParagraphFont"/>
    <w:rsid w:val="00E43D2C"/>
    <w:rPr>
      <w:rFonts w:ascii="Segoe UI" w:hAnsi="Segoe UI" w:cs="Segoe UI" w:hint="default"/>
      <w:color w:val="374151"/>
      <w:sz w:val="18"/>
      <w:szCs w:val="18"/>
    </w:rPr>
  </w:style>
  <w:style w:type="character" w:customStyle="1" w:styleId="cf11">
    <w:name w:val="cf11"/>
    <w:basedOn w:val="DefaultParagraphFont"/>
    <w:rsid w:val="00E43D2C"/>
    <w:rPr>
      <w:rFonts w:ascii="Segoe UI" w:hAnsi="Segoe UI" w:cs="Segoe UI" w:hint="default"/>
      <w:b/>
      <w:bCs/>
      <w:color w:val="374151"/>
      <w:sz w:val="18"/>
      <w:szCs w:val="18"/>
    </w:rPr>
  </w:style>
  <w:style w:type="paragraph" w:styleId="z-TopofForm">
    <w:name w:val="HTML Top of Form"/>
    <w:basedOn w:val="Normal"/>
    <w:next w:val="Normal"/>
    <w:link w:val="z-TopofFormChar"/>
    <w:hidden/>
    <w:uiPriority w:val="99"/>
    <w:semiHidden/>
    <w:unhideWhenUsed/>
    <w:rsid w:val="00E43D2C"/>
    <w:pPr>
      <w:pBdr>
        <w:bottom w:val="single" w:sz="6" w:space="1" w:color="auto"/>
      </w:pBdr>
      <w:spacing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E43D2C"/>
    <w:rPr>
      <w:rFonts w:ascii="Arial" w:eastAsia="Times New Roman" w:hAnsi="Arial" w:cs="Arial"/>
      <w:vanish/>
      <w:sz w:val="16"/>
      <w:szCs w:val="16"/>
      <w:lang w:eastAsia="en-AU"/>
    </w:rPr>
  </w:style>
  <w:style w:type="paragraph" w:styleId="TOC3">
    <w:name w:val="toc 3"/>
    <w:basedOn w:val="Normal"/>
    <w:next w:val="Normal"/>
    <w:autoRedefine/>
    <w:uiPriority w:val="39"/>
    <w:unhideWhenUsed/>
    <w:rsid w:val="006044BA"/>
    <w:pPr>
      <w:tabs>
        <w:tab w:val="right" w:pos="9060"/>
      </w:tabs>
      <w:spacing w:after="100"/>
    </w:pPr>
    <w:rPr>
      <w:noProof/>
      <w:sz w:val="20"/>
      <w:szCs w:val="18"/>
    </w:rPr>
  </w:style>
  <w:style w:type="paragraph" w:styleId="TOC2">
    <w:name w:val="toc 2"/>
    <w:basedOn w:val="Normal"/>
    <w:next w:val="Normal"/>
    <w:autoRedefine/>
    <w:uiPriority w:val="39"/>
    <w:unhideWhenUsed/>
    <w:rsid w:val="00465B54"/>
    <w:pPr>
      <w:spacing w:after="100"/>
      <w:ind w:left="240"/>
    </w:pPr>
  </w:style>
  <w:style w:type="paragraph" w:styleId="FootnoteText">
    <w:name w:val="footnote text"/>
    <w:basedOn w:val="Normal"/>
    <w:link w:val="FootnoteTextChar"/>
    <w:uiPriority w:val="99"/>
    <w:semiHidden/>
    <w:unhideWhenUsed/>
    <w:rsid w:val="006408B5"/>
    <w:pPr>
      <w:spacing w:line="240" w:lineRule="auto"/>
    </w:pPr>
    <w:rPr>
      <w:sz w:val="20"/>
      <w:szCs w:val="20"/>
    </w:rPr>
  </w:style>
  <w:style w:type="character" w:customStyle="1" w:styleId="FootnoteTextChar">
    <w:name w:val="Footnote Text Char"/>
    <w:basedOn w:val="DefaultParagraphFont"/>
    <w:link w:val="FootnoteText"/>
    <w:uiPriority w:val="99"/>
    <w:semiHidden/>
    <w:rsid w:val="006408B5"/>
    <w:rPr>
      <w:rFonts w:ascii="Arial" w:hAnsi="Arial"/>
      <w:sz w:val="20"/>
      <w:szCs w:val="20"/>
    </w:rPr>
  </w:style>
  <w:style w:type="character" w:styleId="FootnoteReference">
    <w:name w:val="footnote reference"/>
    <w:basedOn w:val="DefaultParagraphFont"/>
    <w:uiPriority w:val="99"/>
    <w:semiHidden/>
    <w:unhideWhenUsed/>
    <w:rsid w:val="006408B5"/>
    <w:rPr>
      <w:vertAlign w:val="superscript"/>
    </w:rPr>
  </w:style>
  <w:style w:type="character" w:styleId="Mention">
    <w:name w:val="Mention"/>
    <w:basedOn w:val="DefaultParagraphFont"/>
    <w:uiPriority w:val="99"/>
    <w:unhideWhenUsed/>
    <w:rsid w:val="009A063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160985">
      <w:bodyDiv w:val="1"/>
      <w:marLeft w:val="0"/>
      <w:marRight w:val="0"/>
      <w:marTop w:val="0"/>
      <w:marBottom w:val="0"/>
      <w:divBdr>
        <w:top w:val="none" w:sz="0" w:space="0" w:color="auto"/>
        <w:left w:val="none" w:sz="0" w:space="0" w:color="auto"/>
        <w:bottom w:val="none" w:sz="0" w:space="0" w:color="auto"/>
        <w:right w:val="none" w:sz="0" w:space="0" w:color="auto"/>
      </w:divBdr>
    </w:div>
    <w:div w:id="1597134563">
      <w:bodyDiv w:val="1"/>
      <w:marLeft w:val="0"/>
      <w:marRight w:val="0"/>
      <w:marTop w:val="0"/>
      <w:marBottom w:val="0"/>
      <w:divBdr>
        <w:top w:val="none" w:sz="0" w:space="0" w:color="auto"/>
        <w:left w:val="none" w:sz="0" w:space="0" w:color="auto"/>
        <w:bottom w:val="none" w:sz="0" w:space="0" w:color="auto"/>
        <w:right w:val="none" w:sz="0" w:space="0" w:color="auto"/>
      </w:divBdr>
    </w:div>
    <w:div w:id="1610773887">
      <w:bodyDiv w:val="1"/>
      <w:marLeft w:val="0"/>
      <w:marRight w:val="0"/>
      <w:marTop w:val="0"/>
      <w:marBottom w:val="0"/>
      <w:divBdr>
        <w:top w:val="none" w:sz="0" w:space="0" w:color="auto"/>
        <w:left w:val="none" w:sz="0" w:space="0" w:color="auto"/>
        <w:bottom w:val="none" w:sz="0" w:space="0" w:color="auto"/>
        <w:right w:val="none" w:sz="0" w:space="0" w:color="auto"/>
      </w:divBdr>
    </w:div>
    <w:div w:id="18561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translink.com.au/about-translink/projects-and-initiatives/creating-better-connec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zta.govt.nz/planning-and-investment/planning/one-network-framewor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vic.gov.au/movement-and-place-victoria"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movementandplace.nsw.gov.au/about/about-movement-and-plac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8BFCBDAEAC3E499C24ED2DFA56BDEE" ma:contentTypeVersion="23" ma:contentTypeDescription="Create a new document." ma:contentTypeScope="" ma:versionID="c31dba22b5ef10d0d6502fcf01f817fc">
  <xsd:schema xmlns:xsd="http://www.w3.org/2001/XMLSchema" xmlns:xs="http://www.w3.org/2001/XMLSchema" xmlns:p="http://schemas.microsoft.com/office/2006/metadata/properties" xmlns:ns2="5922873e-4cb3-4950-a705-554a7a2fc2c2" xmlns:ns3="8a838b2b-139f-4c77-9ecb-da0a94d3b3a9" xmlns:ns4="d27882d3-798a-4f9d-aacc-36c6e0a50e92" targetNamespace="http://schemas.microsoft.com/office/2006/metadata/properties" ma:root="true" ma:fieldsID="1832efd583067c49f8191916e6a38016" ns2:_="" ns3:_="" ns4:_="">
    <xsd:import namespace="5922873e-4cb3-4950-a705-554a7a2fc2c2"/>
    <xsd:import namespace="8a838b2b-139f-4c77-9ecb-da0a94d3b3a9"/>
    <xsd:import namespace="d27882d3-798a-4f9d-aacc-36c6e0a50e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Location"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22873e-4cb3-4950-a705-554a7a2fc2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Notes" ma:index="26" nillable="true" ma:displayName="Notes" ma:description="DocTrack number - Corro; Anything else - Comm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38b2b-139f-4c77-9ecb-da0a94d3b3a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bada674-d527-44f7-85b8-1d952fe3d47b}" ma:internalName="TaxCatchAll" ma:showField="CatchAllData" ma:web="8a838b2b-139f-4c77-9ecb-da0a94d3b3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27882d3-798a-4f9d-aacc-36c6e0a50e92" xsi:nil="true"/>
    <lcf76f155ced4ddcb4097134ff3c332f xmlns="5922873e-4cb3-4950-a705-554a7a2fc2c2">
      <Terms xmlns="http://schemas.microsoft.com/office/infopath/2007/PartnerControls"/>
    </lcf76f155ced4ddcb4097134ff3c332f>
    <Notes xmlns="5922873e-4cb3-4950-a705-554a7a2fc2c2" xsi:nil="true"/>
  </documentManagement>
</p:properties>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2.xml><?xml version="1.0" encoding="utf-8"?>
<ds:datastoreItem xmlns:ds="http://schemas.openxmlformats.org/officeDocument/2006/customXml" ds:itemID="{DC929D9D-265F-4B89-BA94-A75413B91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22873e-4cb3-4950-a705-554a7a2fc2c2"/>
    <ds:schemaRef ds:uri="8a838b2b-139f-4c77-9ecb-da0a94d3b3a9"/>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F0ED02-02FE-4CF2-A2FE-DAB3ED4973E0}">
  <ds:schemaRefs>
    <ds:schemaRef ds:uri="http://schemas.microsoft.com/sharepoint/v3/contenttype/forms"/>
  </ds:schemaRefs>
</ds:datastoreItem>
</file>

<file path=customXml/itemProps4.xml><?xml version="1.0" encoding="utf-8"?>
<ds:datastoreItem xmlns:ds="http://schemas.openxmlformats.org/officeDocument/2006/customXml" ds:itemID="{BEBED4BF-9000-4DBA-AE60-12729E29F72E}">
  <ds:schemaRef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elements/1.1/"/>
    <ds:schemaRef ds:uri="http://www.w3.org/XML/1998/namespace"/>
    <ds:schemaRef ds:uri="d27882d3-798a-4f9d-aacc-36c6e0a50e92"/>
    <ds:schemaRef ds:uri="8a838b2b-139f-4c77-9ecb-da0a94d3b3a9"/>
    <ds:schemaRef ds:uri="5922873e-4cb3-4950-a705-554a7a2fc2c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4622</Words>
  <Characters>26347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30908</CharactersWithSpaces>
  <SharedDoc>false</SharedDoc>
  <HLinks>
    <vt:vector size="156" baseType="variant">
      <vt:variant>
        <vt:i4>6750316</vt:i4>
      </vt:variant>
      <vt:variant>
        <vt:i4>147</vt:i4>
      </vt:variant>
      <vt:variant>
        <vt:i4>0</vt:i4>
      </vt:variant>
      <vt:variant>
        <vt:i4>5</vt:i4>
      </vt:variant>
      <vt:variant>
        <vt:lpwstr>https://www.movementandplace.nsw.gov.au/about/about-movement-and-place</vt:lpwstr>
      </vt:variant>
      <vt:variant>
        <vt:lpwstr/>
      </vt:variant>
      <vt:variant>
        <vt:i4>1376347</vt:i4>
      </vt:variant>
      <vt:variant>
        <vt:i4>144</vt:i4>
      </vt:variant>
      <vt:variant>
        <vt:i4>0</vt:i4>
      </vt:variant>
      <vt:variant>
        <vt:i4>5</vt:i4>
      </vt:variant>
      <vt:variant>
        <vt:lpwstr>https://translink.com.au/about-translink/projects-and-initiatives/creating-better-connections</vt:lpwstr>
      </vt:variant>
      <vt:variant>
        <vt:lpwstr/>
      </vt:variant>
      <vt:variant>
        <vt:i4>1638462</vt:i4>
      </vt:variant>
      <vt:variant>
        <vt:i4>137</vt:i4>
      </vt:variant>
      <vt:variant>
        <vt:i4>0</vt:i4>
      </vt:variant>
      <vt:variant>
        <vt:i4>5</vt:i4>
      </vt:variant>
      <vt:variant>
        <vt:lpwstr/>
      </vt:variant>
      <vt:variant>
        <vt:lpwstr>_Toc157517994</vt:lpwstr>
      </vt:variant>
      <vt:variant>
        <vt:i4>1638462</vt:i4>
      </vt:variant>
      <vt:variant>
        <vt:i4>131</vt:i4>
      </vt:variant>
      <vt:variant>
        <vt:i4>0</vt:i4>
      </vt:variant>
      <vt:variant>
        <vt:i4>5</vt:i4>
      </vt:variant>
      <vt:variant>
        <vt:lpwstr/>
      </vt:variant>
      <vt:variant>
        <vt:lpwstr>_Toc157517993</vt:lpwstr>
      </vt:variant>
      <vt:variant>
        <vt:i4>1638462</vt:i4>
      </vt:variant>
      <vt:variant>
        <vt:i4>125</vt:i4>
      </vt:variant>
      <vt:variant>
        <vt:i4>0</vt:i4>
      </vt:variant>
      <vt:variant>
        <vt:i4>5</vt:i4>
      </vt:variant>
      <vt:variant>
        <vt:lpwstr/>
      </vt:variant>
      <vt:variant>
        <vt:lpwstr>_Toc157517992</vt:lpwstr>
      </vt:variant>
      <vt:variant>
        <vt:i4>1638462</vt:i4>
      </vt:variant>
      <vt:variant>
        <vt:i4>119</vt:i4>
      </vt:variant>
      <vt:variant>
        <vt:i4>0</vt:i4>
      </vt:variant>
      <vt:variant>
        <vt:i4>5</vt:i4>
      </vt:variant>
      <vt:variant>
        <vt:lpwstr/>
      </vt:variant>
      <vt:variant>
        <vt:lpwstr>_Toc157517991</vt:lpwstr>
      </vt:variant>
      <vt:variant>
        <vt:i4>1638462</vt:i4>
      </vt:variant>
      <vt:variant>
        <vt:i4>113</vt:i4>
      </vt:variant>
      <vt:variant>
        <vt:i4>0</vt:i4>
      </vt:variant>
      <vt:variant>
        <vt:i4>5</vt:i4>
      </vt:variant>
      <vt:variant>
        <vt:lpwstr/>
      </vt:variant>
      <vt:variant>
        <vt:lpwstr>_Toc157517990</vt:lpwstr>
      </vt:variant>
      <vt:variant>
        <vt:i4>1572926</vt:i4>
      </vt:variant>
      <vt:variant>
        <vt:i4>107</vt:i4>
      </vt:variant>
      <vt:variant>
        <vt:i4>0</vt:i4>
      </vt:variant>
      <vt:variant>
        <vt:i4>5</vt:i4>
      </vt:variant>
      <vt:variant>
        <vt:lpwstr/>
      </vt:variant>
      <vt:variant>
        <vt:lpwstr>_Toc157517989</vt:lpwstr>
      </vt:variant>
      <vt:variant>
        <vt:i4>1572926</vt:i4>
      </vt:variant>
      <vt:variant>
        <vt:i4>101</vt:i4>
      </vt:variant>
      <vt:variant>
        <vt:i4>0</vt:i4>
      </vt:variant>
      <vt:variant>
        <vt:i4>5</vt:i4>
      </vt:variant>
      <vt:variant>
        <vt:lpwstr/>
      </vt:variant>
      <vt:variant>
        <vt:lpwstr>_Toc157517988</vt:lpwstr>
      </vt:variant>
      <vt:variant>
        <vt:i4>1572926</vt:i4>
      </vt:variant>
      <vt:variant>
        <vt:i4>95</vt:i4>
      </vt:variant>
      <vt:variant>
        <vt:i4>0</vt:i4>
      </vt:variant>
      <vt:variant>
        <vt:i4>5</vt:i4>
      </vt:variant>
      <vt:variant>
        <vt:lpwstr/>
      </vt:variant>
      <vt:variant>
        <vt:lpwstr>_Toc157517987</vt:lpwstr>
      </vt:variant>
      <vt:variant>
        <vt:i4>1572926</vt:i4>
      </vt:variant>
      <vt:variant>
        <vt:i4>89</vt:i4>
      </vt:variant>
      <vt:variant>
        <vt:i4>0</vt:i4>
      </vt:variant>
      <vt:variant>
        <vt:i4>5</vt:i4>
      </vt:variant>
      <vt:variant>
        <vt:lpwstr/>
      </vt:variant>
      <vt:variant>
        <vt:lpwstr>_Toc157517986</vt:lpwstr>
      </vt:variant>
      <vt:variant>
        <vt:i4>1572926</vt:i4>
      </vt:variant>
      <vt:variant>
        <vt:i4>83</vt:i4>
      </vt:variant>
      <vt:variant>
        <vt:i4>0</vt:i4>
      </vt:variant>
      <vt:variant>
        <vt:i4>5</vt:i4>
      </vt:variant>
      <vt:variant>
        <vt:lpwstr/>
      </vt:variant>
      <vt:variant>
        <vt:lpwstr>_Toc157517985</vt:lpwstr>
      </vt:variant>
      <vt:variant>
        <vt:i4>1572926</vt:i4>
      </vt:variant>
      <vt:variant>
        <vt:i4>77</vt:i4>
      </vt:variant>
      <vt:variant>
        <vt:i4>0</vt:i4>
      </vt:variant>
      <vt:variant>
        <vt:i4>5</vt:i4>
      </vt:variant>
      <vt:variant>
        <vt:lpwstr/>
      </vt:variant>
      <vt:variant>
        <vt:lpwstr>_Toc157517984</vt:lpwstr>
      </vt:variant>
      <vt:variant>
        <vt:i4>1572926</vt:i4>
      </vt:variant>
      <vt:variant>
        <vt:i4>71</vt:i4>
      </vt:variant>
      <vt:variant>
        <vt:i4>0</vt:i4>
      </vt:variant>
      <vt:variant>
        <vt:i4>5</vt:i4>
      </vt:variant>
      <vt:variant>
        <vt:lpwstr/>
      </vt:variant>
      <vt:variant>
        <vt:lpwstr>_Toc157517983</vt:lpwstr>
      </vt:variant>
      <vt:variant>
        <vt:i4>1572926</vt:i4>
      </vt:variant>
      <vt:variant>
        <vt:i4>65</vt:i4>
      </vt:variant>
      <vt:variant>
        <vt:i4>0</vt:i4>
      </vt:variant>
      <vt:variant>
        <vt:i4>5</vt:i4>
      </vt:variant>
      <vt:variant>
        <vt:lpwstr/>
      </vt:variant>
      <vt:variant>
        <vt:lpwstr>_Toc157517982</vt:lpwstr>
      </vt:variant>
      <vt:variant>
        <vt:i4>1572926</vt:i4>
      </vt:variant>
      <vt:variant>
        <vt:i4>59</vt:i4>
      </vt:variant>
      <vt:variant>
        <vt:i4>0</vt:i4>
      </vt:variant>
      <vt:variant>
        <vt:i4>5</vt:i4>
      </vt:variant>
      <vt:variant>
        <vt:lpwstr/>
      </vt:variant>
      <vt:variant>
        <vt:lpwstr>_Toc157517981</vt:lpwstr>
      </vt:variant>
      <vt:variant>
        <vt:i4>1572926</vt:i4>
      </vt:variant>
      <vt:variant>
        <vt:i4>53</vt:i4>
      </vt:variant>
      <vt:variant>
        <vt:i4>0</vt:i4>
      </vt:variant>
      <vt:variant>
        <vt:i4>5</vt:i4>
      </vt:variant>
      <vt:variant>
        <vt:lpwstr/>
      </vt:variant>
      <vt:variant>
        <vt:lpwstr>_Toc157517980</vt:lpwstr>
      </vt:variant>
      <vt:variant>
        <vt:i4>1507390</vt:i4>
      </vt:variant>
      <vt:variant>
        <vt:i4>47</vt:i4>
      </vt:variant>
      <vt:variant>
        <vt:i4>0</vt:i4>
      </vt:variant>
      <vt:variant>
        <vt:i4>5</vt:i4>
      </vt:variant>
      <vt:variant>
        <vt:lpwstr/>
      </vt:variant>
      <vt:variant>
        <vt:lpwstr>_Toc157517979</vt:lpwstr>
      </vt:variant>
      <vt:variant>
        <vt:i4>1507390</vt:i4>
      </vt:variant>
      <vt:variant>
        <vt:i4>41</vt:i4>
      </vt:variant>
      <vt:variant>
        <vt:i4>0</vt:i4>
      </vt:variant>
      <vt:variant>
        <vt:i4>5</vt:i4>
      </vt:variant>
      <vt:variant>
        <vt:lpwstr/>
      </vt:variant>
      <vt:variant>
        <vt:lpwstr>_Toc157517978</vt:lpwstr>
      </vt:variant>
      <vt:variant>
        <vt:i4>1507390</vt:i4>
      </vt:variant>
      <vt:variant>
        <vt:i4>35</vt:i4>
      </vt:variant>
      <vt:variant>
        <vt:i4>0</vt:i4>
      </vt:variant>
      <vt:variant>
        <vt:i4>5</vt:i4>
      </vt:variant>
      <vt:variant>
        <vt:lpwstr/>
      </vt:variant>
      <vt:variant>
        <vt:lpwstr>_Toc157517977</vt:lpwstr>
      </vt:variant>
      <vt:variant>
        <vt:i4>1507390</vt:i4>
      </vt:variant>
      <vt:variant>
        <vt:i4>29</vt:i4>
      </vt:variant>
      <vt:variant>
        <vt:i4>0</vt:i4>
      </vt:variant>
      <vt:variant>
        <vt:i4>5</vt:i4>
      </vt:variant>
      <vt:variant>
        <vt:lpwstr/>
      </vt:variant>
      <vt:variant>
        <vt:lpwstr>_Toc157517976</vt:lpwstr>
      </vt:variant>
      <vt:variant>
        <vt:i4>1507390</vt:i4>
      </vt:variant>
      <vt:variant>
        <vt:i4>23</vt:i4>
      </vt:variant>
      <vt:variant>
        <vt:i4>0</vt:i4>
      </vt:variant>
      <vt:variant>
        <vt:i4>5</vt:i4>
      </vt:variant>
      <vt:variant>
        <vt:lpwstr/>
      </vt:variant>
      <vt:variant>
        <vt:lpwstr>_Toc157517975</vt:lpwstr>
      </vt:variant>
      <vt:variant>
        <vt:i4>1507390</vt:i4>
      </vt:variant>
      <vt:variant>
        <vt:i4>17</vt:i4>
      </vt:variant>
      <vt:variant>
        <vt:i4>0</vt:i4>
      </vt:variant>
      <vt:variant>
        <vt:i4>5</vt:i4>
      </vt:variant>
      <vt:variant>
        <vt:lpwstr/>
      </vt:variant>
      <vt:variant>
        <vt:lpwstr>_Toc157517974</vt:lpwstr>
      </vt:variant>
      <vt:variant>
        <vt:i4>1507390</vt:i4>
      </vt:variant>
      <vt:variant>
        <vt:i4>11</vt:i4>
      </vt:variant>
      <vt:variant>
        <vt:i4>0</vt:i4>
      </vt:variant>
      <vt:variant>
        <vt:i4>5</vt:i4>
      </vt:variant>
      <vt:variant>
        <vt:lpwstr/>
      </vt:variant>
      <vt:variant>
        <vt:lpwstr>_Toc157517973</vt:lpwstr>
      </vt:variant>
      <vt:variant>
        <vt:i4>1507390</vt:i4>
      </vt:variant>
      <vt:variant>
        <vt:i4>5</vt:i4>
      </vt:variant>
      <vt:variant>
        <vt:i4>0</vt:i4>
      </vt:variant>
      <vt:variant>
        <vt:i4>5</vt:i4>
      </vt:variant>
      <vt:variant>
        <vt:lpwstr/>
      </vt:variant>
      <vt:variant>
        <vt:lpwstr>_Toc157517972</vt:lpwstr>
      </vt:variant>
      <vt:variant>
        <vt:i4>131145</vt:i4>
      </vt:variant>
      <vt:variant>
        <vt:i4>0</vt:i4>
      </vt:variant>
      <vt:variant>
        <vt:i4>0</vt:i4>
      </vt:variant>
      <vt:variant>
        <vt:i4>5</vt:i4>
      </vt:variant>
      <vt:variant>
        <vt:lpwstr>http://creativecommons.org/licenses/by/4.0/au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R Freiberg</dc:creator>
  <cp:keywords/>
  <dc:description/>
  <cp:lastModifiedBy>Meredith R Freiberg</cp:lastModifiedBy>
  <cp:revision>3</cp:revision>
  <dcterms:created xsi:type="dcterms:W3CDTF">2025-02-06T04:11:00Z</dcterms:created>
  <dcterms:modified xsi:type="dcterms:W3CDTF">2025-02-06T04:11:00Z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0x010100718BFCBDAEAC3E499C24ED2DFA56BDEE</vt:lpwstr>
  </property>
  <property fmtid="{D5CDD505-2E9C-101B-9397-08002B2CF9AE}" pid="3" name="tmrTopic">
    <vt:lpwstr>10;#Branding|d294e289-6d23-487b-9b39-1118022dea9f;#42;#Template|46682155-7949-451c-b947-cbe70f39baa4</vt:lpwstr>
  </property>
  <property fmtid="{D5CDD505-2E9C-101B-9397-08002B2CF9AE}" pid="4" name="tmrDivision">
    <vt:lpwstr>6;#Corporate|082b3622-19f0-49b9-b5ab-8a8cb7fb2620</vt:lpwstr>
  </property>
  <property fmtid="{D5CDD505-2E9C-101B-9397-08002B2CF9AE}" pid="5" name="tmrDocumentType">
    <vt:lpwstr>43;#Template|1d838a78-56d7-4bed-b3b5-0c57b696e892</vt:lpwstr>
  </property>
  <property fmtid="{D5CDD505-2E9C-101B-9397-08002B2CF9AE}" pid="6" name="tmrBranch">
    <vt:lpwstr>11;#Governance|4109232e-bbd4-44c4-9727-5d1fed4801b7</vt:lpwstr>
  </property>
  <property fmtid="{D5CDD505-2E9C-101B-9397-08002B2CF9AE}" pid="7" name="MediaServiceImageTags">
    <vt:lpwstr/>
  </property>
</Properties>
</file>