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E864C" w14:textId="3ED01565" w:rsidR="008113E9" w:rsidRPr="00BE12B1" w:rsidRDefault="00980755" w:rsidP="00BE12B1">
      <w:pPr>
        <w:rPr>
          <w:color w:val="003E69"/>
          <w:sz w:val="60"/>
          <w:szCs w:val="60"/>
        </w:rPr>
      </w:pPr>
      <w:r w:rsidRPr="00BE12B1">
        <w:rPr>
          <w:color w:val="003E69"/>
          <w:sz w:val="60"/>
          <w:szCs w:val="60"/>
        </w:rPr>
        <w:t>Central Queensland Beef Roads</w:t>
      </w:r>
    </w:p>
    <w:p w14:paraId="0D1309DF" w14:textId="783BA7C6" w:rsidR="008113E9" w:rsidRPr="008A378D" w:rsidRDefault="00980755" w:rsidP="008113E9">
      <w:pPr>
        <w:pStyle w:val="Subtitle"/>
        <w:rPr>
          <w:rStyle w:val="Heading5Char"/>
        </w:rPr>
        <w:sectPr w:rsidR="008113E9" w:rsidRPr="008A378D" w:rsidSect="008A378D">
          <w:footerReference w:type="default" r:id="rId8"/>
          <w:headerReference w:type="first" r:id="rId9"/>
          <w:pgSz w:w="11906" w:h="16838" w:code="9"/>
          <w:pgMar w:top="12049" w:right="1418" w:bottom="1560" w:left="1418" w:header="567" w:footer="567" w:gutter="0"/>
          <w:pgNumType w:start="0"/>
          <w:cols w:space="708"/>
          <w:titlePg/>
          <w:docGrid w:linePitch="360"/>
        </w:sectPr>
      </w:pPr>
      <w:r>
        <w:t>10-year Investment Strategy</w:t>
      </w:r>
      <w:r w:rsidR="008A378D">
        <w:br/>
      </w:r>
      <w:r w:rsidR="008A6714">
        <w:rPr>
          <w:rStyle w:val="Heading5Char"/>
        </w:rPr>
        <w:t>September</w:t>
      </w:r>
      <w:r w:rsidR="008A378D" w:rsidRPr="008A378D">
        <w:rPr>
          <w:rStyle w:val="Heading5Char"/>
        </w:rPr>
        <w:t xml:space="preserve"> 2025</w:t>
      </w:r>
      <w:r w:rsidR="008A378D">
        <w:rPr>
          <w:rStyle w:val="Heading5Char"/>
        </w:rPr>
        <w:br/>
        <w:t>Prepared by the Department of Transport and Main Roads</w:t>
      </w:r>
      <w:r w:rsidR="008A378D">
        <w:rPr>
          <w:rStyle w:val="Heading5Char"/>
        </w:rPr>
        <w:br/>
      </w:r>
    </w:p>
    <w:p w14:paraId="2E6E7805" w14:textId="77777777" w:rsidR="008113E9" w:rsidRPr="00092BB5" w:rsidRDefault="008113E9" w:rsidP="008113E9">
      <w:pPr>
        <w:rPr>
          <w:b/>
          <w:bCs/>
        </w:rPr>
      </w:pPr>
      <w:r w:rsidRPr="00092BB5">
        <w:rPr>
          <w:b/>
          <w:bCs/>
        </w:rPr>
        <w:lastRenderedPageBreak/>
        <w:t>Translating and interpreting assistance</w:t>
      </w:r>
    </w:p>
    <w:p w14:paraId="5EFF20A5" w14:textId="77777777" w:rsidR="008113E9" w:rsidRDefault="008113E9" w:rsidP="008113E9">
      <w: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Government (Department of Transport and Main Roads) on 13 74 68.</w:t>
      </w:r>
    </w:p>
    <w:p w14:paraId="7C94490F" w14:textId="4794095A" w:rsidR="008113E9" w:rsidRPr="00092BB5" w:rsidRDefault="008113E9" w:rsidP="00BE6395">
      <w:pPr>
        <w:tabs>
          <w:tab w:val="left" w:pos="2214"/>
        </w:tabs>
        <w:rPr>
          <w:b/>
          <w:bCs/>
        </w:rPr>
      </w:pPr>
      <w:r w:rsidRPr="00092BB5">
        <w:rPr>
          <w:b/>
          <w:bCs/>
        </w:rPr>
        <w:t xml:space="preserve">Copyright </w:t>
      </w:r>
      <w:r w:rsidR="00BE6395">
        <w:rPr>
          <w:b/>
          <w:bCs/>
        </w:rPr>
        <w:tab/>
      </w:r>
    </w:p>
    <w:p w14:paraId="5FC3AC99" w14:textId="77777777" w:rsidR="008113E9" w:rsidRDefault="008113E9" w:rsidP="008113E9">
      <w:r>
        <w:t xml:space="preserve">This publication is protected by the </w:t>
      </w:r>
      <w:r w:rsidRPr="008A378D">
        <w:rPr>
          <w:i/>
          <w:iCs/>
        </w:rPr>
        <w:t>Copyright Act 1968</w:t>
      </w:r>
      <w:r>
        <w:t>. © The State of Queensland, 2025.</w:t>
      </w:r>
    </w:p>
    <w:p w14:paraId="70C15600" w14:textId="77777777" w:rsidR="008113E9" w:rsidRPr="00092BB5" w:rsidRDefault="008113E9" w:rsidP="008113E9">
      <w:pPr>
        <w:rPr>
          <w:b/>
          <w:bCs/>
        </w:rPr>
      </w:pPr>
      <w:r w:rsidRPr="00092BB5">
        <w:rPr>
          <w:b/>
          <w:bCs/>
        </w:rPr>
        <w:t>Disclaimer</w:t>
      </w:r>
    </w:p>
    <w:p w14:paraId="677ACFBA" w14:textId="77777777" w:rsidR="008113E9" w:rsidRDefault="008113E9" w:rsidP="008113E9">
      <w:r>
        <w:t>While every care has been taken in preparing this publication, to the extent permitted by law, the State of Queensland accepts no responsibility and disclaims all liability (including without limitation, liability in negligence) for all expenses, losses (including direct and indirect loss), damages and costs incurred as a result of decisions or actions taken as a result of any data, information, statement or advice, expressed or implied, contained within. To the best of our knowledge, the content was correct at the time of publishing.</w:t>
      </w:r>
    </w:p>
    <w:p w14:paraId="626EC95B" w14:textId="77777777" w:rsidR="008A378D" w:rsidRDefault="008A378D" w:rsidP="008113E9"/>
    <w:p w14:paraId="6CBF646A" w14:textId="77777777" w:rsidR="008A378D" w:rsidRDefault="008A378D" w:rsidP="008113E9"/>
    <w:p w14:paraId="440D37D5" w14:textId="03EE6A27" w:rsidR="008A378D" w:rsidRDefault="008A378D" w:rsidP="008113E9">
      <w:pPr>
        <w:sectPr w:rsidR="008A378D" w:rsidSect="008113E9">
          <w:headerReference w:type="even" r:id="rId10"/>
          <w:headerReference w:type="default" r:id="rId11"/>
          <w:headerReference w:type="first" r:id="rId12"/>
          <w:footerReference w:type="first" r:id="rId13"/>
          <w:pgSz w:w="11906" w:h="16838" w:code="9"/>
          <w:pgMar w:top="1135" w:right="1418" w:bottom="1843" w:left="1418" w:header="567" w:footer="567" w:gutter="0"/>
          <w:cols w:space="708"/>
          <w:titlePg/>
          <w:docGrid w:linePitch="360"/>
        </w:sectPr>
      </w:pPr>
      <w:r w:rsidRPr="00793EC4">
        <w:rPr>
          <w:rFonts w:asciiTheme="majorHAnsi" w:hAnsiTheme="majorHAnsi" w:cstheme="majorHAnsi"/>
          <w:noProof/>
          <w:szCs w:val="24"/>
        </w:rPr>
        <mc:AlternateContent>
          <mc:Choice Requires="wps">
            <w:drawing>
              <wp:anchor distT="45720" distB="45720" distL="114300" distR="114300" simplePos="0" relativeHeight="251661312" behindDoc="0" locked="0" layoutInCell="1" allowOverlap="1" wp14:anchorId="6C6AFB6F" wp14:editId="5F3CC40A">
                <wp:simplePos x="0" y="0"/>
                <wp:positionH relativeFrom="margin">
                  <wp:posOffset>0</wp:posOffset>
                </wp:positionH>
                <wp:positionV relativeFrom="paragraph">
                  <wp:posOffset>48260</wp:posOffset>
                </wp:positionV>
                <wp:extent cx="5800090" cy="302895"/>
                <wp:effectExtent l="0" t="0" r="10160" b="20955"/>
                <wp:wrapSquare wrapText="bothSides"/>
                <wp:docPr id="734927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302930"/>
                        </a:xfrm>
                        <a:prstGeom prst="rect">
                          <a:avLst/>
                        </a:prstGeom>
                        <a:solidFill>
                          <a:srgbClr val="FFFFFF"/>
                        </a:solidFill>
                        <a:ln w="9525">
                          <a:solidFill>
                            <a:srgbClr val="000000"/>
                          </a:solidFill>
                          <a:miter lim="800000"/>
                          <a:headEnd/>
                          <a:tailEnd/>
                        </a:ln>
                      </wps:spPr>
                      <wps:txbx>
                        <w:txbxContent>
                          <w:p w14:paraId="0654D803" w14:textId="77777777" w:rsidR="008A378D" w:rsidRPr="008A378D" w:rsidRDefault="008A378D" w:rsidP="008A378D">
                            <w:pPr>
                              <w:pStyle w:val="BodyText"/>
                              <w:rPr>
                                <w:rFonts w:cstheme="minorBidi"/>
                                <w:color w:val="2F2F2F" w:themeColor="text1" w:themeTint="E6"/>
                                <w:sz w:val="24"/>
                                <w14:ligatures w14:val="none"/>
                              </w:rPr>
                            </w:pPr>
                            <w:r w:rsidRPr="008A378D">
                              <w:rPr>
                                <w:rFonts w:cstheme="minorBidi"/>
                                <w:color w:val="2F2F2F" w:themeColor="text1" w:themeTint="E6"/>
                                <w:sz w:val="24"/>
                                <w14:ligatures w14:val="none"/>
                              </w:rPr>
                              <w:t>Front cover image: Clermont - Alpha Road (May 2024)</w:t>
                            </w:r>
                          </w:p>
                          <w:p w14:paraId="7FEF8C81" w14:textId="77777777" w:rsidR="008A378D" w:rsidRDefault="008A378D" w:rsidP="008A37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6AFB6F" id="_x0000_t202" coordsize="21600,21600" o:spt="202" path="m,l,21600r21600,l21600,xe">
                <v:stroke joinstyle="miter"/>
                <v:path gradientshapeok="t" o:connecttype="rect"/>
              </v:shapetype>
              <v:shape id="Text Box 2" o:spid="_x0000_s1026" type="#_x0000_t202" style="position:absolute;margin-left:0;margin-top:3.8pt;width:456.7pt;height:23.8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">
                <v:textbox>
                  <w:txbxContent>
                    <w:p w14:paraId="0654D803" w14:textId="77777777" w:rsidR="008A378D" w:rsidRPr="008A378D" w:rsidRDefault="008A378D" w:rsidP="008A378D">
                      <w:pPr>
                        <w:pStyle w:val="BodyText"/>
                        <w:rPr>
                          <w:rFonts w:cstheme="minorBidi"/>
                          <w:color w:val="2F2F2F" w:themeColor="text1" w:themeTint="E6"/>
                          <w:sz w:val="24"/>
                          <w14:ligatures w14:val="none"/>
                        </w:rPr>
                      </w:pPr>
                      <w:r w:rsidRPr="008A378D">
                        <w:rPr>
                          <w:rFonts w:cstheme="minorBidi"/>
                          <w:color w:val="2F2F2F" w:themeColor="text1" w:themeTint="E6"/>
                          <w:sz w:val="24"/>
                          <w14:ligatures w14:val="none"/>
                        </w:rPr>
                        <w:t>Front cover image: Clermont - Alpha Road (May 2024)</w:t>
                      </w:r>
                    </w:p>
                    <w:p w14:paraId="7FEF8C81" w14:textId="77777777" w:rsidR="008A378D" w:rsidRDefault="008A378D" w:rsidP="008A378D"/>
                  </w:txbxContent>
                </v:textbox>
                <w10:wrap type="square" anchorx="margin"/>
              </v:shape>
            </w:pict>
          </mc:Fallback>
        </mc:AlternateContent>
      </w:r>
    </w:p>
    <w:sdt>
      <w:sdtPr>
        <w:rPr>
          <w:rFonts w:eastAsiaTheme="minorHAnsi" w:cstheme="minorBidi"/>
          <w:color w:val="2F2F2F" w:themeColor="text1" w:themeTint="E6"/>
          <w:sz w:val="24"/>
          <w:szCs w:val="22"/>
        </w:rPr>
        <w:id w:val="-2102864559"/>
        <w:docPartObj>
          <w:docPartGallery w:val="Table of Contents"/>
          <w:docPartUnique/>
        </w:docPartObj>
      </w:sdtPr>
      <w:sdtEndPr>
        <w:rPr>
          <w:b/>
          <w:bCs/>
          <w:noProof/>
        </w:rPr>
      </w:sdtEndPr>
      <w:sdtContent>
        <w:p w14:paraId="4A23CDB4" w14:textId="77777777" w:rsidR="008113E9" w:rsidRDefault="008113E9">
          <w:pPr>
            <w:pStyle w:val="TOCHeading"/>
          </w:pPr>
          <w:r>
            <w:t>Contents</w:t>
          </w:r>
        </w:p>
        <w:p w14:paraId="6E1F25DC" w14:textId="2727DE95" w:rsidR="00AD1312" w:rsidRDefault="008113E9">
          <w:pPr>
            <w:pStyle w:val="TOC1"/>
            <w:rPr>
              <w:rFonts w:asciiTheme="minorHAnsi" w:eastAsiaTheme="minorEastAsia" w:hAnsiTheme="minorHAnsi"/>
              <w:b w:val="0"/>
              <w:noProof/>
              <w:color w:val="auto"/>
              <w:kern w:val="2"/>
              <w:szCs w:val="24"/>
              <w:lang w:eastAsia="en-AU"/>
              <w14:ligatures w14:val="standardContextual"/>
            </w:rPr>
          </w:pPr>
          <w:r>
            <w:fldChar w:fldCharType="begin"/>
          </w:r>
          <w:r>
            <w:instrText xml:space="preserve"> TOC \o "1-3" \h \z \u </w:instrText>
          </w:r>
          <w:r>
            <w:fldChar w:fldCharType="separate"/>
          </w:r>
          <w:hyperlink w:anchor="_Toc208416003" w:history="1">
            <w:r w:rsidR="00AD1312" w:rsidRPr="00C65696">
              <w:rPr>
                <w:rStyle w:val="Hyperlink"/>
                <w:noProof/>
              </w:rPr>
              <w:t>Introduction</w:t>
            </w:r>
            <w:r w:rsidR="00AD1312">
              <w:rPr>
                <w:noProof/>
                <w:webHidden/>
              </w:rPr>
              <w:tab/>
            </w:r>
            <w:r w:rsidR="00AD1312">
              <w:rPr>
                <w:noProof/>
                <w:webHidden/>
              </w:rPr>
              <w:fldChar w:fldCharType="begin"/>
            </w:r>
            <w:r w:rsidR="00AD1312">
              <w:rPr>
                <w:noProof/>
                <w:webHidden/>
              </w:rPr>
              <w:instrText xml:space="preserve"> PAGEREF _Toc208416003 \h </w:instrText>
            </w:r>
            <w:r w:rsidR="00AD1312">
              <w:rPr>
                <w:noProof/>
                <w:webHidden/>
              </w:rPr>
            </w:r>
            <w:r w:rsidR="00AD1312">
              <w:rPr>
                <w:noProof/>
                <w:webHidden/>
              </w:rPr>
              <w:fldChar w:fldCharType="separate"/>
            </w:r>
            <w:r w:rsidR="00AD1312">
              <w:rPr>
                <w:noProof/>
                <w:webHidden/>
              </w:rPr>
              <w:t>3</w:t>
            </w:r>
            <w:r w:rsidR="00AD1312">
              <w:rPr>
                <w:noProof/>
                <w:webHidden/>
              </w:rPr>
              <w:fldChar w:fldCharType="end"/>
            </w:r>
          </w:hyperlink>
        </w:p>
        <w:p w14:paraId="3BFC677B" w14:textId="75C68DFD" w:rsidR="00AD1312" w:rsidRDefault="00AD1312">
          <w:pPr>
            <w:pStyle w:val="TOC1"/>
            <w:rPr>
              <w:rFonts w:asciiTheme="minorHAnsi" w:eastAsiaTheme="minorEastAsia" w:hAnsiTheme="minorHAnsi"/>
              <w:b w:val="0"/>
              <w:noProof/>
              <w:color w:val="auto"/>
              <w:kern w:val="2"/>
              <w:szCs w:val="24"/>
              <w:lang w:eastAsia="en-AU"/>
              <w14:ligatures w14:val="standardContextual"/>
            </w:rPr>
          </w:pPr>
          <w:hyperlink w:anchor="_Toc208416004" w:history="1">
            <w:r w:rsidRPr="00C65696">
              <w:rPr>
                <w:rStyle w:val="Hyperlink"/>
                <w:noProof/>
              </w:rPr>
              <w:t>Vision and Objectives</w:t>
            </w:r>
            <w:r>
              <w:rPr>
                <w:noProof/>
                <w:webHidden/>
              </w:rPr>
              <w:tab/>
            </w:r>
            <w:r>
              <w:rPr>
                <w:noProof/>
                <w:webHidden/>
              </w:rPr>
              <w:fldChar w:fldCharType="begin"/>
            </w:r>
            <w:r>
              <w:rPr>
                <w:noProof/>
                <w:webHidden/>
              </w:rPr>
              <w:instrText xml:space="preserve"> PAGEREF _Toc208416004 \h </w:instrText>
            </w:r>
            <w:r>
              <w:rPr>
                <w:noProof/>
                <w:webHidden/>
              </w:rPr>
            </w:r>
            <w:r>
              <w:rPr>
                <w:noProof/>
                <w:webHidden/>
              </w:rPr>
              <w:fldChar w:fldCharType="separate"/>
            </w:r>
            <w:r>
              <w:rPr>
                <w:noProof/>
                <w:webHidden/>
              </w:rPr>
              <w:t>4</w:t>
            </w:r>
            <w:r>
              <w:rPr>
                <w:noProof/>
                <w:webHidden/>
              </w:rPr>
              <w:fldChar w:fldCharType="end"/>
            </w:r>
          </w:hyperlink>
        </w:p>
        <w:p w14:paraId="5D1A9C25" w14:textId="7F51AD61" w:rsidR="00AD1312" w:rsidRDefault="00AD1312">
          <w:pPr>
            <w:pStyle w:val="TOC1"/>
            <w:rPr>
              <w:rFonts w:asciiTheme="minorHAnsi" w:eastAsiaTheme="minorEastAsia" w:hAnsiTheme="minorHAnsi"/>
              <w:b w:val="0"/>
              <w:noProof/>
              <w:color w:val="auto"/>
              <w:kern w:val="2"/>
              <w:szCs w:val="24"/>
              <w:lang w:eastAsia="en-AU"/>
              <w14:ligatures w14:val="standardContextual"/>
            </w:rPr>
          </w:pPr>
          <w:hyperlink w:anchor="_Toc208416005" w:history="1">
            <w:r w:rsidRPr="00C65696">
              <w:rPr>
                <w:rStyle w:val="Hyperlink"/>
                <w:noProof/>
              </w:rPr>
              <w:t>Overview</w:t>
            </w:r>
            <w:r>
              <w:rPr>
                <w:noProof/>
                <w:webHidden/>
              </w:rPr>
              <w:tab/>
            </w:r>
            <w:r>
              <w:rPr>
                <w:noProof/>
                <w:webHidden/>
              </w:rPr>
              <w:fldChar w:fldCharType="begin"/>
            </w:r>
            <w:r>
              <w:rPr>
                <w:noProof/>
                <w:webHidden/>
              </w:rPr>
              <w:instrText xml:space="preserve"> PAGEREF _Toc208416005 \h </w:instrText>
            </w:r>
            <w:r>
              <w:rPr>
                <w:noProof/>
                <w:webHidden/>
              </w:rPr>
            </w:r>
            <w:r>
              <w:rPr>
                <w:noProof/>
                <w:webHidden/>
              </w:rPr>
              <w:fldChar w:fldCharType="separate"/>
            </w:r>
            <w:r>
              <w:rPr>
                <w:noProof/>
                <w:webHidden/>
              </w:rPr>
              <w:t>4</w:t>
            </w:r>
            <w:r>
              <w:rPr>
                <w:noProof/>
                <w:webHidden/>
              </w:rPr>
              <w:fldChar w:fldCharType="end"/>
            </w:r>
          </w:hyperlink>
        </w:p>
        <w:p w14:paraId="60E515B3" w14:textId="76D534E0" w:rsidR="00AD1312" w:rsidRDefault="00AD1312">
          <w:pPr>
            <w:pStyle w:val="TOC1"/>
            <w:rPr>
              <w:rFonts w:asciiTheme="minorHAnsi" w:eastAsiaTheme="minorEastAsia" w:hAnsiTheme="minorHAnsi"/>
              <w:b w:val="0"/>
              <w:noProof/>
              <w:color w:val="auto"/>
              <w:kern w:val="2"/>
              <w:szCs w:val="24"/>
              <w:lang w:eastAsia="en-AU"/>
              <w14:ligatures w14:val="standardContextual"/>
            </w:rPr>
          </w:pPr>
          <w:hyperlink w:anchor="_Toc208416006" w:history="1">
            <w:r w:rsidRPr="00C65696">
              <w:rPr>
                <w:rStyle w:val="Hyperlink"/>
                <w:noProof/>
              </w:rPr>
              <w:t>Stakeholder consultation and collaboration</w:t>
            </w:r>
            <w:r>
              <w:rPr>
                <w:noProof/>
                <w:webHidden/>
              </w:rPr>
              <w:tab/>
            </w:r>
            <w:r>
              <w:rPr>
                <w:noProof/>
                <w:webHidden/>
              </w:rPr>
              <w:fldChar w:fldCharType="begin"/>
            </w:r>
            <w:r>
              <w:rPr>
                <w:noProof/>
                <w:webHidden/>
              </w:rPr>
              <w:instrText xml:space="preserve"> PAGEREF _Toc208416006 \h </w:instrText>
            </w:r>
            <w:r>
              <w:rPr>
                <w:noProof/>
                <w:webHidden/>
              </w:rPr>
            </w:r>
            <w:r>
              <w:rPr>
                <w:noProof/>
                <w:webHidden/>
              </w:rPr>
              <w:fldChar w:fldCharType="separate"/>
            </w:r>
            <w:r>
              <w:rPr>
                <w:noProof/>
                <w:webHidden/>
              </w:rPr>
              <w:t>5</w:t>
            </w:r>
            <w:r>
              <w:rPr>
                <w:noProof/>
                <w:webHidden/>
              </w:rPr>
              <w:fldChar w:fldCharType="end"/>
            </w:r>
          </w:hyperlink>
        </w:p>
        <w:p w14:paraId="4F7E6132" w14:textId="66C19EAA" w:rsidR="00AD1312" w:rsidRDefault="00AD1312">
          <w:pPr>
            <w:pStyle w:val="TOC1"/>
            <w:rPr>
              <w:rFonts w:asciiTheme="minorHAnsi" w:eastAsiaTheme="minorEastAsia" w:hAnsiTheme="minorHAnsi"/>
              <w:b w:val="0"/>
              <w:noProof/>
              <w:color w:val="auto"/>
              <w:kern w:val="2"/>
              <w:szCs w:val="24"/>
              <w:lang w:eastAsia="en-AU"/>
              <w14:ligatures w14:val="standardContextual"/>
            </w:rPr>
          </w:pPr>
          <w:hyperlink w:anchor="_Toc208416007" w:history="1">
            <w:r w:rsidRPr="00C65696">
              <w:rPr>
                <w:rStyle w:val="Hyperlink"/>
                <w:noProof/>
              </w:rPr>
              <w:t>What does the Strategy do?</w:t>
            </w:r>
            <w:r>
              <w:rPr>
                <w:noProof/>
                <w:webHidden/>
              </w:rPr>
              <w:tab/>
            </w:r>
            <w:r>
              <w:rPr>
                <w:noProof/>
                <w:webHidden/>
              </w:rPr>
              <w:fldChar w:fldCharType="begin"/>
            </w:r>
            <w:r>
              <w:rPr>
                <w:noProof/>
                <w:webHidden/>
              </w:rPr>
              <w:instrText xml:space="preserve"> PAGEREF _Toc208416007 \h </w:instrText>
            </w:r>
            <w:r>
              <w:rPr>
                <w:noProof/>
                <w:webHidden/>
              </w:rPr>
            </w:r>
            <w:r>
              <w:rPr>
                <w:noProof/>
                <w:webHidden/>
              </w:rPr>
              <w:fldChar w:fldCharType="separate"/>
            </w:r>
            <w:r>
              <w:rPr>
                <w:noProof/>
                <w:webHidden/>
              </w:rPr>
              <w:t>6</w:t>
            </w:r>
            <w:r>
              <w:rPr>
                <w:noProof/>
                <w:webHidden/>
              </w:rPr>
              <w:fldChar w:fldCharType="end"/>
            </w:r>
          </w:hyperlink>
        </w:p>
        <w:p w14:paraId="3E63ADF4" w14:textId="1C27CC61" w:rsidR="00AD1312" w:rsidRDefault="00AD1312">
          <w:pPr>
            <w:pStyle w:val="TOC1"/>
            <w:rPr>
              <w:rFonts w:asciiTheme="minorHAnsi" w:eastAsiaTheme="minorEastAsia" w:hAnsiTheme="minorHAnsi"/>
              <w:b w:val="0"/>
              <w:noProof/>
              <w:color w:val="auto"/>
              <w:kern w:val="2"/>
              <w:szCs w:val="24"/>
              <w:lang w:eastAsia="en-AU"/>
              <w14:ligatures w14:val="standardContextual"/>
            </w:rPr>
          </w:pPr>
          <w:hyperlink w:anchor="_Toc208416008" w:history="1">
            <w:r w:rsidRPr="00C65696">
              <w:rPr>
                <w:rStyle w:val="Hyperlink"/>
                <w:noProof/>
              </w:rPr>
              <w:t>What are the Central Queensland Beef Roads?</w:t>
            </w:r>
            <w:r>
              <w:rPr>
                <w:noProof/>
                <w:webHidden/>
              </w:rPr>
              <w:tab/>
            </w:r>
            <w:r>
              <w:rPr>
                <w:noProof/>
                <w:webHidden/>
              </w:rPr>
              <w:fldChar w:fldCharType="begin"/>
            </w:r>
            <w:r>
              <w:rPr>
                <w:noProof/>
                <w:webHidden/>
              </w:rPr>
              <w:instrText xml:space="preserve"> PAGEREF _Toc208416008 \h </w:instrText>
            </w:r>
            <w:r>
              <w:rPr>
                <w:noProof/>
                <w:webHidden/>
              </w:rPr>
            </w:r>
            <w:r>
              <w:rPr>
                <w:noProof/>
                <w:webHidden/>
              </w:rPr>
              <w:fldChar w:fldCharType="separate"/>
            </w:r>
            <w:r>
              <w:rPr>
                <w:noProof/>
                <w:webHidden/>
              </w:rPr>
              <w:t>6</w:t>
            </w:r>
            <w:r>
              <w:rPr>
                <w:noProof/>
                <w:webHidden/>
              </w:rPr>
              <w:fldChar w:fldCharType="end"/>
            </w:r>
          </w:hyperlink>
        </w:p>
        <w:p w14:paraId="11154DF9" w14:textId="7D53B14E" w:rsidR="00AD1312" w:rsidRDefault="00AD1312">
          <w:pPr>
            <w:pStyle w:val="TOC1"/>
            <w:rPr>
              <w:rFonts w:asciiTheme="minorHAnsi" w:eastAsiaTheme="minorEastAsia" w:hAnsiTheme="minorHAnsi"/>
              <w:b w:val="0"/>
              <w:noProof/>
              <w:color w:val="auto"/>
              <w:kern w:val="2"/>
              <w:szCs w:val="24"/>
              <w:lang w:eastAsia="en-AU"/>
              <w14:ligatures w14:val="standardContextual"/>
            </w:rPr>
          </w:pPr>
          <w:hyperlink w:anchor="_Toc208416009" w:history="1">
            <w:r w:rsidRPr="00C65696">
              <w:rPr>
                <w:rStyle w:val="Hyperlink"/>
                <w:noProof/>
              </w:rPr>
              <w:t>Challenges</w:t>
            </w:r>
            <w:r>
              <w:rPr>
                <w:noProof/>
                <w:webHidden/>
              </w:rPr>
              <w:tab/>
            </w:r>
            <w:r>
              <w:rPr>
                <w:noProof/>
                <w:webHidden/>
              </w:rPr>
              <w:fldChar w:fldCharType="begin"/>
            </w:r>
            <w:r>
              <w:rPr>
                <w:noProof/>
                <w:webHidden/>
              </w:rPr>
              <w:instrText xml:space="preserve"> PAGEREF _Toc208416009 \h </w:instrText>
            </w:r>
            <w:r>
              <w:rPr>
                <w:noProof/>
                <w:webHidden/>
              </w:rPr>
            </w:r>
            <w:r>
              <w:rPr>
                <w:noProof/>
                <w:webHidden/>
              </w:rPr>
              <w:fldChar w:fldCharType="separate"/>
            </w:r>
            <w:r>
              <w:rPr>
                <w:noProof/>
                <w:webHidden/>
              </w:rPr>
              <w:t>7</w:t>
            </w:r>
            <w:r>
              <w:rPr>
                <w:noProof/>
                <w:webHidden/>
              </w:rPr>
              <w:fldChar w:fldCharType="end"/>
            </w:r>
          </w:hyperlink>
        </w:p>
        <w:p w14:paraId="795D053F" w14:textId="3CCA4BEC" w:rsidR="00AD1312" w:rsidRDefault="00AD1312">
          <w:pPr>
            <w:pStyle w:val="TOC1"/>
            <w:rPr>
              <w:rFonts w:asciiTheme="minorHAnsi" w:eastAsiaTheme="minorEastAsia" w:hAnsiTheme="minorHAnsi"/>
              <w:b w:val="0"/>
              <w:noProof/>
              <w:color w:val="auto"/>
              <w:kern w:val="2"/>
              <w:szCs w:val="24"/>
              <w:lang w:eastAsia="en-AU"/>
              <w14:ligatures w14:val="standardContextual"/>
            </w:rPr>
          </w:pPr>
          <w:hyperlink w:anchor="_Toc208416010" w:history="1">
            <w:r w:rsidRPr="00C65696">
              <w:rPr>
                <w:rStyle w:val="Hyperlink"/>
                <w:noProof/>
              </w:rPr>
              <w:t>What are we doing already?</w:t>
            </w:r>
            <w:r>
              <w:rPr>
                <w:noProof/>
                <w:webHidden/>
              </w:rPr>
              <w:tab/>
            </w:r>
            <w:r>
              <w:rPr>
                <w:noProof/>
                <w:webHidden/>
              </w:rPr>
              <w:fldChar w:fldCharType="begin"/>
            </w:r>
            <w:r>
              <w:rPr>
                <w:noProof/>
                <w:webHidden/>
              </w:rPr>
              <w:instrText xml:space="preserve"> PAGEREF _Toc208416010 \h </w:instrText>
            </w:r>
            <w:r>
              <w:rPr>
                <w:noProof/>
                <w:webHidden/>
              </w:rPr>
            </w:r>
            <w:r>
              <w:rPr>
                <w:noProof/>
                <w:webHidden/>
              </w:rPr>
              <w:fldChar w:fldCharType="separate"/>
            </w:r>
            <w:r>
              <w:rPr>
                <w:noProof/>
                <w:webHidden/>
              </w:rPr>
              <w:t>9</w:t>
            </w:r>
            <w:r>
              <w:rPr>
                <w:noProof/>
                <w:webHidden/>
              </w:rPr>
              <w:fldChar w:fldCharType="end"/>
            </w:r>
          </w:hyperlink>
        </w:p>
        <w:p w14:paraId="009F4025" w14:textId="58C59ABF" w:rsidR="00AD1312" w:rsidRDefault="00AD1312">
          <w:pPr>
            <w:pStyle w:val="TOC1"/>
            <w:rPr>
              <w:rFonts w:asciiTheme="minorHAnsi" w:eastAsiaTheme="minorEastAsia" w:hAnsiTheme="minorHAnsi"/>
              <w:b w:val="0"/>
              <w:noProof/>
              <w:color w:val="auto"/>
              <w:kern w:val="2"/>
              <w:szCs w:val="24"/>
              <w:lang w:eastAsia="en-AU"/>
              <w14:ligatures w14:val="standardContextual"/>
            </w:rPr>
          </w:pPr>
          <w:hyperlink w:anchor="_Toc208416011" w:history="1">
            <w:r w:rsidRPr="00C65696">
              <w:rPr>
                <w:rStyle w:val="Hyperlink"/>
                <w:noProof/>
              </w:rPr>
              <w:t>Delivering the program</w:t>
            </w:r>
            <w:r>
              <w:rPr>
                <w:noProof/>
                <w:webHidden/>
              </w:rPr>
              <w:tab/>
            </w:r>
            <w:r>
              <w:rPr>
                <w:noProof/>
                <w:webHidden/>
              </w:rPr>
              <w:fldChar w:fldCharType="begin"/>
            </w:r>
            <w:r>
              <w:rPr>
                <w:noProof/>
                <w:webHidden/>
              </w:rPr>
              <w:instrText xml:space="preserve"> PAGEREF _Toc208416011 \h </w:instrText>
            </w:r>
            <w:r>
              <w:rPr>
                <w:noProof/>
                <w:webHidden/>
              </w:rPr>
            </w:r>
            <w:r>
              <w:rPr>
                <w:noProof/>
                <w:webHidden/>
              </w:rPr>
              <w:fldChar w:fldCharType="separate"/>
            </w:r>
            <w:r>
              <w:rPr>
                <w:noProof/>
                <w:webHidden/>
              </w:rPr>
              <w:t>9</w:t>
            </w:r>
            <w:r>
              <w:rPr>
                <w:noProof/>
                <w:webHidden/>
              </w:rPr>
              <w:fldChar w:fldCharType="end"/>
            </w:r>
          </w:hyperlink>
        </w:p>
        <w:p w14:paraId="786C8176" w14:textId="442EB5B9" w:rsidR="00AD1312" w:rsidRDefault="00AD1312">
          <w:pPr>
            <w:pStyle w:val="TOC1"/>
            <w:rPr>
              <w:rFonts w:asciiTheme="minorHAnsi" w:eastAsiaTheme="minorEastAsia" w:hAnsiTheme="minorHAnsi"/>
              <w:b w:val="0"/>
              <w:noProof/>
              <w:color w:val="auto"/>
              <w:kern w:val="2"/>
              <w:szCs w:val="24"/>
              <w:lang w:eastAsia="en-AU"/>
              <w14:ligatures w14:val="standardContextual"/>
            </w:rPr>
          </w:pPr>
          <w:hyperlink w:anchor="_Toc208416012" w:history="1">
            <w:r w:rsidRPr="00C65696">
              <w:rPr>
                <w:rStyle w:val="Hyperlink"/>
                <w:noProof/>
              </w:rPr>
              <w:t>Going forward</w:t>
            </w:r>
            <w:r>
              <w:rPr>
                <w:noProof/>
                <w:webHidden/>
              </w:rPr>
              <w:tab/>
            </w:r>
            <w:r>
              <w:rPr>
                <w:noProof/>
                <w:webHidden/>
              </w:rPr>
              <w:fldChar w:fldCharType="begin"/>
            </w:r>
            <w:r>
              <w:rPr>
                <w:noProof/>
                <w:webHidden/>
              </w:rPr>
              <w:instrText xml:space="preserve"> PAGEREF _Toc208416012 \h </w:instrText>
            </w:r>
            <w:r>
              <w:rPr>
                <w:noProof/>
                <w:webHidden/>
              </w:rPr>
            </w:r>
            <w:r>
              <w:rPr>
                <w:noProof/>
                <w:webHidden/>
              </w:rPr>
              <w:fldChar w:fldCharType="separate"/>
            </w:r>
            <w:r>
              <w:rPr>
                <w:noProof/>
                <w:webHidden/>
              </w:rPr>
              <w:t>12</w:t>
            </w:r>
            <w:r>
              <w:rPr>
                <w:noProof/>
                <w:webHidden/>
              </w:rPr>
              <w:fldChar w:fldCharType="end"/>
            </w:r>
          </w:hyperlink>
        </w:p>
        <w:p w14:paraId="1C1FF446" w14:textId="75AF8AA5" w:rsidR="008113E9" w:rsidRDefault="008113E9">
          <w:r>
            <w:rPr>
              <w:b/>
              <w:bCs/>
              <w:noProof/>
            </w:rPr>
            <w:fldChar w:fldCharType="end"/>
          </w:r>
        </w:p>
      </w:sdtContent>
    </w:sdt>
    <w:p w14:paraId="10EADA87" w14:textId="77777777" w:rsidR="008113E9" w:rsidRDefault="008113E9" w:rsidP="008113E9">
      <w:pPr>
        <w:pStyle w:val="Heading1"/>
        <w:sectPr w:rsidR="008113E9" w:rsidSect="008113E9">
          <w:headerReference w:type="even" r:id="rId14"/>
          <w:headerReference w:type="default" r:id="rId15"/>
          <w:headerReference w:type="first" r:id="rId16"/>
          <w:pgSz w:w="11906" w:h="16838" w:code="9"/>
          <w:pgMar w:top="1135" w:right="1418" w:bottom="1843" w:left="1418" w:header="567" w:footer="567" w:gutter="0"/>
          <w:cols w:space="708"/>
          <w:titlePg/>
          <w:docGrid w:linePitch="360"/>
        </w:sectPr>
      </w:pPr>
    </w:p>
    <w:p w14:paraId="1CCE3042" w14:textId="77777777" w:rsidR="008113E9" w:rsidRPr="008113E9" w:rsidRDefault="00980755" w:rsidP="008113E9">
      <w:pPr>
        <w:pStyle w:val="Heading1"/>
      </w:pPr>
      <w:bookmarkStart w:id="1" w:name="_Toc208416003"/>
      <w:r>
        <w:lastRenderedPageBreak/>
        <w:t>Introduction</w:t>
      </w:r>
      <w:bookmarkEnd w:id="1"/>
    </w:p>
    <w:p w14:paraId="2D1E04D5" w14:textId="66C9CFF2" w:rsidR="008113E9" w:rsidRDefault="00980755" w:rsidP="008113E9">
      <w:r w:rsidRPr="00980755">
        <w:t>Queensland has the largest beef cattle herd in Australia at 42 per cent of the national herd</w:t>
      </w:r>
      <w:r w:rsidR="00207E53">
        <w:t>.</w:t>
      </w:r>
      <w:r>
        <w:rPr>
          <w:rStyle w:val="FootnoteReference"/>
        </w:rPr>
        <w:footnoteReference w:id="1"/>
      </w:r>
      <w:r w:rsidRPr="00980755">
        <w:t xml:space="preserve"> Australia represents 2 per cent of global beef cattle and 15.7 per cent of global beef meat exports</w:t>
      </w:r>
      <w:r w:rsidR="00207E53">
        <w:t>.</w:t>
      </w:r>
      <w:r>
        <w:rPr>
          <w:rStyle w:val="FootnoteReference"/>
        </w:rPr>
        <w:footnoteReference w:id="2"/>
      </w:r>
      <w:r w:rsidRPr="00980755">
        <w:t xml:space="preserve"> The beef industry is a significant regional employer and a major contributor to regional economies, including Central Queensland. Backing our beef industry will boost the economy, protect and create jobs and support regional communities. More than 10,000 Queenslanders are directly employed in the beef processing industry, with the industry value-add approximately $1 billion annually, making it one of the state’s largest manufacturing sectors</w:t>
      </w:r>
      <w:r w:rsidR="00207E53">
        <w:t>.</w:t>
      </w:r>
      <w:r>
        <w:rPr>
          <w:rStyle w:val="FootnoteReference"/>
        </w:rPr>
        <w:footnoteReference w:id="3"/>
      </w:r>
      <w:r w:rsidRPr="00980755">
        <w:t xml:space="preserve"> </w:t>
      </w:r>
    </w:p>
    <w:p w14:paraId="73AC2356" w14:textId="77777777" w:rsidR="00980755" w:rsidRDefault="00980755" w:rsidP="008113E9">
      <w:r w:rsidRPr="00980755">
        <w:t>An efficient freight network is critical to Queensland’s global competitiveness and economic performance. The beef industry supply chain relies on a combination of road, rail, and port access for the delivery of livestock and goods, including the transport of products to domestic and global customers. This supply chain includes a network of ‘beef roads’, supporting the beef industry by transporting livestock from regional grazing areas to markets, processing facilities, and ports. Many beef roads are unsealed, traversing remote and rural areas, and connecting cattle stations to major highways and transport hubs.</w:t>
      </w:r>
    </w:p>
    <w:p w14:paraId="2DD490C8" w14:textId="77777777" w:rsidR="00980755" w:rsidRDefault="00980755" w:rsidP="008113E9">
      <w:r w:rsidRPr="00980755">
        <w:t>Central Queensland is renowned for its extensive grazing, cropping, and intensive production systems. Reflecting the importance of the beef industry in Central Queensland, the Australian and Queensland governments are investing $500 million in funding over the next 10 years. These funds will progressively seal priority sections of key beef corridors to achieve greater all-weather access, improve freight reliability, and road efficiency and safety.</w:t>
      </w:r>
    </w:p>
    <w:p w14:paraId="4EC309EB" w14:textId="5BC5D311" w:rsidR="00980755" w:rsidRDefault="00980755" w:rsidP="008113E9">
      <w:r w:rsidRPr="00980755">
        <w:t>Guiding this investment, are the Department of Transport and Main Roads (TMR), in partnership with the Australian Government and Queensland Beef Corridors (QBC) group. This group represents the seven Central Queensland local governments</w:t>
      </w:r>
      <w:r>
        <w:t xml:space="preserve"> </w:t>
      </w:r>
      <w:r w:rsidRPr="00980755">
        <w:t>that assisted in developing th</w:t>
      </w:r>
      <w:r w:rsidR="00E302D5">
        <w:t>e</w:t>
      </w:r>
      <w:r w:rsidRPr="00980755">
        <w:t xml:space="preserve"> 10-year </w:t>
      </w:r>
      <w:r w:rsidRPr="00980755">
        <w:rPr>
          <w:i/>
          <w:iCs/>
        </w:rPr>
        <w:t>Central Queensland Beef Roads Investment Strategy</w:t>
      </w:r>
      <w:r w:rsidRPr="00980755">
        <w:t xml:space="preserve"> (</w:t>
      </w:r>
      <w:r w:rsidR="00E302D5">
        <w:t>the Strategy</w:t>
      </w:r>
      <w:r w:rsidRPr="00980755">
        <w:t>) which will</w:t>
      </w:r>
      <w:r>
        <w:t xml:space="preserve"> </w:t>
      </w:r>
      <w:r w:rsidRPr="00980755">
        <w:t>support the efficient and productive movement of beef in Central Queensland and improve safety for all road users.</w:t>
      </w:r>
    </w:p>
    <w:p w14:paraId="2B605E3B" w14:textId="4AA53D62" w:rsidR="00980755" w:rsidRDefault="00980755" w:rsidP="008113E9">
      <w:r w:rsidRPr="00980755">
        <w:t xml:space="preserve">When developing </w:t>
      </w:r>
      <w:r w:rsidR="003E38DC">
        <w:t>the S</w:t>
      </w:r>
      <w:r w:rsidRPr="00980755">
        <w:t>trategy, including its vision, objectives and investment priorities, TMR partnered with stakeholders, including the QBC group, transport operators, RACQ and primary producers.</w:t>
      </w:r>
    </w:p>
    <w:p w14:paraId="2B0BB974" w14:textId="1A53E195" w:rsidR="00980755" w:rsidRDefault="00980755" w:rsidP="008113E9">
      <w:r w:rsidRPr="00980755">
        <w:lastRenderedPageBreak/>
        <w:t>Moving forward, the Queensland Government will work closely with the relevant local governments and the Australian Government to confirm the packaging and delivery strategy for the priorities outlined in th</w:t>
      </w:r>
      <w:r w:rsidR="00FA2D46">
        <w:t>e S</w:t>
      </w:r>
      <w:r w:rsidRPr="00980755">
        <w:t>trategy.</w:t>
      </w:r>
    </w:p>
    <w:p w14:paraId="7BD65D92" w14:textId="77777777" w:rsidR="00763044" w:rsidRDefault="00763044" w:rsidP="00763044">
      <w:pPr>
        <w:pStyle w:val="Heading1"/>
      </w:pPr>
      <w:bookmarkStart w:id="2" w:name="_Toc208416004"/>
      <w:r>
        <w:t>Vision and Objectives</w:t>
      </w:r>
      <w:bookmarkEnd w:id="2"/>
    </w:p>
    <w:p w14:paraId="69D0A059" w14:textId="71BFCAB2" w:rsidR="00763044" w:rsidRDefault="00763044" w:rsidP="00763044">
      <w:r w:rsidRPr="00763044">
        <w:t xml:space="preserve">The </w:t>
      </w:r>
      <w:r w:rsidR="00E302D5">
        <w:t>Strategy</w:t>
      </w:r>
      <w:r w:rsidRPr="00763044">
        <w:t xml:space="preserve"> outlines a vision to provide:</w:t>
      </w:r>
    </w:p>
    <w:p w14:paraId="03A46F58" w14:textId="77777777" w:rsidR="00763044" w:rsidRPr="008E4BB9" w:rsidRDefault="00763044" w:rsidP="00763044">
      <w:pPr>
        <w:spacing w:after="160" w:line="259" w:lineRule="auto"/>
        <w:ind w:left="426"/>
        <w:rPr>
          <w:rFonts w:asciiTheme="majorHAnsi" w:hAnsiTheme="majorHAnsi" w:cstheme="majorHAnsi"/>
        </w:rPr>
      </w:pPr>
      <w:r w:rsidRPr="008E4BB9">
        <w:rPr>
          <w:rFonts w:asciiTheme="majorHAnsi" w:hAnsiTheme="majorHAnsi" w:cstheme="majorHAnsi"/>
        </w:rPr>
        <w:t>“</w:t>
      </w:r>
      <w:proofErr w:type="gramStart"/>
      <w:r w:rsidRPr="008E4BB9">
        <w:rPr>
          <w:rFonts w:asciiTheme="majorHAnsi" w:hAnsiTheme="majorHAnsi" w:cstheme="majorHAnsi"/>
          <w:b/>
          <w:bCs/>
          <w:i/>
          <w:iCs/>
        </w:rPr>
        <w:t>resilient</w:t>
      </w:r>
      <w:proofErr w:type="gramEnd"/>
      <w:r w:rsidRPr="008E4BB9">
        <w:rPr>
          <w:rFonts w:asciiTheme="majorHAnsi" w:hAnsiTheme="majorHAnsi" w:cstheme="majorHAnsi"/>
          <w:b/>
          <w:bCs/>
          <w:i/>
          <w:iCs/>
        </w:rPr>
        <w:t xml:space="preserve"> road corridors and reliable access for primary producers, improved transport efficiency and livestock quality for the Central Queensland beef industry and associated supply chains</w:t>
      </w:r>
      <w:r w:rsidRPr="008E4BB9">
        <w:rPr>
          <w:rFonts w:asciiTheme="majorHAnsi" w:hAnsiTheme="majorHAnsi" w:cstheme="majorHAnsi"/>
        </w:rPr>
        <w:t>”.</w:t>
      </w:r>
    </w:p>
    <w:p w14:paraId="565043DB" w14:textId="120546B6" w:rsidR="00763044" w:rsidRPr="008E4BB9" w:rsidRDefault="00763044" w:rsidP="00763044">
      <w:pPr>
        <w:suppressAutoHyphens w:val="0"/>
        <w:spacing w:before="0" w:after="160" w:line="259" w:lineRule="auto"/>
        <w:rPr>
          <w:rFonts w:asciiTheme="majorHAnsi" w:hAnsiTheme="majorHAnsi" w:cstheme="majorHAnsi"/>
          <w:i/>
          <w:iCs/>
        </w:rPr>
      </w:pPr>
      <w:r w:rsidRPr="008E4BB9">
        <w:rPr>
          <w:rFonts w:asciiTheme="majorHAnsi" w:hAnsiTheme="majorHAnsi" w:cstheme="majorHAnsi"/>
        </w:rPr>
        <w:t xml:space="preserve">The </w:t>
      </w:r>
      <w:r w:rsidR="00E302D5">
        <w:rPr>
          <w:rFonts w:asciiTheme="majorHAnsi" w:hAnsiTheme="majorHAnsi" w:cstheme="majorHAnsi"/>
        </w:rPr>
        <w:t>Strategy</w:t>
      </w:r>
      <w:r w:rsidRPr="008E4BB9">
        <w:rPr>
          <w:rFonts w:asciiTheme="majorHAnsi" w:hAnsiTheme="majorHAnsi" w:cstheme="majorHAnsi"/>
        </w:rPr>
        <w:t xml:space="preserve"> aims to achieve the following objectives:</w:t>
      </w:r>
    </w:p>
    <w:p w14:paraId="60480DEF" w14:textId="77777777" w:rsidR="00763044" w:rsidRPr="008E4BB9" w:rsidRDefault="00763044" w:rsidP="005D1774">
      <w:pPr>
        <w:numPr>
          <w:ilvl w:val="0"/>
          <w:numId w:val="5"/>
        </w:numPr>
        <w:suppressAutoHyphens w:val="0"/>
        <w:spacing w:before="0" w:after="160" w:line="259" w:lineRule="auto"/>
        <w:rPr>
          <w:rFonts w:asciiTheme="majorHAnsi" w:hAnsiTheme="majorHAnsi" w:cstheme="majorHAnsi"/>
        </w:rPr>
      </w:pPr>
      <w:r w:rsidRPr="008E4BB9">
        <w:rPr>
          <w:rFonts w:asciiTheme="majorHAnsi" w:hAnsiTheme="majorHAnsi" w:cstheme="majorHAnsi"/>
        </w:rPr>
        <w:t>improve efficiency of the beef supply chain from farm to port and processing facilities</w:t>
      </w:r>
    </w:p>
    <w:p w14:paraId="474B80CF" w14:textId="77777777" w:rsidR="00763044" w:rsidRPr="008E4BB9" w:rsidRDefault="00763044" w:rsidP="005D1774">
      <w:pPr>
        <w:numPr>
          <w:ilvl w:val="0"/>
          <w:numId w:val="5"/>
        </w:numPr>
        <w:suppressAutoHyphens w:val="0"/>
        <w:spacing w:before="0" w:after="160" w:line="259" w:lineRule="auto"/>
        <w:rPr>
          <w:rFonts w:asciiTheme="majorHAnsi" w:hAnsiTheme="majorHAnsi" w:cstheme="majorHAnsi"/>
        </w:rPr>
      </w:pPr>
      <w:r w:rsidRPr="008E4BB9">
        <w:rPr>
          <w:rFonts w:asciiTheme="majorHAnsi" w:hAnsiTheme="majorHAnsi" w:cstheme="majorHAnsi"/>
        </w:rPr>
        <w:t>provide safer roads for all users</w:t>
      </w:r>
    </w:p>
    <w:p w14:paraId="3699701F" w14:textId="77777777" w:rsidR="00763044" w:rsidRPr="008E4BB9" w:rsidRDefault="00763044" w:rsidP="005D1774">
      <w:pPr>
        <w:numPr>
          <w:ilvl w:val="0"/>
          <w:numId w:val="5"/>
        </w:numPr>
        <w:suppressAutoHyphens w:val="0"/>
        <w:spacing w:before="0" w:after="160" w:line="259" w:lineRule="auto"/>
        <w:rPr>
          <w:rFonts w:asciiTheme="majorHAnsi" w:hAnsiTheme="majorHAnsi" w:cstheme="majorHAnsi"/>
        </w:rPr>
      </w:pPr>
      <w:r w:rsidRPr="008E4BB9">
        <w:rPr>
          <w:rFonts w:asciiTheme="majorHAnsi" w:hAnsiTheme="majorHAnsi" w:cstheme="majorHAnsi"/>
        </w:rPr>
        <w:t>improve reliability and resilience to weather events</w:t>
      </w:r>
    </w:p>
    <w:p w14:paraId="376F36D2" w14:textId="77777777" w:rsidR="00763044" w:rsidRPr="008E4BB9" w:rsidRDefault="00763044" w:rsidP="005D1774">
      <w:pPr>
        <w:numPr>
          <w:ilvl w:val="0"/>
          <w:numId w:val="5"/>
        </w:numPr>
        <w:suppressAutoHyphens w:val="0"/>
        <w:spacing w:before="0" w:after="160" w:line="259" w:lineRule="auto"/>
        <w:rPr>
          <w:rFonts w:asciiTheme="majorHAnsi" w:hAnsiTheme="majorHAnsi" w:cstheme="majorHAnsi"/>
        </w:rPr>
      </w:pPr>
      <w:r w:rsidRPr="008E4BB9">
        <w:rPr>
          <w:rFonts w:asciiTheme="majorHAnsi" w:hAnsiTheme="majorHAnsi" w:cstheme="majorHAnsi"/>
        </w:rPr>
        <w:t>support economic activity along the corridor.</w:t>
      </w:r>
    </w:p>
    <w:p w14:paraId="4096DCCC" w14:textId="77777777" w:rsidR="00763044" w:rsidRDefault="00763044" w:rsidP="00763044">
      <w:pPr>
        <w:pStyle w:val="Heading1"/>
      </w:pPr>
      <w:bookmarkStart w:id="3" w:name="_Toc208416005"/>
      <w:r>
        <w:t>Overview</w:t>
      </w:r>
      <w:bookmarkEnd w:id="3"/>
    </w:p>
    <w:p w14:paraId="76A15506" w14:textId="77777777" w:rsidR="00763044" w:rsidRDefault="00763044" w:rsidP="00763044">
      <w:r>
        <w:t xml:space="preserve">Across the state, there is a large and complex transport network supporting the Queensland beef cattle industry. This network comprises transport infrastructure including rail, road, air and sea transport. Transport is focused on live animals, processed beef and feed for feedlots. Given Queensland’s scale and the geographic scale of the industry, transport infrastructure and services are key to its success. </w:t>
      </w:r>
    </w:p>
    <w:p w14:paraId="2647BBFF" w14:textId="77777777" w:rsidR="00763044" w:rsidRDefault="00763044" w:rsidP="00763044">
      <w:r>
        <w:t>The Central Queensland Beef Roads (CQBR) are identified as a strategic road network that covers 218,000 square kilometres and supports the movement of around $1.7 billion in freight and agricultural produce – primarily Australian beef – each year from inland areas to saleyards, processing facilities and ports across the region.</w:t>
      </w:r>
    </w:p>
    <w:p w14:paraId="2903E002" w14:textId="77777777" w:rsidR="009F56B2" w:rsidRDefault="009F56B2" w:rsidP="00763044">
      <w:r>
        <w:rPr>
          <w:noProof/>
        </w:rPr>
        <w:lastRenderedPageBreak/>
        <w:drawing>
          <wp:inline distT="0" distB="0" distL="0" distR="0" wp14:anchorId="6FBE0C40" wp14:editId="1CC91EC7">
            <wp:extent cx="5761355" cy="2231409"/>
            <wp:effectExtent l="0" t="0" r="0" b="0"/>
            <wp:docPr id="571269348" name="Picture 1" descr="Figure 1: The beef supply chain.&#10;A graphic depicting the beef supply chain, with green icons representing the beginning of the supply chain at the breeding and grazing properties, to the domestic market and ex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69348" name="Picture 1" descr="Figure 1: The beef supply chain.&#10;A graphic depicting the beef supply chain, with green icons representing the beginning of the supply chain at the breeding and grazing properties, to the domestic market and export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761355" cy="2231409"/>
                    </a:xfrm>
                    <a:prstGeom prst="rect">
                      <a:avLst/>
                    </a:prstGeom>
                    <a:noFill/>
                    <a:ln>
                      <a:noFill/>
                    </a:ln>
                    <a:extLst>
                      <a:ext uri="{53640926-AAD7-44D8-BBD7-CCE9431645EC}">
                        <a14:shadowObscured xmlns:a14="http://schemas.microsoft.com/office/drawing/2010/main"/>
                      </a:ext>
                    </a:extLst>
                  </pic:spPr>
                </pic:pic>
              </a:graphicData>
            </a:graphic>
          </wp:inline>
        </w:drawing>
      </w:r>
    </w:p>
    <w:p w14:paraId="14B57350" w14:textId="77777777" w:rsidR="009F56B2" w:rsidRPr="008E4BB9" w:rsidRDefault="009F56B2" w:rsidP="009F56B2">
      <w:pPr>
        <w:suppressAutoHyphens w:val="0"/>
        <w:spacing w:before="0" w:after="160" w:line="259" w:lineRule="auto"/>
        <w:rPr>
          <w:rFonts w:asciiTheme="majorHAnsi" w:hAnsiTheme="majorHAnsi" w:cstheme="majorHAnsi"/>
          <w:sz w:val="16"/>
          <w:szCs w:val="16"/>
        </w:rPr>
      </w:pPr>
      <w:r w:rsidRPr="008E4BB9">
        <w:rPr>
          <w:rFonts w:asciiTheme="majorHAnsi" w:hAnsiTheme="majorHAnsi" w:cstheme="majorHAnsi"/>
          <w:sz w:val="16"/>
          <w:szCs w:val="16"/>
        </w:rPr>
        <w:t>Source: The Queensland Beef Supply Chain, Queensland Government</w:t>
      </w:r>
    </w:p>
    <w:p w14:paraId="319B8BFE" w14:textId="77777777" w:rsidR="008A378D" w:rsidRDefault="008A378D" w:rsidP="008A378D">
      <w:pPr>
        <w:suppressAutoHyphens w:val="0"/>
        <w:spacing w:before="0" w:after="160" w:line="259" w:lineRule="auto"/>
      </w:pPr>
    </w:p>
    <w:p w14:paraId="07238BC7" w14:textId="2F5D83F1" w:rsidR="008A378D" w:rsidRPr="008A378D" w:rsidRDefault="008A378D" w:rsidP="008A378D">
      <w:pPr>
        <w:suppressAutoHyphens w:val="0"/>
        <w:spacing w:before="0" w:after="160" w:line="259" w:lineRule="auto"/>
      </w:pPr>
      <w:r w:rsidRPr="008A378D">
        <w:t>The QBC is a collaborative advocacy group of the seven local government mayors within Central Queensland Region, which include Barcaldine, Central Highlands, Gladstone, Isaac, Rockhampton Regional Councils and Banana and Woorabinda Aboriginal Shire Councils. The QBC advocated for sealing the unsealed sections of nine identified beef roads in Central Queensland.</w:t>
      </w:r>
    </w:p>
    <w:p w14:paraId="10157B96" w14:textId="2B229371" w:rsidR="009F56B2" w:rsidRPr="003E38DC" w:rsidRDefault="008A378D" w:rsidP="003E38DC">
      <w:pPr>
        <w:suppressAutoHyphens w:val="0"/>
        <w:spacing w:before="0" w:after="160" w:line="259" w:lineRule="auto"/>
        <w:rPr>
          <w:rFonts w:asciiTheme="majorHAnsi" w:hAnsiTheme="majorHAnsi" w:cstheme="majorHAnsi"/>
        </w:rPr>
      </w:pPr>
      <w:r w:rsidRPr="008A378D">
        <w:t xml:space="preserve">In 2024, the Australian and Queensland governments announced $500 million of road upgrades to support the state’s beef industry in Central Queensland over 10 years, comprising $400 million from the Australian Government and $100 million from the Queensland Government. </w:t>
      </w:r>
      <w:bookmarkStart w:id="4" w:name="_Hlk204337769"/>
      <w:r w:rsidRPr="008A378D">
        <w:t>For upgrades on the local government-controlled road network, there will be a $3 million co-contribution from the respective local government for these works</w:t>
      </w:r>
      <w:r w:rsidRPr="008E4BB9">
        <w:rPr>
          <w:rFonts w:asciiTheme="majorHAnsi" w:hAnsiTheme="majorHAnsi" w:cstheme="majorHAnsi"/>
        </w:rPr>
        <w:t>.</w:t>
      </w:r>
      <w:bookmarkEnd w:id="4"/>
    </w:p>
    <w:p w14:paraId="2332F3D3" w14:textId="77777777" w:rsidR="008113E9" w:rsidRPr="008113E9" w:rsidRDefault="007E40AF" w:rsidP="00517CEA">
      <w:pPr>
        <w:pStyle w:val="Heading1"/>
      </w:pPr>
      <w:bookmarkStart w:id="5" w:name="_Toc208416006"/>
      <w:r>
        <w:t>Stakeholder consultation and collaboration</w:t>
      </w:r>
      <w:bookmarkEnd w:id="5"/>
      <w:r>
        <w:t xml:space="preserve"> </w:t>
      </w:r>
    </w:p>
    <w:p w14:paraId="74C0A051" w14:textId="2ACA8A3E" w:rsidR="007E40AF" w:rsidRPr="008E4BB9" w:rsidRDefault="007E40AF" w:rsidP="007E40AF">
      <w:pPr>
        <w:rPr>
          <w:rFonts w:asciiTheme="majorHAnsi" w:hAnsiTheme="majorHAnsi" w:cstheme="majorHAnsi"/>
        </w:rPr>
      </w:pPr>
      <w:r w:rsidRPr="008E4BB9">
        <w:rPr>
          <w:rFonts w:asciiTheme="majorHAnsi" w:hAnsiTheme="majorHAnsi" w:cstheme="majorHAnsi"/>
        </w:rPr>
        <w:t xml:space="preserve">TMR worked with the QBC group, the Australian Government and key stakeholders in developing the </w:t>
      </w:r>
      <w:r w:rsidR="00E302D5">
        <w:rPr>
          <w:rFonts w:asciiTheme="majorHAnsi" w:hAnsiTheme="majorHAnsi" w:cstheme="majorHAnsi"/>
        </w:rPr>
        <w:t>Strategy</w:t>
      </w:r>
      <w:r w:rsidRPr="008E4BB9">
        <w:rPr>
          <w:rFonts w:asciiTheme="majorHAnsi" w:hAnsiTheme="majorHAnsi" w:cstheme="majorHAnsi"/>
        </w:rPr>
        <w:t>. A Strategic Advisory Group</w:t>
      </w:r>
      <w:r>
        <w:rPr>
          <w:rFonts w:asciiTheme="majorHAnsi" w:hAnsiTheme="majorHAnsi" w:cstheme="majorHAnsi"/>
        </w:rPr>
        <w:t xml:space="preserve"> (SAG)</w:t>
      </w:r>
      <w:r w:rsidRPr="008E4BB9">
        <w:rPr>
          <w:rFonts w:asciiTheme="majorHAnsi" w:hAnsiTheme="majorHAnsi" w:cstheme="majorHAnsi"/>
        </w:rPr>
        <w:t xml:space="preserve"> was established, consisting of Australian and Queensland government officials and representatives from the QBC advocacy group. </w:t>
      </w:r>
    </w:p>
    <w:p w14:paraId="1CD34C3F" w14:textId="77777777" w:rsidR="007E40AF" w:rsidRPr="008E4BB9" w:rsidRDefault="007E40AF" w:rsidP="007E40AF">
      <w:pPr>
        <w:suppressAutoHyphens w:val="0"/>
        <w:spacing w:before="0" w:after="160" w:line="259" w:lineRule="auto"/>
        <w:rPr>
          <w:rFonts w:asciiTheme="majorHAnsi" w:hAnsiTheme="majorHAnsi" w:cstheme="majorHAnsi"/>
        </w:rPr>
      </w:pPr>
      <w:r w:rsidRPr="008E4BB9">
        <w:rPr>
          <w:rFonts w:asciiTheme="majorHAnsi" w:hAnsiTheme="majorHAnsi" w:cstheme="majorHAnsi"/>
        </w:rPr>
        <w:t xml:space="preserve">TMR and the </w:t>
      </w:r>
      <w:r>
        <w:rPr>
          <w:rFonts w:asciiTheme="majorHAnsi" w:hAnsiTheme="majorHAnsi" w:cstheme="majorHAnsi"/>
        </w:rPr>
        <w:t>SAG</w:t>
      </w:r>
      <w:r w:rsidRPr="008E4BB9">
        <w:rPr>
          <w:rFonts w:asciiTheme="majorHAnsi" w:hAnsiTheme="majorHAnsi" w:cstheme="majorHAnsi"/>
        </w:rPr>
        <w:t xml:space="preserve"> were supported by a Technical Working Group from the QBC local governments. Informing the investment priorities, TMR undertook a heavy vehicle access assessment, multi-criteria analysis and moderation process. CSIRO was also engaged to provide expertise in supply chain modelling using CSIRO’s Transport Network Strategic Investment Tool (TraNSIT).</w:t>
      </w:r>
    </w:p>
    <w:p w14:paraId="7120DA6F" w14:textId="529A76D4" w:rsidR="007E40AF" w:rsidRPr="008E4BB9" w:rsidRDefault="007E40AF" w:rsidP="007E40AF">
      <w:pPr>
        <w:suppressAutoHyphens w:val="0"/>
        <w:spacing w:before="0" w:after="160" w:line="259" w:lineRule="auto"/>
        <w:rPr>
          <w:rFonts w:asciiTheme="majorHAnsi" w:hAnsiTheme="majorHAnsi" w:cstheme="majorHAnsi"/>
        </w:rPr>
      </w:pPr>
      <w:r w:rsidRPr="008E4BB9">
        <w:rPr>
          <w:rFonts w:asciiTheme="majorHAnsi" w:hAnsiTheme="majorHAnsi" w:cstheme="majorHAnsi"/>
        </w:rPr>
        <w:lastRenderedPageBreak/>
        <w:t xml:space="preserve">An industry workshop was held and included the </w:t>
      </w:r>
      <w:r>
        <w:rPr>
          <w:rFonts w:asciiTheme="majorHAnsi" w:hAnsiTheme="majorHAnsi" w:cstheme="majorHAnsi"/>
        </w:rPr>
        <w:t>SAG</w:t>
      </w:r>
      <w:r w:rsidRPr="008E4BB9">
        <w:rPr>
          <w:rFonts w:asciiTheme="majorHAnsi" w:hAnsiTheme="majorHAnsi" w:cstheme="majorHAnsi"/>
        </w:rPr>
        <w:t xml:space="preserve"> as well as key stakeholders including transport operators, primary producers, Queensland Trucking Association and RACQ. The workshop aimed to understand industry stakeholder views on what investment was required, in what priority order and where to address critical issues and challenges within the CQBR network. </w:t>
      </w:r>
    </w:p>
    <w:p w14:paraId="1468D474" w14:textId="77777777" w:rsidR="007E40AF" w:rsidRPr="008E4BB9" w:rsidRDefault="007E40AF" w:rsidP="007E40AF">
      <w:pPr>
        <w:keepNext/>
        <w:suppressAutoHyphens w:val="0"/>
        <w:spacing w:before="0" w:after="160" w:line="259" w:lineRule="auto"/>
        <w:rPr>
          <w:rFonts w:asciiTheme="majorHAnsi" w:hAnsiTheme="majorHAnsi" w:cstheme="majorHAnsi"/>
        </w:rPr>
      </w:pPr>
      <w:r w:rsidRPr="008E4BB9">
        <w:rPr>
          <w:rFonts w:asciiTheme="majorHAnsi" w:hAnsiTheme="majorHAnsi" w:cstheme="majorHAnsi"/>
        </w:rPr>
        <w:t>Key issues and challenges identified by stakeholders included:</w:t>
      </w:r>
    </w:p>
    <w:p w14:paraId="14AB30FF" w14:textId="77777777" w:rsidR="007E40AF" w:rsidRPr="008E4BB9" w:rsidRDefault="007E40AF" w:rsidP="007E40AF">
      <w:pPr>
        <w:keepNext/>
        <w:numPr>
          <w:ilvl w:val="0"/>
          <w:numId w:val="5"/>
        </w:numPr>
        <w:suppressAutoHyphens w:val="0"/>
        <w:spacing w:before="0" w:after="160" w:line="259" w:lineRule="auto"/>
        <w:rPr>
          <w:rFonts w:asciiTheme="majorHAnsi" w:hAnsiTheme="majorHAnsi" w:cstheme="majorHAnsi"/>
        </w:rPr>
      </w:pPr>
      <w:r w:rsidRPr="008E4BB9">
        <w:rPr>
          <w:rFonts w:asciiTheme="majorHAnsi" w:hAnsiTheme="majorHAnsi" w:cstheme="majorHAnsi"/>
        </w:rPr>
        <w:t>roughness and reliability of travel on unsealed sections</w:t>
      </w:r>
    </w:p>
    <w:p w14:paraId="06836BB9" w14:textId="77777777" w:rsidR="007E40AF" w:rsidRPr="008E4BB9" w:rsidRDefault="007E40AF" w:rsidP="007E40AF">
      <w:pPr>
        <w:keepNext/>
        <w:numPr>
          <w:ilvl w:val="0"/>
          <w:numId w:val="5"/>
        </w:numPr>
        <w:suppressAutoHyphens w:val="0"/>
        <w:spacing w:before="0" w:after="160" w:line="259" w:lineRule="auto"/>
        <w:rPr>
          <w:rFonts w:asciiTheme="majorHAnsi" w:hAnsiTheme="majorHAnsi" w:cstheme="majorHAnsi"/>
        </w:rPr>
      </w:pPr>
      <w:r w:rsidRPr="008E4BB9">
        <w:rPr>
          <w:rFonts w:asciiTheme="majorHAnsi" w:hAnsiTheme="majorHAnsi" w:cstheme="majorHAnsi"/>
        </w:rPr>
        <w:t>narrow pavement seals and poor alignment</w:t>
      </w:r>
    </w:p>
    <w:p w14:paraId="7AC85DD0" w14:textId="77777777" w:rsidR="007E40AF" w:rsidRPr="008E4BB9" w:rsidRDefault="007E40AF" w:rsidP="007E40AF">
      <w:pPr>
        <w:keepNext/>
        <w:numPr>
          <w:ilvl w:val="0"/>
          <w:numId w:val="5"/>
        </w:numPr>
        <w:suppressAutoHyphens w:val="0"/>
        <w:spacing w:before="0" w:after="160" w:line="259" w:lineRule="auto"/>
        <w:rPr>
          <w:rFonts w:asciiTheme="majorHAnsi" w:hAnsiTheme="majorHAnsi" w:cstheme="majorHAnsi"/>
        </w:rPr>
      </w:pPr>
      <w:r w:rsidRPr="008E4BB9">
        <w:rPr>
          <w:rFonts w:asciiTheme="majorHAnsi" w:hAnsiTheme="majorHAnsi" w:cstheme="majorHAnsi"/>
        </w:rPr>
        <w:t>condition of bridges and structures</w:t>
      </w:r>
    </w:p>
    <w:p w14:paraId="73C3EAF2" w14:textId="77777777" w:rsidR="007E40AF" w:rsidRPr="008E4BB9" w:rsidRDefault="007E40AF" w:rsidP="007E40AF">
      <w:pPr>
        <w:keepNext/>
        <w:numPr>
          <w:ilvl w:val="0"/>
          <w:numId w:val="5"/>
        </w:numPr>
        <w:suppressAutoHyphens w:val="0"/>
        <w:spacing w:before="0" w:after="160" w:line="259" w:lineRule="auto"/>
        <w:rPr>
          <w:rFonts w:asciiTheme="majorHAnsi" w:hAnsiTheme="majorHAnsi" w:cstheme="majorHAnsi"/>
        </w:rPr>
      </w:pPr>
      <w:r w:rsidRPr="008E4BB9">
        <w:rPr>
          <w:rFonts w:asciiTheme="majorHAnsi" w:hAnsiTheme="majorHAnsi" w:cstheme="majorHAnsi"/>
        </w:rPr>
        <w:t>access constraints impacting productivity</w:t>
      </w:r>
    </w:p>
    <w:p w14:paraId="3E1945D1" w14:textId="77777777" w:rsidR="007E40AF" w:rsidRPr="008E4BB9" w:rsidRDefault="007E40AF" w:rsidP="007E40AF">
      <w:pPr>
        <w:keepNext/>
        <w:numPr>
          <w:ilvl w:val="0"/>
          <w:numId w:val="5"/>
        </w:numPr>
        <w:suppressAutoHyphens w:val="0"/>
        <w:spacing w:before="0" w:after="160" w:line="259" w:lineRule="auto"/>
        <w:rPr>
          <w:rFonts w:asciiTheme="majorHAnsi" w:hAnsiTheme="majorHAnsi" w:cstheme="majorHAnsi"/>
        </w:rPr>
      </w:pPr>
      <w:r w:rsidRPr="008E4BB9">
        <w:rPr>
          <w:rFonts w:asciiTheme="majorHAnsi" w:hAnsiTheme="majorHAnsi" w:cstheme="majorHAnsi"/>
        </w:rPr>
        <w:t>road closures due to flooding.</w:t>
      </w:r>
    </w:p>
    <w:p w14:paraId="6A983F29" w14:textId="243CB8AB" w:rsidR="007E40AF" w:rsidRDefault="007E40AF" w:rsidP="007E40AF">
      <w:pPr>
        <w:suppressAutoHyphens w:val="0"/>
        <w:spacing w:before="0" w:after="160" w:line="259" w:lineRule="auto"/>
        <w:rPr>
          <w:rFonts w:asciiTheme="majorHAnsi" w:hAnsiTheme="majorHAnsi" w:cstheme="majorHAnsi"/>
        </w:rPr>
      </w:pPr>
      <w:r w:rsidRPr="008E4BB9">
        <w:rPr>
          <w:rFonts w:asciiTheme="majorHAnsi" w:hAnsiTheme="majorHAnsi" w:cstheme="majorHAnsi"/>
        </w:rPr>
        <w:t xml:space="preserve">Engagement with stakeholders identified that sealing of unsealed roads was the highest priority. Stakeholder feedback played an important role in informing the investment priorities in </w:t>
      </w:r>
      <w:r w:rsidR="00FA2D46">
        <w:rPr>
          <w:rFonts w:asciiTheme="majorHAnsi" w:hAnsiTheme="majorHAnsi" w:cstheme="majorHAnsi"/>
        </w:rPr>
        <w:t>the S</w:t>
      </w:r>
      <w:r w:rsidRPr="008E4BB9">
        <w:rPr>
          <w:rFonts w:asciiTheme="majorHAnsi" w:hAnsiTheme="majorHAnsi" w:cstheme="majorHAnsi"/>
        </w:rPr>
        <w:t>trategy. While it is recognised key stakeholders sought to improve freight efficiency through increased heavy vehicle access, investigations by TMR indicated the required investment to upgrade the Burnett Highway (north of Biloela), and the Dawson Highway (east of Biloela) is significant. Such upgrades w</w:t>
      </w:r>
      <w:r>
        <w:rPr>
          <w:rFonts w:asciiTheme="majorHAnsi" w:hAnsiTheme="majorHAnsi" w:cstheme="majorHAnsi"/>
        </w:rPr>
        <w:t>ill</w:t>
      </w:r>
      <w:r w:rsidRPr="008E4BB9">
        <w:rPr>
          <w:rFonts w:asciiTheme="majorHAnsi" w:hAnsiTheme="majorHAnsi" w:cstheme="majorHAnsi"/>
        </w:rPr>
        <w:t xml:space="preserve"> need to be considered as a long-term objective, balancing other investment needs on these links.</w:t>
      </w:r>
    </w:p>
    <w:p w14:paraId="6DBBF8BC" w14:textId="37FE4C60" w:rsidR="007E40AF" w:rsidRDefault="007E40AF" w:rsidP="00517CEA">
      <w:pPr>
        <w:pStyle w:val="Heading1"/>
      </w:pPr>
      <w:bookmarkStart w:id="6" w:name="_Toc208416007"/>
      <w:r>
        <w:t>What does th</w:t>
      </w:r>
      <w:r w:rsidR="00DE7A0F">
        <w:t>e</w:t>
      </w:r>
      <w:r>
        <w:t xml:space="preserve"> </w:t>
      </w:r>
      <w:r w:rsidR="00DE7A0F">
        <w:t>S</w:t>
      </w:r>
      <w:r>
        <w:t>trategy do?</w:t>
      </w:r>
      <w:bookmarkEnd w:id="6"/>
    </w:p>
    <w:p w14:paraId="5F423344" w14:textId="26D556A9" w:rsidR="007E40AF" w:rsidRPr="008E4BB9" w:rsidRDefault="007E40AF" w:rsidP="007E40AF">
      <w:pPr>
        <w:keepNext/>
        <w:keepLines/>
        <w:suppressAutoHyphens w:val="0"/>
        <w:spacing w:before="0" w:after="160" w:line="259" w:lineRule="auto"/>
        <w:rPr>
          <w:rFonts w:asciiTheme="majorHAnsi" w:eastAsiaTheme="majorEastAsia" w:hAnsiTheme="majorHAnsi" w:cstheme="majorHAnsi"/>
          <w:color w:val="003E69"/>
          <w:sz w:val="36"/>
          <w:szCs w:val="28"/>
        </w:rPr>
      </w:pPr>
      <w:r w:rsidRPr="008E4BB9">
        <w:rPr>
          <w:rFonts w:asciiTheme="majorHAnsi" w:hAnsiTheme="majorHAnsi" w:cstheme="majorHAnsi"/>
        </w:rPr>
        <w:t>Th</w:t>
      </w:r>
      <w:r w:rsidR="00207E53">
        <w:rPr>
          <w:rFonts w:asciiTheme="majorHAnsi" w:hAnsiTheme="majorHAnsi" w:cstheme="majorHAnsi"/>
        </w:rPr>
        <w:t xml:space="preserve">e </w:t>
      </w:r>
      <w:r w:rsidRPr="008E4BB9">
        <w:rPr>
          <w:rFonts w:asciiTheme="majorHAnsi" w:hAnsiTheme="majorHAnsi" w:cstheme="majorHAnsi"/>
        </w:rPr>
        <w:t>S</w:t>
      </w:r>
      <w:r w:rsidR="00207E53">
        <w:rPr>
          <w:rFonts w:asciiTheme="majorHAnsi" w:hAnsiTheme="majorHAnsi" w:cstheme="majorHAnsi"/>
        </w:rPr>
        <w:t>trategy</w:t>
      </w:r>
      <w:r w:rsidRPr="008E4BB9">
        <w:rPr>
          <w:rFonts w:asciiTheme="majorHAnsi" w:hAnsiTheme="majorHAnsi" w:cstheme="majorHAnsi"/>
        </w:rPr>
        <w:t xml:space="preserve"> considered short, medium and long-term priorities for progressive sealing of unsealed roads across the beef roads in Central Queensland</w:t>
      </w:r>
      <w:r w:rsidR="00C8581E">
        <w:rPr>
          <w:rFonts w:asciiTheme="majorHAnsi" w:hAnsiTheme="majorHAnsi" w:cstheme="majorHAnsi"/>
        </w:rPr>
        <w:t xml:space="preserve">. It identifies </w:t>
      </w:r>
      <w:r w:rsidRPr="008E4BB9">
        <w:rPr>
          <w:rFonts w:asciiTheme="majorHAnsi" w:hAnsiTheme="majorHAnsi" w:cstheme="majorHAnsi"/>
        </w:rPr>
        <w:t>priorities over the next 10 years under the $50</w:t>
      </w:r>
      <w:r w:rsidR="00BA2D14">
        <w:rPr>
          <w:rFonts w:asciiTheme="majorHAnsi" w:hAnsiTheme="majorHAnsi" w:cstheme="majorHAnsi"/>
        </w:rPr>
        <w:t>0</w:t>
      </w:r>
      <w:r w:rsidRPr="008E4BB9">
        <w:rPr>
          <w:rFonts w:asciiTheme="majorHAnsi" w:hAnsiTheme="majorHAnsi" w:cstheme="majorHAnsi"/>
        </w:rPr>
        <w:t xml:space="preserve"> million funding commitment</w:t>
      </w:r>
      <w:r w:rsidR="00C8581E">
        <w:rPr>
          <w:rFonts w:asciiTheme="majorHAnsi" w:hAnsiTheme="majorHAnsi" w:cstheme="majorHAnsi"/>
        </w:rPr>
        <w:t>, with the</w:t>
      </w:r>
      <w:r w:rsidR="00C8581E" w:rsidRPr="00C8581E">
        <w:t xml:space="preserve"> </w:t>
      </w:r>
      <w:r w:rsidR="00C8581E" w:rsidRPr="00C8581E">
        <w:rPr>
          <w:rFonts w:asciiTheme="majorHAnsi" w:hAnsiTheme="majorHAnsi" w:cstheme="majorHAnsi"/>
        </w:rPr>
        <w:t xml:space="preserve">aim to address all short-term priorities within the agreed </w:t>
      </w:r>
      <w:proofErr w:type="gramStart"/>
      <w:r w:rsidR="00C8581E" w:rsidRPr="00C8581E">
        <w:rPr>
          <w:rFonts w:asciiTheme="majorHAnsi" w:hAnsiTheme="majorHAnsi" w:cstheme="majorHAnsi"/>
        </w:rPr>
        <w:t>scope, and</w:t>
      </w:r>
      <w:proofErr w:type="gramEnd"/>
      <w:r w:rsidR="00C8581E" w:rsidRPr="00C8581E">
        <w:rPr>
          <w:rFonts w:asciiTheme="majorHAnsi" w:hAnsiTheme="majorHAnsi" w:cstheme="majorHAnsi"/>
        </w:rPr>
        <w:t xml:space="preserve"> deliver medium-term priorities subject to remaining available funding.</w:t>
      </w:r>
    </w:p>
    <w:p w14:paraId="09B591FF" w14:textId="77777777" w:rsidR="007E40AF" w:rsidRDefault="007E40AF" w:rsidP="00517CEA">
      <w:pPr>
        <w:pStyle w:val="Heading1"/>
      </w:pPr>
      <w:bookmarkStart w:id="7" w:name="_Toc208416008"/>
      <w:r>
        <w:t>What are the Central Queensland Beef Roads</w:t>
      </w:r>
      <w:r w:rsidR="00517CEA">
        <w:t>?</w:t>
      </w:r>
      <w:bookmarkEnd w:id="7"/>
      <w:r>
        <w:t xml:space="preserve"> </w:t>
      </w:r>
    </w:p>
    <w:p w14:paraId="15AE9265" w14:textId="0ACD7BCA" w:rsidR="007E40AF" w:rsidRPr="008E4BB9" w:rsidRDefault="007E40AF" w:rsidP="007E40AF">
      <w:pPr>
        <w:suppressAutoHyphens w:val="0"/>
        <w:spacing w:before="0" w:after="160" w:line="259" w:lineRule="auto"/>
        <w:rPr>
          <w:rFonts w:asciiTheme="majorHAnsi" w:hAnsiTheme="majorHAnsi" w:cstheme="majorHAnsi"/>
        </w:rPr>
      </w:pPr>
      <w:r w:rsidRPr="008E4BB9">
        <w:rPr>
          <w:rFonts w:asciiTheme="majorHAnsi" w:hAnsiTheme="majorHAnsi" w:cstheme="majorHAnsi"/>
        </w:rPr>
        <w:t xml:space="preserve">The CQBR form a strategic agricultural supply chain of roads stretching more than 2000 kilometres from east to west across the region. These important roads allow beef to move through all stages of the production cycle – from breeding to backgrounding, feedlot to abattoir, market to export. Connecting with significant highways including the Inland Freight Route (an alternative north–south freight route </w:t>
      </w:r>
      <w:r w:rsidRPr="008E4BB9">
        <w:rPr>
          <w:rFonts w:asciiTheme="majorHAnsi" w:hAnsiTheme="majorHAnsi" w:cstheme="majorHAnsi"/>
        </w:rPr>
        <w:lastRenderedPageBreak/>
        <w:t>from Charters Towers to Mungindi), Bruce Highway, Capricorn Highway and Dawson Highway, the CQBR are critical to the state’s economy.</w:t>
      </w:r>
    </w:p>
    <w:p w14:paraId="6532ED5A" w14:textId="77777777" w:rsidR="007E40AF" w:rsidRPr="008E4BB9" w:rsidRDefault="007E40AF" w:rsidP="007E40AF">
      <w:pPr>
        <w:suppressAutoHyphens w:val="0"/>
        <w:spacing w:before="0" w:after="160" w:line="259" w:lineRule="auto"/>
        <w:rPr>
          <w:rFonts w:asciiTheme="majorHAnsi" w:hAnsiTheme="majorHAnsi" w:cstheme="majorHAnsi"/>
        </w:rPr>
      </w:pPr>
      <w:r w:rsidRPr="008E4BB9">
        <w:rPr>
          <w:rFonts w:asciiTheme="majorHAnsi" w:hAnsiTheme="majorHAnsi" w:cstheme="majorHAnsi"/>
        </w:rPr>
        <w:t>As part of its advocacy to seek funding from the Australian and Queensland governments, the seven QBC local government mayors identified nine unsealed feeder roads as a priority for sealing. Th</w:t>
      </w:r>
      <w:r>
        <w:rPr>
          <w:rFonts w:asciiTheme="majorHAnsi" w:hAnsiTheme="majorHAnsi" w:cstheme="majorHAnsi"/>
        </w:rPr>
        <w:t>e</w:t>
      </w:r>
      <w:r w:rsidRPr="008E4BB9">
        <w:rPr>
          <w:rFonts w:asciiTheme="majorHAnsi" w:hAnsiTheme="majorHAnsi" w:cstheme="majorHAnsi"/>
        </w:rPr>
        <w:t>s</w:t>
      </w:r>
      <w:r>
        <w:rPr>
          <w:rFonts w:asciiTheme="majorHAnsi" w:hAnsiTheme="majorHAnsi" w:cstheme="majorHAnsi"/>
        </w:rPr>
        <w:t>e works</w:t>
      </w:r>
      <w:r w:rsidRPr="008E4BB9">
        <w:rPr>
          <w:rFonts w:asciiTheme="majorHAnsi" w:hAnsiTheme="majorHAnsi" w:cstheme="majorHAnsi"/>
        </w:rPr>
        <w:t xml:space="preserve"> would improve all-weather access to connect primary producers to processing facilities and ports.</w:t>
      </w:r>
    </w:p>
    <w:p w14:paraId="6DC88C87" w14:textId="65B13B0E" w:rsidR="007E40AF" w:rsidRPr="008E4BB9" w:rsidRDefault="007E40AF" w:rsidP="007E40AF">
      <w:pPr>
        <w:suppressAutoHyphens w:val="0"/>
        <w:spacing w:before="0" w:after="160" w:line="259" w:lineRule="auto"/>
        <w:rPr>
          <w:rFonts w:asciiTheme="majorHAnsi" w:hAnsiTheme="majorHAnsi" w:cstheme="majorHAnsi"/>
        </w:rPr>
      </w:pPr>
      <w:r w:rsidRPr="008E4BB9">
        <w:rPr>
          <w:rFonts w:asciiTheme="majorHAnsi" w:hAnsiTheme="majorHAnsi" w:cstheme="majorHAnsi"/>
        </w:rPr>
        <w:t xml:space="preserve">TMR, in partnership with Australian Government, worked with the </w:t>
      </w:r>
      <w:r>
        <w:rPr>
          <w:rFonts w:asciiTheme="majorHAnsi" w:hAnsiTheme="majorHAnsi" w:cstheme="majorHAnsi"/>
        </w:rPr>
        <w:t>SAG</w:t>
      </w:r>
      <w:r w:rsidRPr="008E4BB9">
        <w:rPr>
          <w:rFonts w:asciiTheme="majorHAnsi" w:hAnsiTheme="majorHAnsi" w:cstheme="majorHAnsi"/>
        </w:rPr>
        <w:t xml:space="preserve">, QBC group and key industry stakeholders to determine the vision, objectives and investment priorities to inform the </w:t>
      </w:r>
      <w:r w:rsidR="00207E53">
        <w:rPr>
          <w:rFonts w:asciiTheme="majorHAnsi" w:hAnsiTheme="majorHAnsi" w:cstheme="majorHAnsi"/>
        </w:rPr>
        <w:t>Strategy</w:t>
      </w:r>
      <w:r w:rsidRPr="008E4BB9">
        <w:rPr>
          <w:rFonts w:asciiTheme="majorHAnsi" w:hAnsiTheme="majorHAnsi" w:cstheme="majorHAnsi"/>
          <w:i/>
          <w:iCs/>
        </w:rPr>
        <w:t>.</w:t>
      </w:r>
      <w:r w:rsidRPr="008E4BB9">
        <w:rPr>
          <w:rFonts w:asciiTheme="majorHAnsi" w:hAnsiTheme="majorHAnsi" w:cstheme="majorHAnsi"/>
        </w:rPr>
        <w:t xml:space="preserve"> This included progressive sealing of unsealed sections of the following</w:t>
      </w:r>
      <w:r>
        <w:rPr>
          <w:rFonts w:asciiTheme="majorHAnsi" w:hAnsiTheme="majorHAnsi" w:cstheme="majorHAnsi"/>
        </w:rPr>
        <w:t xml:space="preserve"> nine</w:t>
      </w:r>
      <w:r w:rsidRPr="008E4BB9">
        <w:rPr>
          <w:rFonts w:asciiTheme="majorHAnsi" w:hAnsiTheme="majorHAnsi" w:cstheme="majorHAnsi"/>
        </w:rPr>
        <w:t xml:space="preserve"> roads:</w:t>
      </w:r>
    </w:p>
    <w:p w14:paraId="41C41A64" w14:textId="77777777" w:rsidR="007E40AF" w:rsidRPr="008E4BB9" w:rsidRDefault="007E40AF" w:rsidP="007E40AF">
      <w:pPr>
        <w:numPr>
          <w:ilvl w:val="0"/>
          <w:numId w:val="5"/>
        </w:numPr>
        <w:suppressAutoHyphens w:val="0"/>
        <w:spacing w:before="0" w:after="160" w:line="259" w:lineRule="auto"/>
        <w:rPr>
          <w:rFonts w:asciiTheme="majorHAnsi" w:hAnsiTheme="majorHAnsi" w:cstheme="majorHAnsi"/>
        </w:rPr>
      </w:pPr>
      <w:bookmarkStart w:id="8" w:name="_Hlk199232009"/>
      <w:r w:rsidRPr="008E4BB9">
        <w:rPr>
          <w:rFonts w:asciiTheme="majorHAnsi" w:hAnsiTheme="majorHAnsi" w:cstheme="majorHAnsi"/>
        </w:rPr>
        <w:t>Clermont - Alpha Road</w:t>
      </w:r>
    </w:p>
    <w:p w14:paraId="1B355834" w14:textId="77777777" w:rsidR="007E40AF" w:rsidRPr="008E4BB9" w:rsidRDefault="007E40AF" w:rsidP="007E40AF">
      <w:pPr>
        <w:numPr>
          <w:ilvl w:val="0"/>
          <w:numId w:val="5"/>
        </w:numPr>
        <w:suppressAutoHyphens w:val="0"/>
        <w:spacing w:before="0" w:after="160" w:line="259" w:lineRule="auto"/>
        <w:rPr>
          <w:rFonts w:asciiTheme="majorHAnsi" w:hAnsiTheme="majorHAnsi" w:cstheme="majorHAnsi"/>
        </w:rPr>
      </w:pPr>
      <w:r w:rsidRPr="008E4BB9">
        <w:rPr>
          <w:rFonts w:asciiTheme="majorHAnsi" w:hAnsiTheme="majorHAnsi" w:cstheme="majorHAnsi"/>
        </w:rPr>
        <w:t>May Downs Road</w:t>
      </w:r>
    </w:p>
    <w:p w14:paraId="68858F9D" w14:textId="77777777" w:rsidR="007E40AF" w:rsidRPr="008E4BB9" w:rsidRDefault="007E40AF" w:rsidP="007E40AF">
      <w:pPr>
        <w:numPr>
          <w:ilvl w:val="0"/>
          <w:numId w:val="5"/>
        </w:numPr>
        <w:suppressAutoHyphens w:val="0"/>
        <w:spacing w:before="0" w:after="160" w:line="259" w:lineRule="auto"/>
        <w:rPr>
          <w:rFonts w:asciiTheme="majorHAnsi" w:hAnsiTheme="majorHAnsi" w:cstheme="majorHAnsi"/>
        </w:rPr>
      </w:pPr>
      <w:proofErr w:type="spellStart"/>
      <w:r w:rsidRPr="008E4BB9">
        <w:rPr>
          <w:rFonts w:asciiTheme="majorHAnsi" w:hAnsiTheme="majorHAnsi" w:cstheme="majorHAnsi"/>
        </w:rPr>
        <w:t>Kilcummin</w:t>
      </w:r>
      <w:proofErr w:type="spellEnd"/>
      <w:r w:rsidRPr="008E4BB9">
        <w:rPr>
          <w:rFonts w:asciiTheme="majorHAnsi" w:hAnsiTheme="majorHAnsi" w:cstheme="majorHAnsi"/>
        </w:rPr>
        <w:t xml:space="preserve"> - Diamond Downs Road</w:t>
      </w:r>
    </w:p>
    <w:p w14:paraId="66E37A3C" w14:textId="77777777" w:rsidR="007E40AF" w:rsidRPr="008E4BB9" w:rsidRDefault="007E40AF" w:rsidP="007E40AF">
      <w:pPr>
        <w:numPr>
          <w:ilvl w:val="0"/>
          <w:numId w:val="5"/>
        </w:numPr>
        <w:suppressAutoHyphens w:val="0"/>
        <w:spacing w:before="0" w:after="160" w:line="259" w:lineRule="auto"/>
        <w:rPr>
          <w:rFonts w:asciiTheme="majorHAnsi" w:hAnsiTheme="majorHAnsi" w:cstheme="majorHAnsi"/>
        </w:rPr>
      </w:pPr>
      <w:r w:rsidRPr="008E4BB9">
        <w:rPr>
          <w:rFonts w:asciiTheme="majorHAnsi" w:hAnsiTheme="majorHAnsi" w:cstheme="majorHAnsi"/>
        </w:rPr>
        <w:t>Alpha - Tambo Road (within Barcaldine Regional Council)</w:t>
      </w:r>
    </w:p>
    <w:p w14:paraId="3FD547D5" w14:textId="77777777" w:rsidR="007E40AF" w:rsidRPr="008E4BB9" w:rsidRDefault="007E40AF" w:rsidP="007E40AF">
      <w:pPr>
        <w:numPr>
          <w:ilvl w:val="0"/>
          <w:numId w:val="5"/>
        </w:numPr>
        <w:suppressAutoHyphens w:val="0"/>
        <w:spacing w:before="0" w:after="160" w:line="259" w:lineRule="auto"/>
        <w:rPr>
          <w:rFonts w:asciiTheme="majorHAnsi" w:hAnsiTheme="majorHAnsi" w:cstheme="majorHAnsi"/>
        </w:rPr>
      </w:pPr>
      <w:r w:rsidRPr="008E4BB9">
        <w:rPr>
          <w:rFonts w:asciiTheme="majorHAnsi" w:hAnsiTheme="majorHAnsi" w:cstheme="majorHAnsi"/>
        </w:rPr>
        <w:t>Dawson Developmental Road (within Central Highlands Regional Council)</w:t>
      </w:r>
    </w:p>
    <w:p w14:paraId="74318FC4" w14:textId="77777777" w:rsidR="007E40AF" w:rsidRPr="008E4BB9" w:rsidRDefault="007E40AF" w:rsidP="007E40AF">
      <w:pPr>
        <w:numPr>
          <w:ilvl w:val="0"/>
          <w:numId w:val="5"/>
        </w:numPr>
        <w:suppressAutoHyphens w:val="0"/>
        <w:spacing w:before="0" w:after="160" w:line="259" w:lineRule="auto"/>
        <w:rPr>
          <w:rFonts w:asciiTheme="majorHAnsi" w:hAnsiTheme="majorHAnsi" w:cstheme="majorHAnsi"/>
        </w:rPr>
      </w:pPr>
      <w:r w:rsidRPr="008E4BB9">
        <w:rPr>
          <w:rFonts w:asciiTheme="majorHAnsi" w:hAnsiTheme="majorHAnsi" w:cstheme="majorHAnsi"/>
        </w:rPr>
        <w:t>Fitzroy Developmental Road (Taroom - Bauhinia)</w:t>
      </w:r>
    </w:p>
    <w:p w14:paraId="2C6546CB" w14:textId="77777777" w:rsidR="007E40AF" w:rsidRPr="008E4BB9" w:rsidRDefault="007E40AF" w:rsidP="007E40AF">
      <w:pPr>
        <w:numPr>
          <w:ilvl w:val="0"/>
          <w:numId w:val="5"/>
        </w:numPr>
        <w:suppressAutoHyphens w:val="0"/>
        <w:spacing w:before="0" w:after="160" w:line="259" w:lineRule="auto"/>
        <w:rPr>
          <w:rFonts w:asciiTheme="majorHAnsi" w:hAnsiTheme="majorHAnsi" w:cstheme="majorHAnsi"/>
        </w:rPr>
      </w:pPr>
      <w:r w:rsidRPr="008E4BB9">
        <w:rPr>
          <w:rFonts w:asciiTheme="majorHAnsi" w:hAnsiTheme="majorHAnsi" w:cstheme="majorHAnsi"/>
        </w:rPr>
        <w:t>Fitzroy Developmental Road (Bauhinia - Duaringa)</w:t>
      </w:r>
    </w:p>
    <w:p w14:paraId="4459A580" w14:textId="77777777" w:rsidR="007E40AF" w:rsidRPr="008E4BB9" w:rsidRDefault="007E40AF" w:rsidP="007E40AF">
      <w:pPr>
        <w:numPr>
          <w:ilvl w:val="0"/>
          <w:numId w:val="5"/>
        </w:numPr>
        <w:suppressAutoHyphens w:val="0"/>
        <w:spacing w:before="0" w:after="160" w:line="259" w:lineRule="auto"/>
        <w:rPr>
          <w:rFonts w:asciiTheme="majorHAnsi" w:hAnsiTheme="majorHAnsi" w:cstheme="majorHAnsi"/>
        </w:rPr>
      </w:pPr>
      <w:r w:rsidRPr="008E4BB9">
        <w:rPr>
          <w:rFonts w:asciiTheme="majorHAnsi" w:hAnsiTheme="majorHAnsi" w:cstheme="majorHAnsi"/>
        </w:rPr>
        <w:t>Duaringa - Apis Creek Road (within Central Highlands Regional and Woorabinda Aboriginal Shire Councils)</w:t>
      </w:r>
    </w:p>
    <w:p w14:paraId="3E2EEB7A" w14:textId="77777777" w:rsidR="007E40AF" w:rsidRPr="008E4BB9" w:rsidRDefault="007E40AF" w:rsidP="007E40AF">
      <w:pPr>
        <w:numPr>
          <w:ilvl w:val="0"/>
          <w:numId w:val="5"/>
        </w:numPr>
        <w:suppressAutoHyphens w:val="0"/>
        <w:spacing w:before="0" w:after="160" w:line="259" w:lineRule="auto"/>
        <w:rPr>
          <w:rFonts w:asciiTheme="majorHAnsi" w:hAnsiTheme="majorHAnsi" w:cstheme="majorHAnsi"/>
        </w:rPr>
      </w:pPr>
      <w:r w:rsidRPr="008E4BB9">
        <w:rPr>
          <w:rFonts w:asciiTheme="majorHAnsi" w:hAnsiTheme="majorHAnsi" w:cstheme="majorHAnsi"/>
        </w:rPr>
        <w:t>Glenroy Road (Rockhampton Regional Council local government road).</w:t>
      </w:r>
    </w:p>
    <w:p w14:paraId="290C8834" w14:textId="77777777" w:rsidR="007E40AF" w:rsidRDefault="007E40AF" w:rsidP="00517CEA">
      <w:pPr>
        <w:pStyle w:val="Heading1"/>
      </w:pPr>
      <w:bookmarkStart w:id="9" w:name="_Toc208416009"/>
      <w:bookmarkEnd w:id="8"/>
      <w:r>
        <w:t>Challenges</w:t>
      </w:r>
      <w:bookmarkEnd w:id="9"/>
    </w:p>
    <w:p w14:paraId="60D20768" w14:textId="04F557DA" w:rsidR="007E40AF" w:rsidRPr="008E4BB9" w:rsidRDefault="007E40AF" w:rsidP="007E40AF">
      <w:pPr>
        <w:pStyle w:val="BodyText"/>
        <w:spacing w:line="276" w:lineRule="auto"/>
        <w:rPr>
          <w:rFonts w:asciiTheme="majorHAnsi" w:hAnsiTheme="majorHAnsi" w:cstheme="majorHAnsi"/>
          <w:sz w:val="24"/>
          <w:szCs w:val="24"/>
        </w:rPr>
      </w:pPr>
      <w:r w:rsidRPr="008E4BB9">
        <w:rPr>
          <w:rFonts w:asciiTheme="majorHAnsi" w:hAnsiTheme="majorHAnsi" w:cstheme="majorHAnsi"/>
          <w:sz w:val="24"/>
          <w:szCs w:val="24"/>
        </w:rPr>
        <w:t xml:space="preserve">In consultation with local government representatives, industry stakeholders and road users, key challenges were identified as part of development of the </w:t>
      </w:r>
      <w:r w:rsidR="00207E53">
        <w:rPr>
          <w:rFonts w:asciiTheme="majorHAnsi" w:hAnsiTheme="majorHAnsi" w:cstheme="majorHAnsi"/>
          <w:sz w:val="24"/>
          <w:szCs w:val="24"/>
        </w:rPr>
        <w:t>Strategy</w:t>
      </w:r>
      <w:r w:rsidRPr="008E4BB9">
        <w:rPr>
          <w:rFonts w:asciiTheme="majorHAnsi" w:hAnsiTheme="majorHAnsi" w:cstheme="majorHAnsi"/>
          <w:sz w:val="24"/>
          <w:szCs w:val="24"/>
        </w:rPr>
        <w:t>. The main challenges identified related to road roughness, the reliability of unsealed roads and driver fatigue caused by long distances, particularly on rough and unsealed roads. The surface of rough and unsealed roads constantly changes due to weather and traffic, making it challenging to maintain consistent driving conditions. This affects road safety and reliability, impacting on road users.</w:t>
      </w:r>
    </w:p>
    <w:p w14:paraId="74731CC9" w14:textId="77777777" w:rsidR="007E40AF" w:rsidRPr="00BE12B1" w:rsidRDefault="007E40AF" w:rsidP="00BE12B1">
      <w:pPr>
        <w:rPr>
          <w:color w:val="001531"/>
          <w:sz w:val="44"/>
          <w:szCs w:val="44"/>
        </w:rPr>
      </w:pPr>
      <w:r w:rsidRPr="00BE12B1">
        <w:rPr>
          <w:color w:val="001531"/>
          <w:sz w:val="44"/>
          <w:szCs w:val="44"/>
        </w:rPr>
        <w:t xml:space="preserve">Road safety </w:t>
      </w:r>
    </w:p>
    <w:p w14:paraId="7F243C75" w14:textId="77777777" w:rsidR="007E40AF" w:rsidRPr="008E4BB9" w:rsidRDefault="007E40AF" w:rsidP="007E40AF">
      <w:pPr>
        <w:pStyle w:val="BodyText"/>
        <w:spacing w:line="276" w:lineRule="auto"/>
        <w:rPr>
          <w:rFonts w:asciiTheme="majorHAnsi" w:hAnsiTheme="majorHAnsi" w:cstheme="majorHAnsi"/>
          <w:sz w:val="24"/>
          <w:szCs w:val="24"/>
        </w:rPr>
      </w:pPr>
      <w:r w:rsidRPr="008E4BB9">
        <w:rPr>
          <w:rFonts w:asciiTheme="majorHAnsi" w:hAnsiTheme="majorHAnsi" w:cstheme="majorHAnsi"/>
          <w:sz w:val="24"/>
          <w:szCs w:val="24"/>
        </w:rPr>
        <w:t xml:space="preserve">Unsealed roads can be a hazard for traffic, especially during wet weather and when drivers encounter oncoming traffic. These roads can lead to increased vehicle stopping distances and an increased risk of skidding, sliding or rollover. Dust and loose gravel can also be thrown up by other vehicles, reducing driver visibility. </w:t>
      </w:r>
      <w:r w:rsidRPr="008E4BB9">
        <w:rPr>
          <w:rFonts w:asciiTheme="majorHAnsi" w:hAnsiTheme="majorHAnsi" w:cstheme="majorHAnsi"/>
          <w:sz w:val="24"/>
          <w:szCs w:val="24"/>
        </w:rPr>
        <w:lastRenderedPageBreak/>
        <w:t>Driving on unsealed roads requires extra attention by drivers and travelling long distances on unsealed roads can contribute to driver fatigue.</w:t>
      </w:r>
    </w:p>
    <w:p w14:paraId="2C305502" w14:textId="77777777" w:rsidR="007E40AF" w:rsidRPr="00BE12B1" w:rsidRDefault="007E40AF" w:rsidP="00BE12B1">
      <w:pPr>
        <w:rPr>
          <w:color w:val="001531"/>
          <w:sz w:val="44"/>
          <w:szCs w:val="44"/>
        </w:rPr>
      </w:pPr>
      <w:r w:rsidRPr="00BE12B1">
        <w:rPr>
          <w:color w:val="001531"/>
          <w:sz w:val="44"/>
          <w:szCs w:val="44"/>
        </w:rPr>
        <w:t>Reliability and resilience</w:t>
      </w:r>
    </w:p>
    <w:p w14:paraId="5539F4FB" w14:textId="77777777" w:rsidR="007E40AF" w:rsidRPr="008E4BB9" w:rsidRDefault="007E40AF" w:rsidP="007E40AF">
      <w:pPr>
        <w:pStyle w:val="BodyText"/>
        <w:spacing w:line="276" w:lineRule="auto"/>
        <w:rPr>
          <w:rFonts w:asciiTheme="majorHAnsi" w:hAnsiTheme="majorHAnsi" w:cstheme="majorHAnsi"/>
          <w:sz w:val="24"/>
          <w:szCs w:val="24"/>
        </w:rPr>
      </w:pPr>
      <w:r w:rsidRPr="008E4BB9">
        <w:rPr>
          <w:rFonts w:asciiTheme="majorHAnsi" w:hAnsiTheme="majorHAnsi" w:cstheme="majorHAnsi"/>
          <w:sz w:val="24"/>
          <w:szCs w:val="24"/>
        </w:rPr>
        <w:t xml:space="preserve">Floods and seasonal road closures due to extreme weather are an ongoing challenge on many CQBR both on sealed and unsealed sections. Unsealed sections have less reliability, resilience and are more vulnerable to damage than sealed sections in rain events and flooding, including in minor flood events. Unsealed roads often remain closed for longer periods of time </w:t>
      </w:r>
      <w:r>
        <w:rPr>
          <w:rFonts w:asciiTheme="majorHAnsi" w:hAnsiTheme="majorHAnsi" w:cstheme="majorHAnsi"/>
          <w:sz w:val="24"/>
          <w:szCs w:val="24"/>
        </w:rPr>
        <w:t xml:space="preserve">after floods </w:t>
      </w:r>
      <w:r w:rsidRPr="008E4BB9">
        <w:rPr>
          <w:rFonts w:asciiTheme="majorHAnsi" w:hAnsiTheme="majorHAnsi" w:cstheme="majorHAnsi"/>
          <w:sz w:val="24"/>
          <w:szCs w:val="24"/>
        </w:rPr>
        <w:t>to prevent further potential damage caused by traffic on waterlogged roads. Road closures not only prevent cattle reaching ports, feedlots and processing facilities, impacting productivity and animal welfare, but also isolate communities and farmsteads along the routes. Improving pavement resilience and flood immunity is critical.</w:t>
      </w:r>
    </w:p>
    <w:p w14:paraId="2B78376C" w14:textId="77777777" w:rsidR="007E40AF" w:rsidRPr="00BE12B1" w:rsidRDefault="007E40AF" w:rsidP="00BE12B1">
      <w:pPr>
        <w:rPr>
          <w:color w:val="001531"/>
          <w:sz w:val="44"/>
          <w:szCs w:val="44"/>
        </w:rPr>
      </w:pPr>
      <w:r w:rsidRPr="00BE12B1">
        <w:rPr>
          <w:color w:val="001531"/>
          <w:sz w:val="44"/>
          <w:szCs w:val="44"/>
        </w:rPr>
        <w:t>Freight productivity and livestock welfare</w:t>
      </w:r>
    </w:p>
    <w:p w14:paraId="3DF2F5D6" w14:textId="5A7893B7" w:rsidR="007E40AF" w:rsidRDefault="007E40AF" w:rsidP="007E40AF">
      <w:pPr>
        <w:pStyle w:val="BodyText"/>
        <w:spacing w:line="276" w:lineRule="auto"/>
        <w:rPr>
          <w:rFonts w:asciiTheme="majorHAnsi" w:hAnsiTheme="majorHAnsi" w:cstheme="majorHAnsi"/>
          <w:sz w:val="24"/>
          <w:szCs w:val="24"/>
        </w:rPr>
      </w:pPr>
      <w:r>
        <w:rPr>
          <w:rFonts w:asciiTheme="majorHAnsi" w:hAnsiTheme="majorHAnsi" w:cstheme="majorHAnsi"/>
          <w:sz w:val="24"/>
          <w:szCs w:val="24"/>
        </w:rPr>
        <w:t>U</w:t>
      </w:r>
      <w:r w:rsidRPr="008E4BB9">
        <w:rPr>
          <w:rFonts w:asciiTheme="majorHAnsi" w:hAnsiTheme="majorHAnsi" w:cstheme="majorHAnsi"/>
          <w:sz w:val="24"/>
          <w:szCs w:val="24"/>
        </w:rPr>
        <w:t xml:space="preserve">nsealed roads in poor condition negatively impact livestock transport by increasing stress on animals, potentially leading to injuries, reduced meat quality, and increased transport costs. These rough roads result in increased freight costs from longer travel times with lower travel speeds, higher vehicle operating costs and damage to vehicles and freight and animal health issues from dust, bruising, injuries and stress. </w:t>
      </w:r>
    </w:p>
    <w:p w14:paraId="2CCDF726" w14:textId="2EB8444C" w:rsidR="007E40AF" w:rsidRPr="008E4BB9" w:rsidRDefault="007E40AF" w:rsidP="007E40AF">
      <w:pPr>
        <w:pStyle w:val="BodyText"/>
        <w:spacing w:line="276" w:lineRule="auto"/>
        <w:rPr>
          <w:rFonts w:asciiTheme="majorHAnsi" w:hAnsiTheme="majorHAnsi" w:cstheme="majorHAnsi"/>
          <w:sz w:val="24"/>
          <w:szCs w:val="24"/>
        </w:rPr>
      </w:pPr>
      <w:r w:rsidRPr="008E4BB9">
        <w:rPr>
          <w:rFonts w:asciiTheme="majorHAnsi" w:hAnsiTheme="majorHAnsi" w:cstheme="majorHAnsi"/>
          <w:sz w:val="24"/>
          <w:szCs w:val="24"/>
        </w:rPr>
        <w:t xml:space="preserve">Increased freight costs are also experienced due to delays and additional travel </w:t>
      </w:r>
      <w:r>
        <w:rPr>
          <w:rFonts w:asciiTheme="majorHAnsi" w:hAnsiTheme="majorHAnsi" w:cstheme="majorHAnsi"/>
          <w:sz w:val="24"/>
          <w:szCs w:val="24"/>
        </w:rPr>
        <w:t>via</w:t>
      </w:r>
      <w:r w:rsidRPr="008E4BB9">
        <w:rPr>
          <w:rFonts w:asciiTheme="majorHAnsi" w:hAnsiTheme="majorHAnsi" w:cstheme="majorHAnsi"/>
          <w:sz w:val="24"/>
          <w:szCs w:val="24"/>
        </w:rPr>
        <w:t xml:space="preserve"> detours resulting from road closures caused by flooding and wet weather. Sealing unsealed sections improves driving and environmental conditions, </w:t>
      </w:r>
      <w:r>
        <w:rPr>
          <w:rFonts w:asciiTheme="majorHAnsi" w:hAnsiTheme="majorHAnsi" w:cstheme="majorHAnsi"/>
          <w:sz w:val="24"/>
          <w:szCs w:val="24"/>
        </w:rPr>
        <w:t xml:space="preserve">reduces road closure times, </w:t>
      </w:r>
      <w:r w:rsidRPr="008E4BB9">
        <w:rPr>
          <w:rFonts w:asciiTheme="majorHAnsi" w:hAnsiTheme="majorHAnsi" w:cstheme="majorHAnsi"/>
          <w:sz w:val="24"/>
          <w:szCs w:val="24"/>
        </w:rPr>
        <w:t>reduces freight costs and improves overall health of livestock, therefore strengthening Central Queensland's beef supply chain.</w:t>
      </w:r>
    </w:p>
    <w:p w14:paraId="748F2F90" w14:textId="77777777" w:rsidR="007E40AF" w:rsidRPr="00BE12B1" w:rsidRDefault="007E40AF" w:rsidP="00BE12B1">
      <w:pPr>
        <w:rPr>
          <w:color w:val="001531"/>
          <w:sz w:val="44"/>
          <w:szCs w:val="44"/>
        </w:rPr>
      </w:pPr>
      <w:r w:rsidRPr="00BE12B1">
        <w:rPr>
          <w:color w:val="001531"/>
          <w:sz w:val="44"/>
          <w:szCs w:val="44"/>
        </w:rPr>
        <w:t xml:space="preserve">Asset condition </w:t>
      </w:r>
    </w:p>
    <w:p w14:paraId="3420A172" w14:textId="77777777" w:rsidR="007E40AF" w:rsidRPr="008E4BB9" w:rsidRDefault="007E40AF" w:rsidP="007E40AF">
      <w:pPr>
        <w:pStyle w:val="BodyText"/>
        <w:spacing w:line="276" w:lineRule="auto"/>
        <w:rPr>
          <w:rFonts w:asciiTheme="majorHAnsi" w:hAnsiTheme="majorHAnsi" w:cstheme="majorHAnsi"/>
          <w:color w:val="2F2F2F" w:themeColor="text1" w:themeTint="E6"/>
          <w:sz w:val="24"/>
          <w:szCs w:val="24"/>
          <w14:ligatures w14:val="none"/>
        </w:rPr>
      </w:pPr>
      <w:r w:rsidRPr="008E4BB9">
        <w:rPr>
          <w:rFonts w:asciiTheme="majorHAnsi" w:hAnsiTheme="majorHAnsi" w:cstheme="majorHAnsi"/>
          <w:sz w:val="24"/>
          <w:szCs w:val="24"/>
        </w:rPr>
        <w:t xml:space="preserve">Approximately 480 kilometres of the CQBR network is unsealed, with an additional 130 kilometres of sealed sections with high roughness and poor ride quality. </w:t>
      </w:r>
      <w:r w:rsidRPr="00301E14">
        <w:rPr>
          <w:rFonts w:asciiTheme="majorHAnsi" w:hAnsiTheme="majorHAnsi" w:cstheme="majorHAnsi"/>
          <w:sz w:val="24"/>
          <w:szCs w:val="24"/>
        </w:rPr>
        <w:t xml:space="preserve">A further 520 kilometres of sealed sections have pavements older than 30 </w:t>
      </w:r>
      <w:proofErr w:type="gramStart"/>
      <w:r w:rsidRPr="00301E14">
        <w:rPr>
          <w:rFonts w:asciiTheme="majorHAnsi" w:hAnsiTheme="majorHAnsi" w:cstheme="majorHAnsi"/>
          <w:sz w:val="24"/>
          <w:szCs w:val="24"/>
        </w:rPr>
        <w:t>years, and</w:t>
      </w:r>
      <w:proofErr w:type="gramEnd"/>
      <w:r w:rsidRPr="00301E14">
        <w:rPr>
          <w:rFonts w:asciiTheme="majorHAnsi" w:hAnsiTheme="majorHAnsi" w:cstheme="majorHAnsi"/>
          <w:sz w:val="24"/>
          <w:szCs w:val="24"/>
        </w:rPr>
        <w:t xml:space="preserve"> are in poor condition. Nearly half of the existing bridges are narrow, and 36 bridges have condition issues.</w:t>
      </w:r>
      <w:r w:rsidRPr="008E4BB9">
        <w:rPr>
          <w:rFonts w:asciiTheme="majorHAnsi" w:hAnsiTheme="majorHAnsi" w:cstheme="majorHAnsi"/>
          <w:szCs w:val="24"/>
        </w:rPr>
        <w:t xml:space="preserve">  </w:t>
      </w:r>
    </w:p>
    <w:p w14:paraId="62DE6F40" w14:textId="77777777" w:rsidR="007E40AF" w:rsidRPr="008E4BB9" w:rsidRDefault="007E40AF" w:rsidP="007E40AF">
      <w:pPr>
        <w:pStyle w:val="BodyText"/>
        <w:rPr>
          <w:rFonts w:asciiTheme="majorHAnsi" w:hAnsiTheme="majorHAnsi" w:cstheme="majorHAnsi"/>
          <w:szCs w:val="24"/>
        </w:rPr>
      </w:pPr>
      <w:r w:rsidRPr="008E4BB9">
        <w:rPr>
          <w:rFonts w:asciiTheme="majorHAnsi" w:hAnsiTheme="majorHAnsi" w:cstheme="majorHAnsi"/>
          <w:sz w:val="24"/>
          <w:szCs w:val="24"/>
        </w:rPr>
        <w:t>Unsealed roads present unique asset maintenance challenges due to their susceptibility to weather conditions, traffic volume, and material loss. Unsealed roads require more maintenance than sealed roads, as they are more susceptible to wear and tear. This increases road maintenance costs, particularly in areas where access to road materials, such as gravel, are limited.</w:t>
      </w:r>
    </w:p>
    <w:p w14:paraId="0A5EC61E" w14:textId="77777777" w:rsidR="007E40AF" w:rsidRDefault="007E40AF" w:rsidP="00517CEA">
      <w:pPr>
        <w:pStyle w:val="Heading1"/>
      </w:pPr>
      <w:bookmarkStart w:id="10" w:name="_Toc208416010"/>
      <w:r>
        <w:lastRenderedPageBreak/>
        <w:t>What are we doing already?</w:t>
      </w:r>
      <w:bookmarkEnd w:id="10"/>
    </w:p>
    <w:p w14:paraId="70E31488" w14:textId="77777777" w:rsidR="007E40AF" w:rsidRPr="008E4BB9" w:rsidRDefault="007E40AF" w:rsidP="007E40AF">
      <w:pPr>
        <w:spacing w:after="160" w:line="259" w:lineRule="auto"/>
        <w:rPr>
          <w:rFonts w:asciiTheme="majorHAnsi" w:eastAsia="Times New Roman" w:hAnsiTheme="majorHAnsi" w:cstheme="majorHAnsi"/>
          <w:color w:val="414141"/>
          <w:szCs w:val="24"/>
          <w:lang w:eastAsia="en-AU"/>
        </w:rPr>
      </w:pPr>
      <w:r w:rsidRPr="008E4BB9">
        <w:rPr>
          <w:rFonts w:asciiTheme="majorHAnsi" w:hAnsiTheme="majorHAnsi" w:cstheme="majorHAnsi"/>
        </w:rPr>
        <w:t>The Australian and Queensland governments are progressing an early works package, including</w:t>
      </w:r>
      <w:r w:rsidRPr="008E4BB9">
        <w:rPr>
          <w:rFonts w:asciiTheme="majorHAnsi" w:eastAsia="Times New Roman" w:hAnsiTheme="majorHAnsi" w:cstheme="majorHAnsi"/>
          <w:color w:val="414141"/>
          <w:szCs w:val="24"/>
          <w:lang w:eastAsia="en-AU"/>
        </w:rPr>
        <w:t>:</w:t>
      </w:r>
    </w:p>
    <w:p w14:paraId="5297A8FB" w14:textId="77777777" w:rsidR="007E40AF" w:rsidRPr="008E4BB9" w:rsidRDefault="007E40AF" w:rsidP="007E40AF">
      <w:pPr>
        <w:numPr>
          <w:ilvl w:val="0"/>
          <w:numId w:val="5"/>
        </w:numPr>
        <w:suppressAutoHyphens w:val="0"/>
        <w:spacing w:before="0" w:after="160" w:line="259" w:lineRule="auto"/>
        <w:rPr>
          <w:rFonts w:asciiTheme="majorHAnsi" w:hAnsiTheme="majorHAnsi" w:cstheme="majorHAnsi"/>
        </w:rPr>
      </w:pPr>
      <w:bookmarkStart w:id="11" w:name="_Hlk200437969"/>
      <w:r w:rsidRPr="008E4BB9">
        <w:rPr>
          <w:rFonts w:asciiTheme="majorHAnsi" w:hAnsiTheme="majorHAnsi" w:cstheme="majorHAnsi"/>
        </w:rPr>
        <w:t>paving and sealing sections along Clermont - Alpha Road, west of Craven Road</w:t>
      </w:r>
    </w:p>
    <w:p w14:paraId="1F3A7D87" w14:textId="77777777" w:rsidR="007E40AF" w:rsidRPr="008E4BB9" w:rsidRDefault="007E40AF" w:rsidP="007E40AF">
      <w:pPr>
        <w:numPr>
          <w:ilvl w:val="0"/>
          <w:numId w:val="5"/>
        </w:numPr>
        <w:suppressAutoHyphens w:val="0"/>
        <w:spacing w:before="0" w:after="160" w:line="259" w:lineRule="auto"/>
        <w:rPr>
          <w:rFonts w:asciiTheme="majorHAnsi" w:hAnsiTheme="majorHAnsi" w:cstheme="majorHAnsi"/>
        </w:rPr>
      </w:pPr>
      <w:r w:rsidRPr="008E4BB9">
        <w:rPr>
          <w:rFonts w:asciiTheme="majorHAnsi" w:hAnsiTheme="majorHAnsi" w:cstheme="majorHAnsi"/>
        </w:rPr>
        <w:t>paving and sealing sections along Clermont - Alpha Road, east of Pioneer Road</w:t>
      </w:r>
    </w:p>
    <w:p w14:paraId="21EE5D71" w14:textId="77777777" w:rsidR="007E40AF" w:rsidRPr="008E4BB9" w:rsidRDefault="007E40AF" w:rsidP="007E40AF">
      <w:pPr>
        <w:numPr>
          <w:ilvl w:val="0"/>
          <w:numId w:val="5"/>
        </w:numPr>
        <w:suppressAutoHyphens w:val="0"/>
        <w:spacing w:before="0" w:after="160" w:line="259" w:lineRule="auto"/>
        <w:rPr>
          <w:rFonts w:asciiTheme="majorHAnsi" w:hAnsiTheme="majorHAnsi" w:cstheme="majorHAnsi"/>
        </w:rPr>
      </w:pPr>
      <w:r w:rsidRPr="008E4BB9">
        <w:rPr>
          <w:rFonts w:asciiTheme="majorHAnsi" w:hAnsiTheme="majorHAnsi" w:cstheme="majorHAnsi"/>
        </w:rPr>
        <w:t xml:space="preserve">paving, sealing and widening along Alpha - Tambo Road, northeast of </w:t>
      </w:r>
      <w:proofErr w:type="spellStart"/>
      <w:r w:rsidRPr="008E4BB9">
        <w:rPr>
          <w:rFonts w:asciiTheme="majorHAnsi" w:hAnsiTheme="majorHAnsi" w:cstheme="majorHAnsi"/>
        </w:rPr>
        <w:t>Tumbar</w:t>
      </w:r>
      <w:proofErr w:type="spellEnd"/>
      <w:r w:rsidRPr="008E4BB9">
        <w:rPr>
          <w:rFonts w:asciiTheme="majorHAnsi" w:hAnsiTheme="majorHAnsi" w:cstheme="majorHAnsi"/>
        </w:rPr>
        <w:t xml:space="preserve"> Road</w:t>
      </w:r>
    </w:p>
    <w:p w14:paraId="508370C5" w14:textId="77777777" w:rsidR="007E40AF" w:rsidRPr="008E4BB9" w:rsidRDefault="007E40AF" w:rsidP="007E40AF">
      <w:pPr>
        <w:numPr>
          <w:ilvl w:val="0"/>
          <w:numId w:val="5"/>
        </w:numPr>
        <w:suppressAutoHyphens w:val="0"/>
        <w:spacing w:before="0" w:after="160" w:line="259" w:lineRule="auto"/>
        <w:rPr>
          <w:rFonts w:asciiTheme="majorHAnsi" w:hAnsiTheme="majorHAnsi" w:cstheme="majorHAnsi"/>
        </w:rPr>
      </w:pPr>
      <w:r w:rsidRPr="008E4BB9">
        <w:rPr>
          <w:rFonts w:asciiTheme="majorHAnsi" w:hAnsiTheme="majorHAnsi" w:cstheme="majorHAnsi"/>
        </w:rPr>
        <w:t>paving and sealing in sections along Fitzroy Developmental Road between Bauhinia and Duaringa</w:t>
      </w:r>
    </w:p>
    <w:p w14:paraId="5D8A22A9" w14:textId="77777777" w:rsidR="007E40AF" w:rsidRDefault="007E40AF" w:rsidP="007E40AF">
      <w:pPr>
        <w:numPr>
          <w:ilvl w:val="0"/>
          <w:numId w:val="5"/>
        </w:numPr>
        <w:suppressAutoHyphens w:val="0"/>
        <w:spacing w:before="0" w:after="160" w:line="259" w:lineRule="auto"/>
        <w:rPr>
          <w:rFonts w:asciiTheme="majorHAnsi" w:hAnsiTheme="majorHAnsi" w:cstheme="majorHAnsi"/>
        </w:rPr>
      </w:pPr>
      <w:r w:rsidRPr="008E4BB9">
        <w:rPr>
          <w:rFonts w:asciiTheme="majorHAnsi" w:hAnsiTheme="majorHAnsi" w:cstheme="majorHAnsi"/>
        </w:rPr>
        <w:t>paving and sealing sections along May Downs Road between Middlemount and Clarke Creek.</w:t>
      </w:r>
      <w:bookmarkEnd w:id="11"/>
    </w:p>
    <w:p w14:paraId="17609938" w14:textId="17DDF5D8" w:rsidR="007E40AF" w:rsidRPr="008E4BB9" w:rsidRDefault="007E40AF" w:rsidP="00207E53">
      <w:pPr>
        <w:suppressAutoHyphens w:val="0"/>
        <w:spacing w:before="0" w:after="160" w:line="259" w:lineRule="auto"/>
        <w:rPr>
          <w:rFonts w:asciiTheme="majorHAnsi" w:hAnsiTheme="majorHAnsi" w:cstheme="majorHAnsi"/>
        </w:rPr>
      </w:pPr>
      <w:r>
        <w:rPr>
          <w:rFonts w:asciiTheme="majorHAnsi" w:hAnsiTheme="majorHAnsi" w:cstheme="majorHAnsi"/>
        </w:rPr>
        <w:t xml:space="preserve">See the </w:t>
      </w:r>
      <w:r w:rsidR="002B1986">
        <w:rPr>
          <w:rFonts w:asciiTheme="majorHAnsi" w:hAnsiTheme="majorHAnsi" w:cstheme="majorHAnsi"/>
        </w:rPr>
        <w:t>p</w:t>
      </w:r>
      <w:r>
        <w:rPr>
          <w:rFonts w:asciiTheme="majorHAnsi" w:hAnsiTheme="majorHAnsi" w:cstheme="majorHAnsi"/>
        </w:rPr>
        <w:t>roject locations map for the early works locations.</w:t>
      </w:r>
    </w:p>
    <w:p w14:paraId="6FE2BB6E" w14:textId="77777777" w:rsidR="007E40AF" w:rsidRDefault="007E40AF" w:rsidP="00517CEA">
      <w:pPr>
        <w:pStyle w:val="Heading1"/>
      </w:pPr>
      <w:bookmarkStart w:id="12" w:name="_Toc208416011"/>
      <w:r>
        <w:t>Delivering the program</w:t>
      </w:r>
      <w:bookmarkEnd w:id="12"/>
      <w:r>
        <w:t xml:space="preserve"> </w:t>
      </w:r>
    </w:p>
    <w:p w14:paraId="683D4CBE" w14:textId="4159F1F3" w:rsidR="007E40AF" w:rsidRPr="008E4BB9" w:rsidRDefault="007E40AF" w:rsidP="007E40AF">
      <w:pPr>
        <w:suppressAutoHyphens w:val="0"/>
        <w:spacing w:before="0" w:after="160" w:line="259" w:lineRule="auto"/>
        <w:rPr>
          <w:rFonts w:asciiTheme="minorHAnsi" w:hAnsiTheme="minorHAnsi" w:cstheme="minorHAnsi"/>
        </w:rPr>
      </w:pPr>
      <w:r w:rsidRPr="008E4BB9">
        <w:rPr>
          <w:rFonts w:asciiTheme="minorHAnsi" w:hAnsiTheme="minorHAnsi" w:cstheme="minorHAnsi"/>
        </w:rPr>
        <w:t>Under the $50</w:t>
      </w:r>
      <w:r w:rsidR="00BA2D14">
        <w:rPr>
          <w:rFonts w:asciiTheme="minorHAnsi" w:hAnsiTheme="minorHAnsi" w:cstheme="minorHAnsi"/>
        </w:rPr>
        <w:t>0</w:t>
      </w:r>
      <w:r w:rsidRPr="008E4BB9">
        <w:rPr>
          <w:rFonts w:asciiTheme="minorHAnsi" w:hAnsiTheme="minorHAnsi" w:cstheme="minorHAnsi"/>
        </w:rPr>
        <w:t xml:space="preserve"> million commitment, in partnership with the QBC local governments, will progressively seal unsealed sections of roads that form the CQBR network. The </w:t>
      </w:r>
      <w:bookmarkStart w:id="13" w:name="_Hlk208217240"/>
      <w:r w:rsidRPr="008E4BB9">
        <w:rPr>
          <w:rFonts w:asciiTheme="minorHAnsi" w:hAnsiTheme="minorHAnsi" w:cstheme="minorHAnsi"/>
        </w:rPr>
        <w:t xml:space="preserve">aim is to address all short-term priorities within the agreed </w:t>
      </w:r>
      <w:proofErr w:type="gramStart"/>
      <w:r w:rsidRPr="008E4BB9">
        <w:rPr>
          <w:rFonts w:asciiTheme="minorHAnsi" w:hAnsiTheme="minorHAnsi" w:cstheme="minorHAnsi"/>
        </w:rPr>
        <w:t>scope, and</w:t>
      </w:r>
      <w:proofErr w:type="gramEnd"/>
      <w:r w:rsidRPr="008E4BB9">
        <w:rPr>
          <w:rFonts w:asciiTheme="minorHAnsi" w:hAnsiTheme="minorHAnsi" w:cstheme="minorHAnsi"/>
        </w:rPr>
        <w:t xml:space="preserve"> deliver medium-term priorities subject to remaining available funding. </w:t>
      </w:r>
      <w:bookmarkEnd w:id="13"/>
    </w:p>
    <w:p w14:paraId="12B5F084" w14:textId="77777777" w:rsidR="009B06E8" w:rsidRDefault="007E40AF" w:rsidP="007E40AF">
      <w:pPr>
        <w:suppressAutoHyphens w:val="0"/>
        <w:spacing w:before="0" w:after="160" w:line="259" w:lineRule="auto"/>
        <w:rPr>
          <w:rFonts w:asciiTheme="minorHAnsi" w:hAnsiTheme="minorHAnsi" w:cstheme="minorHAnsi"/>
        </w:rPr>
        <w:sectPr w:rsidR="009B06E8" w:rsidSect="009B06E8">
          <w:pgSz w:w="11906" w:h="16838" w:code="9"/>
          <w:pgMar w:top="1134" w:right="1418" w:bottom="1843" w:left="1418" w:header="567" w:footer="567" w:gutter="0"/>
          <w:cols w:space="708"/>
          <w:titlePg/>
          <w:docGrid w:linePitch="360"/>
        </w:sectPr>
      </w:pPr>
      <w:r w:rsidRPr="008E4BB9">
        <w:rPr>
          <w:rFonts w:asciiTheme="minorHAnsi" w:hAnsiTheme="minorHAnsi" w:cstheme="minorHAnsi"/>
        </w:rPr>
        <w:t xml:space="preserve">The sealing program aims to enhance the Central Queensland beef supply chain, while supporting development of the sector. </w:t>
      </w:r>
      <w:r w:rsidRPr="00396545">
        <w:rPr>
          <w:rFonts w:asciiTheme="minorHAnsi" w:hAnsiTheme="minorHAnsi" w:cstheme="minorHAnsi"/>
        </w:rPr>
        <w:t xml:space="preserve">This delivery </w:t>
      </w:r>
      <w:r>
        <w:rPr>
          <w:rFonts w:asciiTheme="minorHAnsi" w:hAnsiTheme="minorHAnsi" w:cstheme="minorHAnsi"/>
        </w:rPr>
        <w:t xml:space="preserve">and investment </w:t>
      </w:r>
      <w:r w:rsidRPr="00396545">
        <w:rPr>
          <w:rFonts w:asciiTheme="minorHAnsi" w:hAnsiTheme="minorHAnsi" w:cstheme="minorHAnsi"/>
        </w:rPr>
        <w:t>approach will enhance regional connectivity by providing opportunities for local economic development</w:t>
      </w:r>
      <w:r>
        <w:rPr>
          <w:rFonts w:asciiTheme="minorHAnsi" w:hAnsiTheme="minorHAnsi" w:cstheme="minorHAnsi"/>
        </w:rPr>
        <w:t xml:space="preserve">, </w:t>
      </w:r>
      <w:r w:rsidRPr="006B6C79">
        <w:rPr>
          <w:rFonts w:asciiTheme="minorHAnsi" w:hAnsiTheme="minorHAnsi" w:cstheme="minorHAnsi"/>
        </w:rPr>
        <w:t>by linking people to jobs and services, and goods to markets</w:t>
      </w:r>
      <w:r w:rsidRPr="00396545">
        <w:rPr>
          <w:rFonts w:asciiTheme="minorHAnsi" w:hAnsiTheme="minorHAnsi" w:cstheme="minorHAnsi"/>
        </w:rPr>
        <w:t>.</w:t>
      </w:r>
      <w:r>
        <w:rPr>
          <w:rFonts w:asciiTheme="minorHAnsi" w:hAnsiTheme="minorHAnsi" w:cstheme="minorHAnsi"/>
        </w:rPr>
        <w:t xml:space="preserve"> </w:t>
      </w:r>
      <w:r w:rsidRPr="008E4BB9">
        <w:rPr>
          <w:rFonts w:asciiTheme="minorHAnsi" w:hAnsiTheme="minorHAnsi" w:cstheme="minorHAnsi"/>
        </w:rPr>
        <w:t>It will also improve safety across the network, by reducing fatalities and serious injuries, and boosting freight transport efficiency.</w:t>
      </w:r>
    </w:p>
    <w:p w14:paraId="68D8A31C" w14:textId="77777777" w:rsidR="009B06E8" w:rsidRDefault="009B06E8" w:rsidP="007E40AF">
      <w:pPr>
        <w:suppressAutoHyphens w:val="0"/>
        <w:spacing w:before="0" w:after="160" w:line="259" w:lineRule="auto"/>
        <w:rPr>
          <w:rFonts w:asciiTheme="minorHAnsi" w:hAnsiTheme="minorHAnsi" w:cstheme="minorHAnsi"/>
        </w:rPr>
        <w:sectPr w:rsidR="009B06E8" w:rsidSect="009B06E8">
          <w:pgSz w:w="16838" w:h="11906" w:orient="landscape" w:code="9"/>
          <w:pgMar w:top="1418" w:right="1134" w:bottom="1418" w:left="1843" w:header="567" w:footer="567" w:gutter="0"/>
          <w:cols w:space="708"/>
          <w:titlePg/>
          <w:docGrid w:linePitch="360"/>
        </w:sectPr>
      </w:pPr>
      <w:r w:rsidRPr="008E4BB9">
        <w:rPr>
          <w:rFonts w:asciiTheme="majorHAnsi" w:hAnsiTheme="majorHAnsi" w:cstheme="majorHAnsi"/>
          <w:noProof/>
        </w:rPr>
        <w:lastRenderedPageBreak/>
        <w:drawing>
          <wp:inline distT="0" distB="0" distL="0" distR="0" wp14:anchorId="4B0D03AE" wp14:editId="0CC92CD2">
            <wp:extent cx="8352155" cy="5906953"/>
            <wp:effectExtent l="0" t="0" r="0" b="0"/>
            <wp:docPr id="1466938588" name="Picture 1" descr="A map of Central Queensland that shows Rockhampton and Gladstone as the largest regional centres and depicts the Central Queensland Beef Roads as red lines. Project locations are numbered and are represented by orange markers. Early works project locations are numbered and are represented by green ma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38588" name="Picture 1" descr="A map of Central Queensland that shows Rockhampton and Gladstone as the largest regional centres and depicts the Central Queensland Beef Roads as red lines. Project locations are numbered and are represented by orange markers. Early works project locations are numbered and are represented by green marke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52155" cy="5906953"/>
                    </a:xfrm>
                    <a:prstGeom prst="rect">
                      <a:avLst/>
                    </a:prstGeom>
                    <a:noFill/>
                    <a:ln>
                      <a:noFill/>
                    </a:ln>
                  </pic:spPr>
                </pic:pic>
              </a:graphicData>
            </a:graphic>
          </wp:inline>
        </w:drawing>
      </w:r>
    </w:p>
    <w:tbl>
      <w:tblPr>
        <w:tblStyle w:val="TableGrid"/>
        <w:tblW w:w="9209" w:type="dxa"/>
        <w:tblLayout w:type="fixed"/>
        <w:tblLook w:val="04A0" w:firstRow="1" w:lastRow="0" w:firstColumn="1" w:lastColumn="0" w:noHBand="0" w:noVBand="1"/>
      </w:tblPr>
      <w:tblGrid>
        <w:gridCol w:w="969"/>
        <w:gridCol w:w="6114"/>
        <w:gridCol w:w="992"/>
        <w:gridCol w:w="1134"/>
      </w:tblGrid>
      <w:tr w:rsidR="00C77FAA" w:rsidRPr="00793EC4" w14:paraId="1A446F3A" w14:textId="77777777" w:rsidTr="00AD64CC">
        <w:trPr>
          <w:trHeight w:val="315"/>
          <w:tblHeader/>
        </w:trPr>
        <w:tc>
          <w:tcPr>
            <w:tcW w:w="969" w:type="dxa"/>
            <w:shd w:val="clear" w:color="auto" w:fill="042B55" w:themeFill="accent1" w:themeFillShade="BF"/>
            <w:vAlign w:val="center"/>
            <w:hideMark/>
          </w:tcPr>
          <w:p w14:paraId="59F65AFD" w14:textId="77777777" w:rsidR="00C77FAA" w:rsidRPr="008E4BB9" w:rsidRDefault="00C77FAA" w:rsidP="00AD64CC">
            <w:pPr>
              <w:pStyle w:val="BodyText"/>
              <w:spacing w:before="120" w:line="0" w:lineRule="atLeast"/>
              <w:rPr>
                <w:rFonts w:asciiTheme="majorHAnsi" w:hAnsiTheme="majorHAnsi" w:cstheme="majorHAnsi"/>
                <w:b/>
                <w:bCs/>
                <w:sz w:val="20"/>
                <w:szCs w:val="20"/>
              </w:rPr>
            </w:pPr>
            <w:r w:rsidRPr="008E4BB9">
              <w:rPr>
                <w:rFonts w:asciiTheme="majorHAnsi" w:hAnsiTheme="majorHAnsi" w:cstheme="majorHAnsi"/>
                <w:b/>
                <w:bCs/>
                <w:sz w:val="20"/>
                <w:szCs w:val="20"/>
              </w:rPr>
              <w:lastRenderedPageBreak/>
              <w:t>Map ID</w:t>
            </w:r>
          </w:p>
        </w:tc>
        <w:tc>
          <w:tcPr>
            <w:tcW w:w="6114" w:type="dxa"/>
            <w:shd w:val="clear" w:color="auto" w:fill="042B55" w:themeFill="accent1" w:themeFillShade="BF"/>
            <w:vAlign w:val="center"/>
            <w:hideMark/>
          </w:tcPr>
          <w:p w14:paraId="5B0D7260" w14:textId="77777777" w:rsidR="00C77FAA" w:rsidRPr="008E4BB9" w:rsidRDefault="00C77FAA" w:rsidP="00AD64CC">
            <w:pPr>
              <w:pStyle w:val="BodyText"/>
              <w:spacing w:before="120" w:line="0" w:lineRule="atLeast"/>
              <w:rPr>
                <w:rFonts w:asciiTheme="majorHAnsi" w:hAnsiTheme="majorHAnsi" w:cstheme="majorHAnsi"/>
                <w:b/>
                <w:bCs/>
                <w:sz w:val="20"/>
                <w:szCs w:val="20"/>
              </w:rPr>
            </w:pPr>
            <w:r w:rsidRPr="008E4BB9">
              <w:rPr>
                <w:rFonts w:asciiTheme="majorHAnsi" w:hAnsiTheme="majorHAnsi" w:cstheme="majorHAnsi"/>
                <w:b/>
                <w:bCs/>
                <w:sz w:val="20"/>
                <w:szCs w:val="20"/>
              </w:rPr>
              <w:t>Project</w:t>
            </w:r>
          </w:p>
        </w:tc>
        <w:tc>
          <w:tcPr>
            <w:tcW w:w="992" w:type="dxa"/>
            <w:shd w:val="clear" w:color="auto" w:fill="042B55" w:themeFill="accent1" w:themeFillShade="BF"/>
            <w:vAlign w:val="center"/>
          </w:tcPr>
          <w:p w14:paraId="2DE9BE3E" w14:textId="77777777" w:rsidR="00C77FAA" w:rsidRPr="008E4BB9" w:rsidRDefault="00C77FAA" w:rsidP="00AD64CC">
            <w:pPr>
              <w:pStyle w:val="BodyText"/>
              <w:spacing w:before="120" w:line="0" w:lineRule="atLeast"/>
              <w:jc w:val="center"/>
              <w:rPr>
                <w:rFonts w:asciiTheme="majorHAnsi" w:hAnsiTheme="majorHAnsi" w:cstheme="majorHAnsi"/>
                <w:b/>
                <w:bCs/>
                <w:sz w:val="20"/>
                <w:szCs w:val="20"/>
              </w:rPr>
            </w:pPr>
            <w:r w:rsidRPr="008E4BB9">
              <w:rPr>
                <w:rFonts w:asciiTheme="majorHAnsi" w:hAnsiTheme="majorHAnsi" w:cstheme="majorHAnsi"/>
                <w:b/>
                <w:bCs/>
                <w:sz w:val="20"/>
                <w:szCs w:val="20"/>
              </w:rPr>
              <w:t>Short term</w:t>
            </w:r>
          </w:p>
        </w:tc>
        <w:tc>
          <w:tcPr>
            <w:tcW w:w="1134" w:type="dxa"/>
            <w:shd w:val="clear" w:color="auto" w:fill="042B55" w:themeFill="accent1" w:themeFillShade="BF"/>
            <w:vAlign w:val="center"/>
          </w:tcPr>
          <w:p w14:paraId="7B34238A" w14:textId="77777777" w:rsidR="00C77FAA" w:rsidRPr="008E4BB9" w:rsidRDefault="00C77FAA" w:rsidP="00AD64CC">
            <w:pPr>
              <w:pStyle w:val="BodyText"/>
              <w:spacing w:before="120" w:line="0" w:lineRule="atLeast"/>
              <w:jc w:val="center"/>
              <w:rPr>
                <w:rFonts w:asciiTheme="majorHAnsi" w:hAnsiTheme="majorHAnsi" w:cstheme="majorHAnsi"/>
                <w:b/>
                <w:bCs/>
                <w:sz w:val="20"/>
                <w:szCs w:val="20"/>
              </w:rPr>
            </w:pPr>
            <w:r w:rsidRPr="008E4BB9">
              <w:rPr>
                <w:rFonts w:asciiTheme="majorHAnsi" w:hAnsiTheme="majorHAnsi" w:cstheme="majorHAnsi"/>
                <w:b/>
                <w:bCs/>
                <w:sz w:val="20"/>
                <w:szCs w:val="20"/>
              </w:rPr>
              <w:t>Medium term</w:t>
            </w:r>
          </w:p>
        </w:tc>
      </w:tr>
      <w:tr w:rsidR="00C77FAA" w:rsidRPr="00793EC4" w14:paraId="19D414D7" w14:textId="77777777" w:rsidTr="00AD64CC">
        <w:trPr>
          <w:trHeight w:val="315"/>
        </w:trPr>
        <w:tc>
          <w:tcPr>
            <w:tcW w:w="9209" w:type="dxa"/>
            <w:gridSpan w:val="4"/>
            <w:noWrap/>
            <w:vAlign w:val="center"/>
            <w:hideMark/>
          </w:tcPr>
          <w:p w14:paraId="4E6BD4EB" w14:textId="77777777" w:rsidR="00C77FAA" w:rsidRPr="008E4BB9" w:rsidRDefault="00C77FAA" w:rsidP="00AD64CC">
            <w:pPr>
              <w:pStyle w:val="BodyText"/>
              <w:rPr>
                <w:rFonts w:asciiTheme="majorHAnsi" w:hAnsiTheme="majorHAnsi" w:cstheme="majorHAnsi"/>
                <w:b/>
                <w:bCs/>
                <w:sz w:val="20"/>
                <w:szCs w:val="20"/>
              </w:rPr>
            </w:pPr>
            <w:r w:rsidRPr="008E4BB9">
              <w:rPr>
                <w:rFonts w:asciiTheme="majorHAnsi" w:hAnsiTheme="majorHAnsi" w:cstheme="majorHAnsi"/>
                <w:b/>
                <w:bCs/>
                <w:sz w:val="20"/>
                <w:szCs w:val="20"/>
              </w:rPr>
              <w:t>Fitzroy Developmental Road (Taroom - Bauhinia) – approximately 60 kilometres of sealing</w:t>
            </w:r>
          </w:p>
        </w:tc>
      </w:tr>
      <w:tr w:rsidR="00C77FAA" w:rsidRPr="00793EC4" w14:paraId="3CFED169" w14:textId="77777777" w:rsidTr="00AD64CC">
        <w:trPr>
          <w:trHeight w:val="300"/>
        </w:trPr>
        <w:tc>
          <w:tcPr>
            <w:tcW w:w="969" w:type="dxa"/>
            <w:noWrap/>
            <w:vAlign w:val="center"/>
            <w:hideMark/>
          </w:tcPr>
          <w:p w14:paraId="78302AEF"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sz w:val="18"/>
                <w:szCs w:val="18"/>
              </w:rPr>
              <w:t>1</w:t>
            </w:r>
          </w:p>
        </w:tc>
        <w:tc>
          <w:tcPr>
            <w:tcW w:w="6114" w:type="dxa"/>
            <w:noWrap/>
            <w:vAlign w:val="center"/>
            <w:hideMark/>
          </w:tcPr>
          <w:p w14:paraId="6AEC00D1" w14:textId="77777777" w:rsidR="00C77FAA" w:rsidRPr="008E4BB9" w:rsidRDefault="00C77FAA" w:rsidP="00AD64CC">
            <w:pPr>
              <w:pStyle w:val="BodyText"/>
              <w:spacing w:before="60" w:after="60" w:line="240" w:lineRule="auto"/>
              <w:rPr>
                <w:rFonts w:asciiTheme="majorHAnsi" w:hAnsiTheme="majorHAnsi" w:cstheme="majorHAnsi"/>
                <w:sz w:val="20"/>
                <w:szCs w:val="20"/>
              </w:rPr>
            </w:pPr>
            <w:r w:rsidRPr="008E4BB9">
              <w:rPr>
                <w:rFonts w:asciiTheme="majorHAnsi" w:hAnsiTheme="majorHAnsi" w:cstheme="majorHAnsi"/>
                <w:sz w:val="20"/>
                <w:szCs w:val="20"/>
              </w:rPr>
              <w:t>Fitzroy Developmental Road (Taroom - Bauhinia) (14km north of the Leichhardt Highway turn off)</w:t>
            </w:r>
          </w:p>
        </w:tc>
        <w:tc>
          <w:tcPr>
            <w:tcW w:w="992" w:type="dxa"/>
            <w:vAlign w:val="center"/>
          </w:tcPr>
          <w:p w14:paraId="7AE844A3"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color w:val="000000"/>
              </w:rPr>
              <w:t>●</w:t>
            </w:r>
          </w:p>
        </w:tc>
        <w:tc>
          <w:tcPr>
            <w:tcW w:w="1134" w:type="dxa"/>
            <w:vAlign w:val="center"/>
          </w:tcPr>
          <w:p w14:paraId="3B9E2504"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p>
        </w:tc>
      </w:tr>
      <w:tr w:rsidR="00C77FAA" w:rsidRPr="00793EC4" w14:paraId="764C8603" w14:textId="77777777" w:rsidTr="00AD64CC">
        <w:trPr>
          <w:trHeight w:val="300"/>
        </w:trPr>
        <w:tc>
          <w:tcPr>
            <w:tcW w:w="969" w:type="dxa"/>
            <w:noWrap/>
            <w:vAlign w:val="center"/>
            <w:hideMark/>
          </w:tcPr>
          <w:p w14:paraId="16B48383"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sz w:val="18"/>
                <w:szCs w:val="18"/>
              </w:rPr>
              <w:t>2</w:t>
            </w:r>
          </w:p>
        </w:tc>
        <w:tc>
          <w:tcPr>
            <w:tcW w:w="6114" w:type="dxa"/>
            <w:noWrap/>
            <w:vAlign w:val="center"/>
            <w:hideMark/>
          </w:tcPr>
          <w:p w14:paraId="2625EE51" w14:textId="77777777" w:rsidR="00C77FAA" w:rsidRPr="008E4BB9" w:rsidRDefault="00C77FAA" w:rsidP="00AD64CC">
            <w:pPr>
              <w:pStyle w:val="BodyText"/>
              <w:spacing w:before="60" w:after="60" w:line="240" w:lineRule="auto"/>
              <w:rPr>
                <w:rFonts w:asciiTheme="majorHAnsi" w:hAnsiTheme="majorHAnsi" w:cstheme="majorHAnsi"/>
                <w:sz w:val="20"/>
                <w:szCs w:val="20"/>
              </w:rPr>
            </w:pPr>
            <w:r w:rsidRPr="008E4BB9">
              <w:rPr>
                <w:rFonts w:asciiTheme="majorHAnsi" w:hAnsiTheme="majorHAnsi" w:cstheme="majorHAnsi"/>
                <w:sz w:val="20"/>
                <w:szCs w:val="20"/>
              </w:rPr>
              <w:t>Fitzroy Developmental Road (Taroom - Bauhinia) (27km north of the Leichhardt Highway turn off)</w:t>
            </w:r>
          </w:p>
        </w:tc>
        <w:tc>
          <w:tcPr>
            <w:tcW w:w="992" w:type="dxa"/>
            <w:vAlign w:val="center"/>
          </w:tcPr>
          <w:p w14:paraId="183455F8"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color w:val="000000"/>
              </w:rPr>
              <w:t>●</w:t>
            </w:r>
          </w:p>
        </w:tc>
        <w:tc>
          <w:tcPr>
            <w:tcW w:w="1134" w:type="dxa"/>
            <w:vAlign w:val="center"/>
          </w:tcPr>
          <w:p w14:paraId="2AD2DBF1"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color w:val="000000"/>
              </w:rPr>
              <w:t>●</w:t>
            </w:r>
          </w:p>
        </w:tc>
      </w:tr>
      <w:tr w:rsidR="00C77FAA" w:rsidRPr="00793EC4" w14:paraId="58713B25" w14:textId="77777777" w:rsidTr="00AD64CC">
        <w:trPr>
          <w:trHeight w:val="300"/>
        </w:trPr>
        <w:tc>
          <w:tcPr>
            <w:tcW w:w="969" w:type="dxa"/>
            <w:noWrap/>
            <w:vAlign w:val="center"/>
            <w:hideMark/>
          </w:tcPr>
          <w:p w14:paraId="70BE1CA5"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sz w:val="18"/>
                <w:szCs w:val="18"/>
              </w:rPr>
              <w:t>3</w:t>
            </w:r>
          </w:p>
        </w:tc>
        <w:tc>
          <w:tcPr>
            <w:tcW w:w="6114" w:type="dxa"/>
            <w:noWrap/>
            <w:vAlign w:val="center"/>
            <w:hideMark/>
          </w:tcPr>
          <w:p w14:paraId="485DD403" w14:textId="77777777" w:rsidR="00C77FAA" w:rsidRPr="008E4BB9" w:rsidRDefault="00C77FAA" w:rsidP="00AD64CC">
            <w:pPr>
              <w:pStyle w:val="BodyText"/>
              <w:spacing w:before="60" w:after="60" w:line="240" w:lineRule="auto"/>
              <w:rPr>
                <w:rFonts w:asciiTheme="majorHAnsi" w:hAnsiTheme="majorHAnsi" w:cstheme="majorHAnsi"/>
                <w:sz w:val="20"/>
                <w:szCs w:val="20"/>
              </w:rPr>
            </w:pPr>
            <w:r w:rsidRPr="008E4BB9">
              <w:rPr>
                <w:rFonts w:asciiTheme="majorHAnsi" w:hAnsiTheme="majorHAnsi" w:cstheme="majorHAnsi"/>
                <w:sz w:val="20"/>
                <w:szCs w:val="20"/>
              </w:rPr>
              <w:t>Fitzroy Developmental Road (Taroom - Bauhinia) (43km north of the Leichhardt Highway turn off)</w:t>
            </w:r>
          </w:p>
        </w:tc>
        <w:tc>
          <w:tcPr>
            <w:tcW w:w="992" w:type="dxa"/>
            <w:vAlign w:val="center"/>
          </w:tcPr>
          <w:p w14:paraId="529B4A7C"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p>
        </w:tc>
        <w:tc>
          <w:tcPr>
            <w:tcW w:w="1134" w:type="dxa"/>
            <w:vAlign w:val="center"/>
          </w:tcPr>
          <w:p w14:paraId="2A855742"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color w:val="000000"/>
              </w:rPr>
              <w:t>●</w:t>
            </w:r>
          </w:p>
        </w:tc>
      </w:tr>
      <w:tr w:rsidR="00C77FAA" w:rsidRPr="00793EC4" w14:paraId="6C632B8A" w14:textId="77777777" w:rsidTr="00AD64CC">
        <w:trPr>
          <w:trHeight w:val="300"/>
        </w:trPr>
        <w:tc>
          <w:tcPr>
            <w:tcW w:w="969" w:type="dxa"/>
            <w:noWrap/>
            <w:vAlign w:val="center"/>
            <w:hideMark/>
          </w:tcPr>
          <w:p w14:paraId="0AF6CED0"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sz w:val="18"/>
                <w:szCs w:val="18"/>
              </w:rPr>
              <w:t>4</w:t>
            </w:r>
          </w:p>
        </w:tc>
        <w:tc>
          <w:tcPr>
            <w:tcW w:w="6114" w:type="dxa"/>
            <w:noWrap/>
            <w:vAlign w:val="center"/>
            <w:hideMark/>
          </w:tcPr>
          <w:p w14:paraId="3968C945" w14:textId="77777777" w:rsidR="00C77FAA" w:rsidRPr="008E4BB9" w:rsidRDefault="00C77FAA" w:rsidP="00AD64CC">
            <w:pPr>
              <w:pStyle w:val="BodyText"/>
              <w:spacing w:before="60" w:after="60" w:line="240" w:lineRule="auto"/>
              <w:rPr>
                <w:rFonts w:asciiTheme="majorHAnsi" w:hAnsiTheme="majorHAnsi" w:cstheme="majorHAnsi"/>
                <w:sz w:val="20"/>
                <w:szCs w:val="20"/>
              </w:rPr>
            </w:pPr>
            <w:r w:rsidRPr="008E4BB9">
              <w:rPr>
                <w:rFonts w:asciiTheme="majorHAnsi" w:hAnsiTheme="majorHAnsi" w:cstheme="majorHAnsi"/>
                <w:sz w:val="20"/>
                <w:szCs w:val="20"/>
              </w:rPr>
              <w:t>Fitzroy Developmental Road (Taroom - Bauhinia) (85km north of the Leichhardt Highway turn off)</w:t>
            </w:r>
          </w:p>
        </w:tc>
        <w:tc>
          <w:tcPr>
            <w:tcW w:w="992" w:type="dxa"/>
            <w:vAlign w:val="center"/>
          </w:tcPr>
          <w:p w14:paraId="03FE2F64"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color w:val="000000"/>
              </w:rPr>
              <w:t>●</w:t>
            </w:r>
          </w:p>
        </w:tc>
        <w:tc>
          <w:tcPr>
            <w:tcW w:w="1134" w:type="dxa"/>
            <w:vAlign w:val="center"/>
          </w:tcPr>
          <w:p w14:paraId="496CC234"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color w:val="000000"/>
              </w:rPr>
              <w:t>●</w:t>
            </w:r>
          </w:p>
        </w:tc>
      </w:tr>
      <w:tr w:rsidR="00C77FAA" w:rsidRPr="00793EC4" w14:paraId="3D65BD55" w14:textId="77777777" w:rsidTr="00AD64CC">
        <w:trPr>
          <w:trHeight w:val="315"/>
        </w:trPr>
        <w:tc>
          <w:tcPr>
            <w:tcW w:w="969" w:type="dxa"/>
            <w:noWrap/>
            <w:vAlign w:val="center"/>
            <w:hideMark/>
          </w:tcPr>
          <w:p w14:paraId="338A477E"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sz w:val="18"/>
                <w:szCs w:val="18"/>
              </w:rPr>
              <w:t>5</w:t>
            </w:r>
          </w:p>
        </w:tc>
        <w:tc>
          <w:tcPr>
            <w:tcW w:w="6114" w:type="dxa"/>
            <w:noWrap/>
            <w:vAlign w:val="center"/>
            <w:hideMark/>
          </w:tcPr>
          <w:p w14:paraId="5AE57813" w14:textId="77777777" w:rsidR="00C77FAA" w:rsidRPr="008E4BB9" w:rsidRDefault="00C77FAA" w:rsidP="00AD64CC">
            <w:pPr>
              <w:pStyle w:val="BodyText"/>
              <w:spacing w:before="60" w:after="60" w:line="240" w:lineRule="auto"/>
              <w:rPr>
                <w:rFonts w:asciiTheme="majorHAnsi" w:hAnsiTheme="majorHAnsi" w:cstheme="majorHAnsi"/>
                <w:sz w:val="20"/>
                <w:szCs w:val="20"/>
              </w:rPr>
            </w:pPr>
            <w:r w:rsidRPr="008E4BB9">
              <w:rPr>
                <w:rFonts w:asciiTheme="majorHAnsi" w:hAnsiTheme="majorHAnsi" w:cstheme="majorHAnsi"/>
                <w:sz w:val="20"/>
                <w:szCs w:val="20"/>
              </w:rPr>
              <w:t>Fitzroy Developmental Road (Taroom - Bauhinia) (107km north of the Leichhardt Highway turn off)</w:t>
            </w:r>
          </w:p>
        </w:tc>
        <w:tc>
          <w:tcPr>
            <w:tcW w:w="992" w:type="dxa"/>
            <w:vAlign w:val="center"/>
          </w:tcPr>
          <w:p w14:paraId="303C5FCC"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color w:val="000000"/>
              </w:rPr>
              <w:t>●</w:t>
            </w:r>
          </w:p>
        </w:tc>
        <w:tc>
          <w:tcPr>
            <w:tcW w:w="1134" w:type="dxa"/>
            <w:vAlign w:val="center"/>
          </w:tcPr>
          <w:p w14:paraId="1733E85C"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p>
        </w:tc>
      </w:tr>
      <w:tr w:rsidR="00C77FAA" w:rsidRPr="00793EC4" w14:paraId="10EC2C82" w14:textId="77777777" w:rsidTr="00AD64CC">
        <w:trPr>
          <w:trHeight w:val="315"/>
        </w:trPr>
        <w:tc>
          <w:tcPr>
            <w:tcW w:w="9209" w:type="dxa"/>
            <w:gridSpan w:val="4"/>
            <w:noWrap/>
            <w:vAlign w:val="center"/>
            <w:hideMark/>
          </w:tcPr>
          <w:p w14:paraId="031D2A4B" w14:textId="77777777" w:rsidR="00C77FAA" w:rsidRPr="008E4BB9" w:rsidRDefault="00C77FAA" w:rsidP="00AD64CC">
            <w:pPr>
              <w:pStyle w:val="BodyText"/>
              <w:rPr>
                <w:rFonts w:asciiTheme="majorHAnsi" w:hAnsiTheme="majorHAnsi" w:cstheme="majorHAnsi"/>
                <w:b/>
                <w:bCs/>
                <w:sz w:val="20"/>
                <w:szCs w:val="20"/>
              </w:rPr>
            </w:pPr>
            <w:r w:rsidRPr="008E4BB9">
              <w:rPr>
                <w:rFonts w:asciiTheme="majorHAnsi" w:hAnsiTheme="majorHAnsi" w:cstheme="majorHAnsi"/>
                <w:b/>
                <w:bCs/>
                <w:sz w:val="20"/>
                <w:szCs w:val="20"/>
              </w:rPr>
              <w:t>Fitzroy Developmental Road (Bauhinia - Duaringa) – approximately 10 kilometres of sealing</w:t>
            </w:r>
          </w:p>
        </w:tc>
      </w:tr>
      <w:tr w:rsidR="00C77FAA" w:rsidRPr="00793EC4" w14:paraId="6B614349" w14:textId="77777777" w:rsidTr="00AD64CC">
        <w:trPr>
          <w:trHeight w:val="300"/>
        </w:trPr>
        <w:tc>
          <w:tcPr>
            <w:tcW w:w="969" w:type="dxa"/>
            <w:tcBorders>
              <w:bottom w:val="single" w:sz="4" w:space="0" w:color="auto"/>
            </w:tcBorders>
            <w:noWrap/>
            <w:vAlign w:val="center"/>
            <w:hideMark/>
          </w:tcPr>
          <w:p w14:paraId="4F741F9D"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sz w:val="18"/>
                <w:szCs w:val="18"/>
              </w:rPr>
              <w:t>6</w:t>
            </w:r>
          </w:p>
        </w:tc>
        <w:tc>
          <w:tcPr>
            <w:tcW w:w="6114" w:type="dxa"/>
            <w:tcBorders>
              <w:bottom w:val="single" w:sz="4" w:space="0" w:color="auto"/>
            </w:tcBorders>
            <w:noWrap/>
            <w:vAlign w:val="center"/>
            <w:hideMark/>
          </w:tcPr>
          <w:p w14:paraId="34EDB735" w14:textId="77777777" w:rsidR="00C77FAA" w:rsidRPr="008E4BB9" w:rsidRDefault="00C77FAA" w:rsidP="00AD64CC">
            <w:pPr>
              <w:pStyle w:val="BodyText"/>
              <w:spacing w:before="60" w:after="60" w:line="240" w:lineRule="auto"/>
              <w:rPr>
                <w:rFonts w:asciiTheme="majorHAnsi" w:hAnsiTheme="majorHAnsi" w:cstheme="majorHAnsi"/>
                <w:sz w:val="20"/>
                <w:szCs w:val="20"/>
              </w:rPr>
            </w:pPr>
            <w:r w:rsidRPr="008E4BB9">
              <w:rPr>
                <w:rFonts w:asciiTheme="majorHAnsi" w:hAnsiTheme="majorHAnsi" w:cstheme="majorHAnsi"/>
                <w:sz w:val="20"/>
                <w:szCs w:val="20"/>
              </w:rPr>
              <w:t>Fitzroy Developmental Road (Bauhinia - Duaringa) (26km north of Bauhinia)</w:t>
            </w:r>
          </w:p>
        </w:tc>
        <w:tc>
          <w:tcPr>
            <w:tcW w:w="992" w:type="dxa"/>
            <w:tcBorders>
              <w:bottom w:val="single" w:sz="4" w:space="0" w:color="auto"/>
            </w:tcBorders>
            <w:vAlign w:val="center"/>
          </w:tcPr>
          <w:p w14:paraId="1E9A38AF"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p>
        </w:tc>
        <w:tc>
          <w:tcPr>
            <w:tcW w:w="1134" w:type="dxa"/>
            <w:tcBorders>
              <w:bottom w:val="single" w:sz="4" w:space="0" w:color="auto"/>
            </w:tcBorders>
            <w:vAlign w:val="center"/>
          </w:tcPr>
          <w:p w14:paraId="1D7D4F8B"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color w:val="000000"/>
              </w:rPr>
              <w:t>●</w:t>
            </w:r>
          </w:p>
        </w:tc>
      </w:tr>
      <w:tr w:rsidR="00C77FAA" w:rsidRPr="00793EC4" w14:paraId="638FBC57" w14:textId="77777777" w:rsidTr="00AD64CC">
        <w:trPr>
          <w:trHeight w:val="300"/>
        </w:trPr>
        <w:tc>
          <w:tcPr>
            <w:tcW w:w="969" w:type="dxa"/>
            <w:noWrap/>
            <w:vAlign w:val="center"/>
            <w:hideMark/>
          </w:tcPr>
          <w:p w14:paraId="0D5F45C7"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sz w:val="18"/>
                <w:szCs w:val="18"/>
              </w:rPr>
              <w:t>7</w:t>
            </w:r>
          </w:p>
        </w:tc>
        <w:tc>
          <w:tcPr>
            <w:tcW w:w="6114" w:type="dxa"/>
            <w:noWrap/>
            <w:vAlign w:val="center"/>
            <w:hideMark/>
          </w:tcPr>
          <w:p w14:paraId="1B049952" w14:textId="77777777" w:rsidR="00C77FAA" w:rsidRPr="008E4BB9" w:rsidRDefault="00C77FAA" w:rsidP="00AD64CC">
            <w:pPr>
              <w:pStyle w:val="BodyText"/>
              <w:spacing w:before="60" w:after="60" w:line="240" w:lineRule="auto"/>
              <w:rPr>
                <w:rFonts w:asciiTheme="majorHAnsi" w:hAnsiTheme="majorHAnsi" w:cstheme="majorHAnsi"/>
                <w:sz w:val="20"/>
                <w:szCs w:val="20"/>
              </w:rPr>
            </w:pPr>
            <w:r w:rsidRPr="008E4BB9">
              <w:rPr>
                <w:rFonts w:asciiTheme="majorHAnsi" w:hAnsiTheme="majorHAnsi" w:cstheme="majorHAnsi"/>
                <w:sz w:val="20"/>
                <w:szCs w:val="20"/>
              </w:rPr>
              <w:t>Fitzroy Developmental Road (Bauhinia - Duaringa) (40km north of Bauhinia)</w:t>
            </w:r>
          </w:p>
        </w:tc>
        <w:tc>
          <w:tcPr>
            <w:tcW w:w="992" w:type="dxa"/>
            <w:vAlign w:val="center"/>
          </w:tcPr>
          <w:p w14:paraId="1A7A90D8"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7D6249">
              <w:rPr>
                <w:rFonts w:asciiTheme="majorHAnsi" w:hAnsiTheme="majorHAnsi" w:cstheme="majorHAnsi"/>
                <w:color w:val="035E27" w:themeColor="accent6" w:themeShade="80"/>
              </w:rPr>
              <w:t>●</w:t>
            </w:r>
          </w:p>
        </w:tc>
        <w:tc>
          <w:tcPr>
            <w:tcW w:w="1134" w:type="dxa"/>
            <w:vAlign w:val="center"/>
          </w:tcPr>
          <w:p w14:paraId="6B136ED4"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p>
        </w:tc>
      </w:tr>
      <w:tr w:rsidR="00C77FAA" w:rsidRPr="00793EC4" w14:paraId="5A39022F" w14:textId="77777777" w:rsidTr="00AD64CC">
        <w:trPr>
          <w:trHeight w:val="315"/>
        </w:trPr>
        <w:tc>
          <w:tcPr>
            <w:tcW w:w="969" w:type="dxa"/>
            <w:noWrap/>
            <w:vAlign w:val="center"/>
            <w:hideMark/>
          </w:tcPr>
          <w:p w14:paraId="1C39433A"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sz w:val="18"/>
                <w:szCs w:val="18"/>
              </w:rPr>
              <w:t>8</w:t>
            </w:r>
          </w:p>
        </w:tc>
        <w:tc>
          <w:tcPr>
            <w:tcW w:w="6114" w:type="dxa"/>
            <w:noWrap/>
            <w:vAlign w:val="center"/>
            <w:hideMark/>
          </w:tcPr>
          <w:p w14:paraId="5BD4D7F1" w14:textId="77777777" w:rsidR="00C77FAA" w:rsidRPr="008E4BB9" w:rsidRDefault="00C77FAA" w:rsidP="00AD64CC">
            <w:pPr>
              <w:pStyle w:val="BodyText"/>
              <w:spacing w:before="60" w:after="60" w:line="240" w:lineRule="auto"/>
              <w:rPr>
                <w:rFonts w:asciiTheme="majorHAnsi" w:hAnsiTheme="majorHAnsi" w:cstheme="majorHAnsi"/>
                <w:sz w:val="20"/>
                <w:szCs w:val="20"/>
              </w:rPr>
            </w:pPr>
            <w:r w:rsidRPr="008E4BB9">
              <w:rPr>
                <w:rFonts w:asciiTheme="majorHAnsi" w:hAnsiTheme="majorHAnsi" w:cstheme="majorHAnsi"/>
                <w:sz w:val="20"/>
                <w:szCs w:val="20"/>
              </w:rPr>
              <w:t>Fitzroy Developmental Road (Bauhinia - Duaringa) (45km north of Bauhinia)</w:t>
            </w:r>
          </w:p>
        </w:tc>
        <w:tc>
          <w:tcPr>
            <w:tcW w:w="992" w:type="dxa"/>
            <w:vAlign w:val="center"/>
          </w:tcPr>
          <w:p w14:paraId="0F6D2A85"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p>
        </w:tc>
        <w:tc>
          <w:tcPr>
            <w:tcW w:w="1134" w:type="dxa"/>
            <w:vAlign w:val="center"/>
          </w:tcPr>
          <w:p w14:paraId="6A04EE5B"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color w:val="000000"/>
              </w:rPr>
              <w:t>●</w:t>
            </w:r>
          </w:p>
        </w:tc>
      </w:tr>
      <w:tr w:rsidR="00C77FAA" w:rsidRPr="00793EC4" w14:paraId="4F957328" w14:textId="77777777" w:rsidTr="00AD64CC">
        <w:trPr>
          <w:trHeight w:val="315"/>
        </w:trPr>
        <w:tc>
          <w:tcPr>
            <w:tcW w:w="9209" w:type="dxa"/>
            <w:gridSpan w:val="4"/>
            <w:noWrap/>
            <w:vAlign w:val="center"/>
            <w:hideMark/>
          </w:tcPr>
          <w:p w14:paraId="581598D8" w14:textId="77777777" w:rsidR="00C77FAA" w:rsidRPr="008E4BB9" w:rsidRDefault="00C77FAA" w:rsidP="00AD64CC">
            <w:pPr>
              <w:pStyle w:val="BodyText"/>
              <w:rPr>
                <w:rFonts w:asciiTheme="majorHAnsi" w:hAnsiTheme="majorHAnsi" w:cstheme="majorHAnsi"/>
                <w:b/>
                <w:bCs/>
                <w:sz w:val="20"/>
                <w:szCs w:val="20"/>
              </w:rPr>
            </w:pPr>
            <w:r w:rsidRPr="008E4BB9">
              <w:rPr>
                <w:rFonts w:asciiTheme="majorHAnsi" w:hAnsiTheme="majorHAnsi" w:cstheme="majorHAnsi"/>
                <w:b/>
                <w:bCs/>
                <w:sz w:val="20"/>
                <w:szCs w:val="20"/>
              </w:rPr>
              <w:t>Duaringa - Apis Creek Road - approximately 8 kilometres of sealing</w:t>
            </w:r>
          </w:p>
        </w:tc>
      </w:tr>
      <w:tr w:rsidR="00C77FAA" w:rsidRPr="00793EC4" w14:paraId="6D0EE095" w14:textId="77777777" w:rsidTr="00AD64CC">
        <w:trPr>
          <w:trHeight w:val="315"/>
        </w:trPr>
        <w:tc>
          <w:tcPr>
            <w:tcW w:w="969" w:type="dxa"/>
            <w:noWrap/>
            <w:vAlign w:val="center"/>
            <w:hideMark/>
          </w:tcPr>
          <w:p w14:paraId="336F9375"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sz w:val="18"/>
                <w:szCs w:val="18"/>
              </w:rPr>
              <w:t>9</w:t>
            </w:r>
          </w:p>
        </w:tc>
        <w:tc>
          <w:tcPr>
            <w:tcW w:w="6114" w:type="dxa"/>
            <w:noWrap/>
            <w:vAlign w:val="center"/>
            <w:hideMark/>
          </w:tcPr>
          <w:p w14:paraId="5A78C5BF" w14:textId="77777777" w:rsidR="00C77FAA" w:rsidRPr="008E4BB9" w:rsidRDefault="00C77FAA" w:rsidP="00AD64CC">
            <w:pPr>
              <w:pStyle w:val="BodyText"/>
              <w:spacing w:before="60" w:after="60" w:line="240" w:lineRule="auto"/>
              <w:rPr>
                <w:rFonts w:asciiTheme="majorHAnsi" w:hAnsiTheme="majorHAnsi" w:cstheme="majorHAnsi"/>
                <w:sz w:val="20"/>
                <w:szCs w:val="20"/>
              </w:rPr>
            </w:pPr>
            <w:r w:rsidRPr="008E4BB9">
              <w:rPr>
                <w:rFonts w:asciiTheme="majorHAnsi" w:hAnsiTheme="majorHAnsi" w:cstheme="majorHAnsi"/>
                <w:sz w:val="20"/>
                <w:szCs w:val="20"/>
              </w:rPr>
              <w:t>Duaringa - Apis Creek Road (3km north of Duaringa)</w:t>
            </w:r>
          </w:p>
        </w:tc>
        <w:tc>
          <w:tcPr>
            <w:tcW w:w="992" w:type="dxa"/>
            <w:vAlign w:val="center"/>
          </w:tcPr>
          <w:p w14:paraId="66470CD9"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p>
        </w:tc>
        <w:tc>
          <w:tcPr>
            <w:tcW w:w="1134" w:type="dxa"/>
            <w:vAlign w:val="center"/>
          </w:tcPr>
          <w:p w14:paraId="4EC4C037"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color w:val="000000"/>
              </w:rPr>
              <w:t>●</w:t>
            </w:r>
          </w:p>
        </w:tc>
      </w:tr>
      <w:tr w:rsidR="00C77FAA" w:rsidRPr="00793EC4" w14:paraId="71AE7009" w14:textId="77777777" w:rsidTr="00AD64CC">
        <w:trPr>
          <w:trHeight w:val="315"/>
        </w:trPr>
        <w:tc>
          <w:tcPr>
            <w:tcW w:w="9209" w:type="dxa"/>
            <w:gridSpan w:val="4"/>
            <w:noWrap/>
            <w:vAlign w:val="center"/>
            <w:hideMark/>
          </w:tcPr>
          <w:p w14:paraId="6ECAB5D4" w14:textId="77777777" w:rsidR="00C77FAA" w:rsidRPr="008E4BB9" w:rsidRDefault="00C77FAA" w:rsidP="00AD64CC">
            <w:pPr>
              <w:pStyle w:val="BodyText"/>
              <w:rPr>
                <w:rFonts w:asciiTheme="majorHAnsi" w:hAnsiTheme="majorHAnsi" w:cstheme="majorHAnsi"/>
                <w:b/>
                <w:bCs/>
                <w:sz w:val="20"/>
                <w:szCs w:val="20"/>
              </w:rPr>
            </w:pPr>
            <w:r w:rsidRPr="008E4BB9">
              <w:rPr>
                <w:rFonts w:asciiTheme="majorHAnsi" w:hAnsiTheme="majorHAnsi" w:cstheme="majorHAnsi"/>
                <w:b/>
                <w:bCs/>
                <w:sz w:val="20"/>
                <w:szCs w:val="20"/>
              </w:rPr>
              <w:t>Dawson Developmental Road (Springsure - Tambo) – approximately 20 kilometres of sealing</w:t>
            </w:r>
          </w:p>
        </w:tc>
      </w:tr>
      <w:tr w:rsidR="00C77FAA" w:rsidRPr="00793EC4" w14:paraId="0C3F221E" w14:textId="77777777" w:rsidTr="00AD64CC">
        <w:trPr>
          <w:trHeight w:val="300"/>
        </w:trPr>
        <w:tc>
          <w:tcPr>
            <w:tcW w:w="969" w:type="dxa"/>
            <w:noWrap/>
            <w:vAlign w:val="center"/>
            <w:hideMark/>
          </w:tcPr>
          <w:p w14:paraId="4C0D0A5F"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sz w:val="18"/>
                <w:szCs w:val="18"/>
              </w:rPr>
              <w:t>10</w:t>
            </w:r>
          </w:p>
        </w:tc>
        <w:tc>
          <w:tcPr>
            <w:tcW w:w="6114" w:type="dxa"/>
            <w:noWrap/>
            <w:vAlign w:val="center"/>
            <w:hideMark/>
          </w:tcPr>
          <w:p w14:paraId="2B53B727" w14:textId="77777777" w:rsidR="00C77FAA" w:rsidRPr="008E4BB9" w:rsidRDefault="00C77FAA" w:rsidP="00AD64CC">
            <w:pPr>
              <w:pStyle w:val="BodyText"/>
              <w:spacing w:before="60" w:after="60" w:line="240" w:lineRule="auto"/>
              <w:rPr>
                <w:rFonts w:asciiTheme="majorHAnsi" w:hAnsiTheme="majorHAnsi" w:cstheme="majorHAnsi"/>
                <w:sz w:val="20"/>
                <w:szCs w:val="20"/>
              </w:rPr>
            </w:pPr>
            <w:r w:rsidRPr="008E4BB9">
              <w:rPr>
                <w:rFonts w:asciiTheme="majorHAnsi" w:hAnsiTheme="majorHAnsi" w:cstheme="majorHAnsi"/>
                <w:sz w:val="20"/>
                <w:szCs w:val="20"/>
              </w:rPr>
              <w:t>Dawson Developmental Road (Springsure - Tambo) (75km west of Springsure)</w:t>
            </w:r>
          </w:p>
        </w:tc>
        <w:tc>
          <w:tcPr>
            <w:tcW w:w="992" w:type="dxa"/>
            <w:vAlign w:val="center"/>
          </w:tcPr>
          <w:p w14:paraId="45A62870"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color w:val="000000"/>
              </w:rPr>
              <w:t>●</w:t>
            </w:r>
          </w:p>
        </w:tc>
        <w:tc>
          <w:tcPr>
            <w:tcW w:w="1134" w:type="dxa"/>
            <w:vAlign w:val="center"/>
          </w:tcPr>
          <w:p w14:paraId="126A1F4A"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p>
        </w:tc>
      </w:tr>
      <w:tr w:rsidR="00C77FAA" w:rsidRPr="00793EC4" w14:paraId="25461C0B" w14:textId="77777777" w:rsidTr="00AD64CC">
        <w:trPr>
          <w:trHeight w:val="315"/>
        </w:trPr>
        <w:tc>
          <w:tcPr>
            <w:tcW w:w="969" w:type="dxa"/>
            <w:noWrap/>
            <w:vAlign w:val="center"/>
            <w:hideMark/>
          </w:tcPr>
          <w:p w14:paraId="6D0C9045"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sz w:val="18"/>
                <w:szCs w:val="18"/>
              </w:rPr>
              <w:t>11</w:t>
            </w:r>
          </w:p>
        </w:tc>
        <w:tc>
          <w:tcPr>
            <w:tcW w:w="6114" w:type="dxa"/>
            <w:noWrap/>
            <w:vAlign w:val="center"/>
            <w:hideMark/>
          </w:tcPr>
          <w:p w14:paraId="160789D3" w14:textId="77777777" w:rsidR="00C77FAA" w:rsidRPr="008E4BB9" w:rsidRDefault="00C77FAA" w:rsidP="00AD64CC">
            <w:pPr>
              <w:pStyle w:val="BodyText"/>
              <w:spacing w:before="60" w:after="60" w:line="240" w:lineRule="auto"/>
              <w:rPr>
                <w:rFonts w:asciiTheme="majorHAnsi" w:hAnsiTheme="majorHAnsi" w:cstheme="majorHAnsi"/>
                <w:sz w:val="20"/>
                <w:szCs w:val="20"/>
              </w:rPr>
            </w:pPr>
            <w:r w:rsidRPr="008E4BB9">
              <w:rPr>
                <w:rFonts w:asciiTheme="majorHAnsi" w:hAnsiTheme="majorHAnsi" w:cstheme="majorHAnsi"/>
                <w:sz w:val="20"/>
                <w:szCs w:val="20"/>
              </w:rPr>
              <w:t>Dawson Developmental Road (Springsure - Tambo) (85km west of Springsure)</w:t>
            </w:r>
          </w:p>
        </w:tc>
        <w:tc>
          <w:tcPr>
            <w:tcW w:w="992" w:type="dxa"/>
            <w:vAlign w:val="center"/>
          </w:tcPr>
          <w:p w14:paraId="3A3F26B7"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color w:val="000000"/>
              </w:rPr>
              <w:t>●</w:t>
            </w:r>
          </w:p>
        </w:tc>
        <w:tc>
          <w:tcPr>
            <w:tcW w:w="1134" w:type="dxa"/>
            <w:vAlign w:val="center"/>
          </w:tcPr>
          <w:p w14:paraId="23BD03C3"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color w:val="000000"/>
              </w:rPr>
              <w:t>●</w:t>
            </w:r>
          </w:p>
        </w:tc>
      </w:tr>
      <w:tr w:rsidR="00C77FAA" w:rsidRPr="00793EC4" w14:paraId="7F737463" w14:textId="77777777" w:rsidTr="00AD64CC">
        <w:trPr>
          <w:trHeight w:val="315"/>
        </w:trPr>
        <w:tc>
          <w:tcPr>
            <w:tcW w:w="9209" w:type="dxa"/>
            <w:gridSpan w:val="4"/>
            <w:noWrap/>
            <w:vAlign w:val="center"/>
            <w:hideMark/>
          </w:tcPr>
          <w:p w14:paraId="0DAEA16C" w14:textId="77777777" w:rsidR="00C77FAA" w:rsidRPr="008E4BB9" w:rsidRDefault="00C77FAA" w:rsidP="00AD64CC">
            <w:pPr>
              <w:pStyle w:val="BodyText"/>
              <w:rPr>
                <w:rFonts w:asciiTheme="majorHAnsi" w:hAnsiTheme="majorHAnsi" w:cstheme="majorHAnsi"/>
                <w:b/>
                <w:bCs/>
                <w:sz w:val="20"/>
                <w:szCs w:val="20"/>
              </w:rPr>
            </w:pPr>
            <w:r w:rsidRPr="008E4BB9">
              <w:rPr>
                <w:rFonts w:asciiTheme="majorHAnsi" w:hAnsiTheme="majorHAnsi" w:cstheme="majorHAnsi"/>
                <w:b/>
                <w:bCs/>
                <w:sz w:val="20"/>
                <w:szCs w:val="20"/>
              </w:rPr>
              <w:t>Alpha - Tambo Road – approximately 20 kilometres of sealing</w:t>
            </w:r>
          </w:p>
        </w:tc>
      </w:tr>
      <w:tr w:rsidR="00C77FAA" w:rsidRPr="00793EC4" w14:paraId="6E07BAE5" w14:textId="77777777" w:rsidTr="00AD64CC">
        <w:trPr>
          <w:trHeight w:val="300"/>
        </w:trPr>
        <w:tc>
          <w:tcPr>
            <w:tcW w:w="969" w:type="dxa"/>
            <w:tcBorders>
              <w:bottom w:val="single" w:sz="4" w:space="0" w:color="auto"/>
            </w:tcBorders>
            <w:noWrap/>
            <w:vAlign w:val="center"/>
            <w:hideMark/>
          </w:tcPr>
          <w:p w14:paraId="0B44F719"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sz w:val="18"/>
                <w:szCs w:val="18"/>
              </w:rPr>
              <w:t>12</w:t>
            </w:r>
          </w:p>
        </w:tc>
        <w:tc>
          <w:tcPr>
            <w:tcW w:w="6114" w:type="dxa"/>
            <w:tcBorders>
              <w:bottom w:val="single" w:sz="4" w:space="0" w:color="auto"/>
            </w:tcBorders>
            <w:noWrap/>
            <w:vAlign w:val="center"/>
            <w:hideMark/>
          </w:tcPr>
          <w:p w14:paraId="6FC83ABE" w14:textId="77777777" w:rsidR="00C77FAA" w:rsidRPr="008E4BB9" w:rsidRDefault="00C77FAA" w:rsidP="00AD64CC">
            <w:pPr>
              <w:pStyle w:val="BodyText"/>
              <w:spacing w:before="60" w:after="60" w:line="240" w:lineRule="auto"/>
              <w:rPr>
                <w:rFonts w:asciiTheme="majorHAnsi" w:hAnsiTheme="majorHAnsi" w:cstheme="majorHAnsi"/>
                <w:sz w:val="20"/>
                <w:szCs w:val="20"/>
              </w:rPr>
            </w:pPr>
            <w:r w:rsidRPr="008E4BB9">
              <w:rPr>
                <w:rFonts w:asciiTheme="majorHAnsi" w:hAnsiTheme="majorHAnsi" w:cstheme="majorHAnsi"/>
                <w:sz w:val="20"/>
                <w:szCs w:val="20"/>
              </w:rPr>
              <w:t>Alpha - Tambo Road (45km south of Alpha)</w:t>
            </w:r>
          </w:p>
        </w:tc>
        <w:tc>
          <w:tcPr>
            <w:tcW w:w="992" w:type="dxa"/>
            <w:tcBorders>
              <w:bottom w:val="single" w:sz="4" w:space="0" w:color="auto"/>
            </w:tcBorders>
            <w:vAlign w:val="center"/>
          </w:tcPr>
          <w:p w14:paraId="6F8281DB"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color w:val="000000"/>
              </w:rPr>
              <w:t>●</w:t>
            </w:r>
          </w:p>
        </w:tc>
        <w:tc>
          <w:tcPr>
            <w:tcW w:w="1134" w:type="dxa"/>
            <w:tcBorders>
              <w:bottom w:val="single" w:sz="4" w:space="0" w:color="auto"/>
            </w:tcBorders>
            <w:vAlign w:val="center"/>
          </w:tcPr>
          <w:p w14:paraId="7CBCB20E"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color w:val="000000"/>
              </w:rPr>
              <w:t>●</w:t>
            </w:r>
          </w:p>
        </w:tc>
      </w:tr>
      <w:tr w:rsidR="00C77FAA" w:rsidRPr="00793EC4" w14:paraId="5171FAA3" w14:textId="77777777" w:rsidTr="00AD64CC">
        <w:trPr>
          <w:trHeight w:val="315"/>
        </w:trPr>
        <w:tc>
          <w:tcPr>
            <w:tcW w:w="969" w:type="dxa"/>
            <w:noWrap/>
            <w:vAlign w:val="center"/>
            <w:hideMark/>
          </w:tcPr>
          <w:p w14:paraId="3999CE1D"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sz w:val="18"/>
                <w:szCs w:val="18"/>
              </w:rPr>
              <w:t>13</w:t>
            </w:r>
          </w:p>
        </w:tc>
        <w:tc>
          <w:tcPr>
            <w:tcW w:w="6114" w:type="dxa"/>
            <w:noWrap/>
            <w:vAlign w:val="center"/>
            <w:hideMark/>
          </w:tcPr>
          <w:p w14:paraId="5C85102A" w14:textId="77777777" w:rsidR="00C77FAA" w:rsidRPr="008E4BB9" w:rsidRDefault="00C77FAA" w:rsidP="00AD64CC">
            <w:pPr>
              <w:pStyle w:val="BodyText"/>
              <w:spacing w:before="60" w:after="60" w:line="240" w:lineRule="auto"/>
              <w:rPr>
                <w:rFonts w:asciiTheme="majorHAnsi" w:hAnsiTheme="majorHAnsi" w:cstheme="majorHAnsi"/>
                <w:sz w:val="20"/>
                <w:szCs w:val="20"/>
              </w:rPr>
            </w:pPr>
            <w:r w:rsidRPr="008E4BB9">
              <w:rPr>
                <w:rFonts w:asciiTheme="majorHAnsi" w:hAnsiTheme="majorHAnsi" w:cstheme="majorHAnsi"/>
                <w:sz w:val="20"/>
                <w:szCs w:val="20"/>
              </w:rPr>
              <w:t>Alpha - Tambo Road (83km south of Alpha)</w:t>
            </w:r>
          </w:p>
        </w:tc>
        <w:tc>
          <w:tcPr>
            <w:tcW w:w="992" w:type="dxa"/>
            <w:vAlign w:val="center"/>
          </w:tcPr>
          <w:p w14:paraId="77CA0F18"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7D6249">
              <w:rPr>
                <w:rFonts w:asciiTheme="majorHAnsi" w:hAnsiTheme="majorHAnsi" w:cstheme="majorHAnsi"/>
                <w:color w:val="035E27" w:themeColor="accent6" w:themeShade="80"/>
              </w:rPr>
              <w:t>●</w:t>
            </w:r>
          </w:p>
        </w:tc>
        <w:tc>
          <w:tcPr>
            <w:tcW w:w="1134" w:type="dxa"/>
            <w:vAlign w:val="center"/>
          </w:tcPr>
          <w:p w14:paraId="1DB204E1"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p>
        </w:tc>
      </w:tr>
      <w:tr w:rsidR="00C77FAA" w:rsidRPr="00793EC4" w14:paraId="1FBCCE0B" w14:textId="77777777" w:rsidTr="00AD64CC">
        <w:trPr>
          <w:trHeight w:val="315"/>
        </w:trPr>
        <w:tc>
          <w:tcPr>
            <w:tcW w:w="9209" w:type="dxa"/>
            <w:gridSpan w:val="4"/>
            <w:noWrap/>
            <w:vAlign w:val="center"/>
            <w:hideMark/>
          </w:tcPr>
          <w:p w14:paraId="1CA92352" w14:textId="77777777" w:rsidR="00C77FAA" w:rsidRPr="008E4BB9" w:rsidRDefault="00C77FAA" w:rsidP="00AD64CC">
            <w:pPr>
              <w:pStyle w:val="BodyText"/>
              <w:rPr>
                <w:rFonts w:asciiTheme="majorHAnsi" w:hAnsiTheme="majorHAnsi" w:cstheme="majorHAnsi"/>
                <w:b/>
                <w:bCs/>
                <w:sz w:val="20"/>
                <w:szCs w:val="20"/>
              </w:rPr>
            </w:pPr>
            <w:r w:rsidRPr="008E4BB9">
              <w:rPr>
                <w:rFonts w:asciiTheme="majorHAnsi" w:hAnsiTheme="majorHAnsi" w:cstheme="majorHAnsi"/>
                <w:b/>
                <w:bCs/>
                <w:sz w:val="20"/>
                <w:szCs w:val="20"/>
              </w:rPr>
              <w:t>Clermont - Alpha Road – approximately 40 kilometres of sealing</w:t>
            </w:r>
          </w:p>
        </w:tc>
      </w:tr>
      <w:tr w:rsidR="00C77FAA" w:rsidRPr="00793EC4" w14:paraId="6712AFC5" w14:textId="77777777" w:rsidTr="00AD64CC">
        <w:trPr>
          <w:trHeight w:val="300"/>
        </w:trPr>
        <w:tc>
          <w:tcPr>
            <w:tcW w:w="969" w:type="dxa"/>
            <w:noWrap/>
            <w:vAlign w:val="center"/>
            <w:hideMark/>
          </w:tcPr>
          <w:p w14:paraId="293939E3"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sz w:val="18"/>
                <w:szCs w:val="18"/>
              </w:rPr>
              <w:t>14</w:t>
            </w:r>
          </w:p>
        </w:tc>
        <w:tc>
          <w:tcPr>
            <w:tcW w:w="6114" w:type="dxa"/>
            <w:noWrap/>
            <w:vAlign w:val="center"/>
            <w:hideMark/>
          </w:tcPr>
          <w:p w14:paraId="136E94A8" w14:textId="77777777" w:rsidR="00C77FAA" w:rsidRPr="008E4BB9" w:rsidRDefault="00C77FAA" w:rsidP="00AD64CC">
            <w:pPr>
              <w:pStyle w:val="BodyText"/>
              <w:spacing w:before="60" w:after="60" w:line="240" w:lineRule="auto"/>
              <w:rPr>
                <w:rFonts w:asciiTheme="majorHAnsi" w:hAnsiTheme="majorHAnsi" w:cstheme="majorHAnsi"/>
                <w:sz w:val="20"/>
                <w:szCs w:val="20"/>
              </w:rPr>
            </w:pPr>
            <w:r w:rsidRPr="008E4BB9">
              <w:rPr>
                <w:rFonts w:asciiTheme="majorHAnsi" w:hAnsiTheme="majorHAnsi" w:cstheme="majorHAnsi"/>
                <w:sz w:val="20"/>
                <w:szCs w:val="20"/>
              </w:rPr>
              <w:t>Clermont - Alpha Road (103km west of Clermont)</w:t>
            </w:r>
          </w:p>
        </w:tc>
        <w:tc>
          <w:tcPr>
            <w:tcW w:w="992" w:type="dxa"/>
            <w:vAlign w:val="center"/>
          </w:tcPr>
          <w:p w14:paraId="1449A6AF"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p>
        </w:tc>
        <w:tc>
          <w:tcPr>
            <w:tcW w:w="1134" w:type="dxa"/>
            <w:vAlign w:val="center"/>
          </w:tcPr>
          <w:p w14:paraId="688C3D25"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color w:val="000000"/>
              </w:rPr>
              <w:t>●</w:t>
            </w:r>
          </w:p>
        </w:tc>
      </w:tr>
      <w:tr w:rsidR="00C77FAA" w:rsidRPr="00793EC4" w14:paraId="518560D7" w14:textId="77777777" w:rsidTr="00AD64CC">
        <w:trPr>
          <w:trHeight w:val="300"/>
        </w:trPr>
        <w:tc>
          <w:tcPr>
            <w:tcW w:w="969" w:type="dxa"/>
            <w:tcBorders>
              <w:bottom w:val="single" w:sz="4" w:space="0" w:color="auto"/>
            </w:tcBorders>
            <w:noWrap/>
            <w:vAlign w:val="center"/>
            <w:hideMark/>
          </w:tcPr>
          <w:p w14:paraId="52EE1805"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sz w:val="18"/>
                <w:szCs w:val="18"/>
              </w:rPr>
              <w:t>15</w:t>
            </w:r>
          </w:p>
        </w:tc>
        <w:tc>
          <w:tcPr>
            <w:tcW w:w="6114" w:type="dxa"/>
            <w:tcBorders>
              <w:bottom w:val="single" w:sz="4" w:space="0" w:color="auto"/>
            </w:tcBorders>
            <w:noWrap/>
            <w:vAlign w:val="center"/>
            <w:hideMark/>
          </w:tcPr>
          <w:p w14:paraId="131C5089" w14:textId="77777777" w:rsidR="00C77FAA" w:rsidRPr="008E4BB9" w:rsidRDefault="00C77FAA" w:rsidP="00AD64CC">
            <w:pPr>
              <w:pStyle w:val="BodyText"/>
              <w:spacing w:before="60" w:after="60" w:line="240" w:lineRule="auto"/>
              <w:rPr>
                <w:rFonts w:asciiTheme="majorHAnsi" w:hAnsiTheme="majorHAnsi" w:cstheme="majorHAnsi"/>
                <w:sz w:val="20"/>
                <w:szCs w:val="20"/>
              </w:rPr>
            </w:pPr>
            <w:r w:rsidRPr="008E4BB9">
              <w:rPr>
                <w:rFonts w:asciiTheme="majorHAnsi" w:hAnsiTheme="majorHAnsi" w:cstheme="majorHAnsi"/>
                <w:sz w:val="20"/>
                <w:szCs w:val="20"/>
              </w:rPr>
              <w:t>Clermont - Alpha Road (89km west of Clermont)</w:t>
            </w:r>
          </w:p>
        </w:tc>
        <w:tc>
          <w:tcPr>
            <w:tcW w:w="992" w:type="dxa"/>
            <w:tcBorders>
              <w:bottom w:val="single" w:sz="4" w:space="0" w:color="auto"/>
            </w:tcBorders>
            <w:vAlign w:val="center"/>
          </w:tcPr>
          <w:p w14:paraId="404A4DA5"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color w:val="000000"/>
              </w:rPr>
              <w:t>●</w:t>
            </w:r>
          </w:p>
        </w:tc>
        <w:tc>
          <w:tcPr>
            <w:tcW w:w="1134" w:type="dxa"/>
            <w:tcBorders>
              <w:bottom w:val="single" w:sz="4" w:space="0" w:color="auto"/>
            </w:tcBorders>
            <w:vAlign w:val="center"/>
          </w:tcPr>
          <w:p w14:paraId="7D917D6B"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color w:val="000000"/>
              </w:rPr>
              <w:t>●</w:t>
            </w:r>
          </w:p>
        </w:tc>
      </w:tr>
      <w:tr w:rsidR="00C77FAA" w:rsidRPr="00793EC4" w14:paraId="2C573F7C" w14:textId="77777777" w:rsidTr="00AD64CC">
        <w:trPr>
          <w:trHeight w:val="300"/>
        </w:trPr>
        <w:tc>
          <w:tcPr>
            <w:tcW w:w="969" w:type="dxa"/>
            <w:noWrap/>
            <w:vAlign w:val="center"/>
            <w:hideMark/>
          </w:tcPr>
          <w:p w14:paraId="04E0F266"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sz w:val="18"/>
                <w:szCs w:val="18"/>
              </w:rPr>
              <w:t>16</w:t>
            </w:r>
          </w:p>
        </w:tc>
        <w:tc>
          <w:tcPr>
            <w:tcW w:w="6114" w:type="dxa"/>
            <w:noWrap/>
            <w:vAlign w:val="center"/>
            <w:hideMark/>
          </w:tcPr>
          <w:p w14:paraId="44BFE1CF" w14:textId="77777777" w:rsidR="00C77FAA" w:rsidRPr="008E4BB9" w:rsidRDefault="00C77FAA" w:rsidP="00AD64CC">
            <w:pPr>
              <w:pStyle w:val="BodyText"/>
              <w:spacing w:before="60" w:after="60" w:line="240" w:lineRule="auto"/>
              <w:rPr>
                <w:rFonts w:asciiTheme="majorHAnsi" w:hAnsiTheme="majorHAnsi" w:cstheme="majorHAnsi"/>
                <w:sz w:val="20"/>
                <w:szCs w:val="20"/>
              </w:rPr>
            </w:pPr>
            <w:r w:rsidRPr="008E4BB9">
              <w:rPr>
                <w:rFonts w:asciiTheme="majorHAnsi" w:hAnsiTheme="majorHAnsi" w:cstheme="majorHAnsi"/>
                <w:sz w:val="20"/>
                <w:szCs w:val="20"/>
              </w:rPr>
              <w:t>Clermont - Alpha Road (86km west of Clermont)</w:t>
            </w:r>
          </w:p>
        </w:tc>
        <w:tc>
          <w:tcPr>
            <w:tcW w:w="992" w:type="dxa"/>
            <w:vAlign w:val="center"/>
          </w:tcPr>
          <w:p w14:paraId="1046A93B" w14:textId="77777777" w:rsidR="00C77FAA" w:rsidRPr="008E4BB9" w:rsidRDefault="00C77FAA" w:rsidP="00AD64CC">
            <w:pPr>
              <w:pStyle w:val="BodyText"/>
              <w:spacing w:before="60" w:after="60" w:line="240" w:lineRule="auto"/>
              <w:jc w:val="center"/>
              <w:rPr>
                <w:rFonts w:asciiTheme="majorHAnsi" w:hAnsiTheme="majorHAnsi" w:cstheme="majorHAnsi"/>
                <w:color w:val="47F98F" w:themeColor="accent6" w:themeTint="99"/>
                <w:sz w:val="18"/>
                <w:szCs w:val="18"/>
              </w:rPr>
            </w:pPr>
            <w:r w:rsidRPr="007D6249">
              <w:rPr>
                <w:rFonts w:asciiTheme="majorHAnsi" w:hAnsiTheme="majorHAnsi" w:cstheme="majorHAnsi"/>
                <w:color w:val="035E27" w:themeColor="accent6" w:themeShade="80"/>
              </w:rPr>
              <w:t>●</w:t>
            </w:r>
          </w:p>
        </w:tc>
        <w:tc>
          <w:tcPr>
            <w:tcW w:w="1134" w:type="dxa"/>
            <w:vAlign w:val="center"/>
          </w:tcPr>
          <w:p w14:paraId="01D6E68C"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p>
        </w:tc>
      </w:tr>
      <w:tr w:rsidR="00C77FAA" w:rsidRPr="00793EC4" w14:paraId="282D20F2" w14:textId="77777777" w:rsidTr="00AD64CC">
        <w:trPr>
          <w:trHeight w:val="300"/>
        </w:trPr>
        <w:tc>
          <w:tcPr>
            <w:tcW w:w="969" w:type="dxa"/>
            <w:noWrap/>
            <w:vAlign w:val="center"/>
            <w:hideMark/>
          </w:tcPr>
          <w:p w14:paraId="2A2B3B7D"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sz w:val="18"/>
                <w:szCs w:val="18"/>
              </w:rPr>
              <w:t>17</w:t>
            </w:r>
          </w:p>
        </w:tc>
        <w:tc>
          <w:tcPr>
            <w:tcW w:w="6114" w:type="dxa"/>
            <w:noWrap/>
            <w:vAlign w:val="center"/>
            <w:hideMark/>
          </w:tcPr>
          <w:p w14:paraId="5795E0CF" w14:textId="77777777" w:rsidR="00C77FAA" w:rsidRPr="008E4BB9" w:rsidRDefault="00C77FAA" w:rsidP="00AD64CC">
            <w:pPr>
              <w:pStyle w:val="BodyText"/>
              <w:spacing w:before="60" w:after="60" w:line="240" w:lineRule="auto"/>
              <w:rPr>
                <w:rFonts w:asciiTheme="majorHAnsi" w:hAnsiTheme="majorHAnsi" w:cstheme="majorHAnsi"/>
                <w:sz w:val="20"/>
                <w:szCs w:val="20"/>
              </w:rPr>
            </w:pPr>
            <w:r w:rsidRPr="008E4BB9">
              <w:rPr>
                <w:rFonts w:asciiTheme="majorHAnsi" w:hAnsiTheme="majorHAnsi" w:cstheme="majorHAnsi"/>
                <w:sz w:val="20"/>
                <w:szCs w:val="20"/>
              </w:rPr>
              <w:t>Clermont - Alpha Road (55km west of Clermont)</w:t>
            </w:r>
          </w:p>
        </w:tc>
        <w:tc>
          <w:tcPr>
            <w:tcW w:w="992" w:type="dxa"/>
            <w:vAlign w:val="center"/>
          </w:tcPr>
          <w:p w14:paraId="2BDE3A18"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p>
        </w:tc>
        <w:tc>
          <w:tcPr>
            <w:tcW w:w="1134" w:type="dxa"/>
            <w:vAlign w:val="center"/>
          </w:tcPr>
          <w:p w14:paraId="07677CD8"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color w:val="000000"/>
              </w:rPr>
              <w:t>●</w:t>
            </w:r>
          </w:p>
        </w:tc>
      </w:tr>
      <w:tr w:rsidR="00C77FAA" w:rsidRPr="00793EC4" w14:paraId="4D94DA4D" w14:textId="77777777" w:rsidTr="00AD64CC">
        <w:trPr>
          <w:trHeight w:val="300"/>
        </w:trPr>
        <w:tc>
          <w:tcPr>
            <w:tcW w:w="969" w:type="dxa"/>
            <w:tcBorders>
              <w:bottom w:val="single" w:sz="4" w:space="0" w:color="auto"/>
            </w:tcBorders>
            <w:noWrap/>
            <w:vAlign w:val="center"/>
            <w:hideMark/>
          </w:tcPr>
          <w:p w14:paraId="66559969"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sz w:val="18"/>
                <w:szCs w:val="18"/>
              </w:rPr>
              <w:t>18</w:t>
            </w:r>
          </w:p>
        </w:tc>
        <w:tc>
          <w:tcPr>
            <w:tcW w:w="6114" w:type="dxa"/>
            <w:tcBorders>
              <w:bottom w:val="single" w:sz="4" w:space="0" w:color="auto"/>
            </w:tcBorders>
            <w:noWrap/>
            <w:vAlign w:val="center"/>
            <w:hideMark/>
          </w:tcPr>
          <w:p w14:paraId="7CEB4581" w14:textId="77777777" w:rsidR="00C77FAA" w:rsidRPr="008E4BB9" w:rsidRDefault="00C77FAA" w:rsidP="00AD64CC">
            <w:pPr>
              <w:pStyle w:val="BodyText"/>
              <w:spacing w:before="60" w:after="60" w:line="240" w:lineRule="auto"/>
              <w:rPr>
                <w:rFonts w:asciiTheme="majorHAnsi" w:hAnsiTheme="majorHAnsi" w:cstheme="majorHAnsi"/>
                <w:sz w:val="20"/>
                <w:szCs w:val="20"/>
              </w:rPr>
            </w:pPr>
            <w:r w:rsidRPr="008E4BB9">
              <w:rPr>
                <w:rFonts w:asciiTheme="majorHAnsi" w:hAnsiTheme="majorHAnsi" w:cstheme="majorHAnsi"/>
                <w:sz w:val="20"/>
                <w:szCs w:val="20"/>
              </w:rPr>
              <w:t>Clermont - Alpha Road (45km west of Clermont)</w:t>
            </w:r>
          </w:p>
        </w:tc>
        <w:tc>
          <w:tcPr>
            <w:tcW w:w="992" w:type="dxa"/>
            <w:tcBorders>
              <w:bottom w:val="single" w:sz="4" w:space="0" w:color="auto"/>
            </w:tcBorders>
            <w:vAlign w:val="center"/>
          </w:tcPr>
          <w:p w14:paraId="68D6696F"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p>
        </w:tc>
        <w:tc>
          <w:tcPr>
            <w:tcW w:w="1134" w:type="dxa"/>
            <w:tcBorders>
              <w:bottom w:val="single" w:sz="4" w:space="0" w:color="auto"/>
            </w:tcBorders>
            <w:vAlign w:val="center"/>
          </w:tcPr>
          <w:p w14:paraId="0497C608"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color w:val="000000"/>
              </w:rPr>
              <w:t>●</w:t>
            </w:r>
          </w:p>
        </w:tc>
      </w:tr>
      <w:tr w:rsidR="00C77FAA" w:rsidRPr="00793EC4" w14:paraId="10473158" w14:textId="77777777" w:rsidTr="00AD64CC">
        <w:trPr>
          <w:trHeight w:val="315"/>
        </w:trPr>
        <w:tc>
          <w:tcPr>
            <w:tcW w:w="969" w:type="dxa"/>
            <w:noWrap/>
            <w:vAlign w:val="center"/>
            <w:hideMark/>
          </w:tcPr>
          <w:p w14:paraId="62879B0E"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sz w:val="18"/>
                <w:szCs w:val="18"/>
              </w:rPr>
              <w:t>19</w:t>
            </w:r>
          </w:p>
        </w:tc>
        <w:tc>
          <w:tcPr>
            <w:tcW w:w="6114" w:type="dxa"/>
            <w:noWrap/>
            <w:vAlign w:val="center"/>
            <w:hideMark/>
          </w:tcPr>
          <w:p w14:paraId="0754552F" w14:textId="77777777" w:rsidR="00C77FAA" w:rsidRPr="008E4BB9" w:rsidRDefault="00C77FAA" w:rsidP="00AD64CC">
            <w:pPr>
              <w:pStyle w:val="BodyText"/>
              <w:spacing w:before="60" w:after="60" w:line="240" w:lineRule="auto"/>
              <w:rPr>
                <w:rFonts w:asciiTheme="majorHAnsi" w:hAnsiTheme="majorHAnsi" w:cstheme="majorHAnsi"/>
                <w:sz w:val="20"/>
                <w:szCs w:val="20"/>
              </w:rPr>
            </w:pPr>
            <w:r w:rsidRPr="008E4BB9">
              <w:rPr>
                <w:rFonts w:asciiTheme="majorHAnsi" w:hAnsiTheme="majorHAnsi" w:cstheme="majorHAnsi"/>
                <w:sz w:val="20"/>
                <w:szCs w:val="20"/>
              </w:rPr>
              <w:t>Clermont - Alpha Road (42km west of Clermont)</w:t>
            </w:r>
          </w:p>
        </w:tc>
        <w:tc>
          <w:tcPr>
            <w:tcW w:w="992" w:type="dxa"/>
            <w:vAlign w:val="center"/>
          </w:tcPr>
          <w:p w14:paraId="4954B188" w14:textId="77777777" w:rsidR="00C77FAA" w:rsidRPr="008E4BB9" w:rsidRDefault="00C77FAA" w:rsidP="00AD64CC">
            <w:pPr>
              <w:pStyle w:val="BodyText"/>
              <w:spacing w:before="60" w:after="60" w:line="240" w:lineRule="auto"/>
              <w:jc w:val="center"/>
              <w:rPr>
                <w:rFonts w:asciiTheme="majorHAnsi" w:hAnsiTheme="majorHAnsi" w:cstheme="majorHAnsi"/>
                <w:color w:val="47F98F" w:themeColor="accent6" w:themeTint="99"/>
                <w:sz w:val="18"/>
                <w:szCs w:val="18"/>
              </w:rPr>
            </w:pPr>
            <w:r w:rsidRPr="007D6249">
              <w:rPr>
                <w:rFonts w:asciiTheme="majorHAnsi" w:hAnsiTheme="majorHAnsi" w:cstheme="majorHAnsi"/>
                <w:color w:val="035E27" w:themeColor="accent6" w:themeShade="80"/>
              </w:rPr>
              <w:t>●</w:t>
            </w:r>
          </w:p>
        </w:tc>
        <w:tc>
          <w:tcPr>
            <w:tcW w:w="1134" w:type="dxa"/>
            <w:vAlign w:val="center"/>
          </w:tcPr>
          <w:p w14:paraId="512B96DB"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p>
        </w:tc>
      </w:tr>
      <w:tr w:rsidR="00C77FAA" w:rsidRPr="00793EC4" w14:paraId="3186345F" w14:textId="77777777" w:rsidTr="00AD64CC">
        <w:trPr>
          <w:trHeight w:val="315"/>
        </w:trPr>
        <w:tc>
          <w:tcPr>
            <w:tcW w:w="9209" w:type="dxa"/>
            <w:gridSpan w:val="4"/>
            <w:noWrap/>
            <w:vAlign w:val="center"/>
            <w:hideMark/>
          </w:tcPr>
          <w:p w14:paraId="163CB205" w14:textId="77777777" w:rsidR="00C77FAA" w:rsidRPr="008E4BB9" w:rsidRDefault="00C77FAA" w:rsidP="00AD64CC">
            <w:pPr>
              <w:pStyle w:val="BodyText"/>
              <w:keepNext/>
              <w:rPr>
                <w:rFonts w:asciiTheme="majorHAnsi" w:hAnsiTheme="majorHAnsi" w:cstheme="majorHAnsi"/>
                <w:b/>
                <w:bCs/>
                <w:sz w:val="20"/>
                <w:szCs w:val="20"/>
              </w:rPr>
            </w:pPr>
            <w:proofErr w:type="spellStart"/>
            <w:r w:rsidRPr="008E4BB9">
              <w:rPr>
                <w:rFonts w:asciiTheme="majorHAnsi" w:hAnsiTheme="majorHAnsi" w:cstheme="majorHAnsi"/>
                <w:b/>
                <w:bCs/>
                <w:sz w:val="20"/>
                <w:szCs w:val="20"/>
              </w:rPr>
              <w:lastRenderedPageBreak/>
              <w:t>Kilcummin</w:t>
            </w:r>
            <w:proofErr w:type="spellEnd"/>
            <w:r w:rsidRPr="008E4BB9">
              <w:rPr>
                <w:rFonts w:asciiTheme="majorHAnsi" w:hAnsiTheme="majorHAnsi" w:cstheme="majorHAnsi"/>
                <w:b/>
                <w:bCs/>
                <w:sz w:val="20"/>
                <w:szCs w:val="20"/>
              </w:rPr>
              <w:t xml:space="preserve"> - Diamond Downs Road – approximately 15 kilometres of sealing</w:t>
            </w:r>
          </w:p>
        </w:tc>
      </w:tr>
      <w:tr w:rsidR="00C77FAA" w:rsidRPr="00793EC4" w14:paraId="430AA69F" w14:textId="77777777" w:rsidTr="00AD64CC">
        <w:trPr>
          <w:trHeight w:val="315"/>
        </w:trPr>
        <w:tc>
          <w:tcPr>
            <w:tcW w:w="969" w:type="dxa"/>
            <w:noWrap/>
            <w:vAlign w:val="center"/>
            <w:hideMark/>
          </w:tcPr>
          <w:p w14:paraId="0493F017" w14:textId="77777777" w:rsidR="00C77FAA" w:rsidRPr="008E4BB9" w:rsidRDefault="00C77FAA" w:rsidP="00AD64CC">
            <w:pPr>
              <w:pStyle w:val="BodyText"/>
              <w:keepNext/>
              <w:spacing w:before="60" w:after="60" w:line="240" w:lineRule="auto"/>
              <w:jc w:val="center"/>
              <w:rPr>
                <w:rFonts w:asciiTheme="majorHAnsi" w:hAnsiTheme="majorHAnsi" w:cstheme="majorHAnsi"/>
                <w:sz w:val="18"/>
                <w:szCs w:val="18"/>
              </w:rPr>
            </w:pPr>
            <w:r w:rsidRPr="008E4BB9">
              <w:rPr>
                <w:rFonts w:asciiTheme="majorHAnsi" w:hAnsiTheme="majorHAnsi" w:cstheme="majorHAnsi"/>
                <w:sz w:val="18"/>
                <w:szCs w:val="18"/>
              </w:rPr>
              <w:t>20</w:t>
            </w:r>
          </w:p>
        </w:tc>
        <w:tc>
          <w:tcPr>
            <w:tcW w:w="6114" w:type="dxa"/>
            <w:noWrap/>
            <w:vAlign w:val="center"/>
            <w:hideMark/>
          </w:tcPr>
          <w:p w14:paraId="3A6E5216" w14:textId="77777777" w:rsidR="00C77FAA" w:rsidRPr="008E4BB9" w:rsidRDefault="00C77FAA" w:rsidP="00AD64CC">
            <w:pPr>
              <w:pStyle w:val="BodyText"/>
              <w:keepNext/>
              <w:spacing w:before="60" w:after="60" w:line="240" w:lineRule="auto"/>
              <w:rPr>
                <w:rFonts w:asciiTheme="majorHAnsi" w:hAnsiTheme="majorHAnsi" w:cstheme="majorHAnsi"/>
                <w:sz w:val="20"/>
                <w:szCs w:val="20"/>
              </w:rPr>
            </w:pPr>
            <w:proofErr w:type="spellStart"/>
            <w:r w:rsidRPr="008E4BB9">
              <w:rPr>
                <w:rFonts w:asciiTheme="majorHAnsi" w:hAnsiTheme="majorHAnsi" w:cstheme="majorHAnsi"/>
                <w:sz w:val="20"/>
                <w:szCs w:val="20"/>
              </w:rPr>
              <w:t>Kilcummin</w:t>
            </w:r>
            <w:proofErr w:type="spellEnd"/>
            <w:r w:rsidRPr="008E4BB9">
              <w:rPr>
                <w:rFonts w:asciiTheme="majorHAnsi" w:hAnsiTheme="majorHAnsi" w:cstheme="majorHAnsi"/>
                <w:sz w:val="20"/>
                <w:szCs w:val="20"/>
              </w:rPr>
              <w:t xml:space="preserve"> - Diamond Downs Road (20km north of the Gregory Developmental Road intersection)</w:t>
            </w:r>
          </w:p>
        </w:tc>
        <w:tc>
          <w:tcPr>
            <w:tcW w:w="992" w:type="dxa"/>
            <w:vAlign w:val="center"/>
          </w:tcPr>
          <w:p w14:paraId="354FE485" w14:textId="77777777" w:rsidR="00C77FAA" w:rsidRPr="008E4BB9" w:rsidRDefault="00C77FAA" w:rsidP="00AD64CC">
            <w:pPr>
              <w:pStyle w:val="BodyText"/>
              <w:keepNext/>
              <w:spacing w:before="60" w:after="60" w:line="240" w:lineRule="auto"/>
              <w:jc w:val="center"/>
              <w:rPr>
                <w:rFonts w:asciiTheme="majorHAnsi" w:hAnsiTheme="majorHAnsi" w:cstheme="majorHAnsi"/>
                <w:sz w:val="18"/>
                <w:szCs w:val="18"/>
              </w:rPr>
            </w:pPr>
            <w:r w:rsidRPr="008E4BB9">
              <w:rPr>
                <w:rFonts w:asciiTheme="majorHAnsi" w:hAnsiTheme="majorHAnsi" w:cstheme="majorHAnsi"/>
                <w:color w:val="000000"/>
              </w:rPr>
              <w:t>●</w:t>
            </w:r>
          </w:p>
        </w:tc>
        <w:tc>
          <w:tcPr>
            <w:tcW w:w="1134" w:type="dxa"/>
            <w:vAlign w:val="center"/>
          </w:tcPr>
          <w:p w14:paraId="54FE8394" w14:textId="77777777" w:rsidR="00C77FAA" w:rsidRPr="008E4BB9" w:rsidRDefault="00C77FAA" w:rsidP="00AD64CC">
            <w:pPr>
              <w:pStyle w:val="BodyText"/>
              <w:keepNext/>
              <w:spacing w:before="60" w:after="60" w:line="240" w:lineRule="auto"/>
              <w:jc w:val="center"/>
              <w:rPr>
                <w:rFonts w:asciiTheme="majorHAnsi" w:hAnsiTheme="majorHAnsi" w:cstheme="majorHAnsi"/>
                <w:sz w:val="18"/>
                <w:szCs w:val="18"/>
              </w:rPr>
            </w:pPr>
            <w:r w:rsidRPr="008E4BB9">
              <w:rPr>
                <w:rFonts w:asciiTheme="majorHAnsi" w:hAnsiTheme="majorHAnsi" w:cstheme="majorHAnsi"/>
                <w:color w:val="000000"/>
              </w:rPr>
              <w:t>●</w:t>
            </w:r>
          </w:p>
        </w:tc>
      </w:tr>
      <w:tr w:rsidR="00C77FAA" w:rsidRPr="00793EC4" w14:paraId="4456C5E0" w14:textId="77777777" w:rsidTr="00AD64CC">
        <w:trPr>
          <w:trHeight w:val="315"/>
        </w:trPr>
        <w:tc>
          <w:tcPr>
            <w:tcW w:w="9209" w:type="dxa"/>
            <w:gridSpan w:val="4"/>
            <w:tcBorders>
              <w:bottom w:val="single" w:sz="4" w:space="0" w:color="auto"/>
            </w:tcBorders>
            <w:noWrap/>
            <w:vAlign w:val="center"/>
            <w:hideMark/>
          </w:tcPr>
          <w:p w14:paraId="0AA70425" w14:textId="77777777" w:rsidR="00C77FAA" w:rsidRPr="008E4BB9" w:rsidRDefault="00C77FAA" w:rsidP="00AD64CC">
            <w:pPr>
              <w:pStyle w:val="BodyText"/>
              <w:keepNext/>
              <w:rPr>
                <w:rFonts w:asciiTheme="majorHAnsi" w:hAnsiTheme="majorHAnsi" w:cstheme="majorHAnsi"/>
                <w:b/>
                <w:bCs/>
                <w:sz w:val="20"/>
                <w:szCs w:val="20"/>
              </w:rPr>
            </w:pPr>
            <w:r w:rsidRPr="008E4BB9">
              <w:rPr>
                <w:rFonts w:asciiTheme="majorHAnsi" w:hAnsiTheme="majorHAnsi" w:cstheme="majorHAnsi"/>
                <w:b/>
                <w:bCs/>
                <w:sz w:val="20"/>
                <w:szCs w:val="20"/>
              </w:rPr>
              <w:t>May Downs Road – approximately 15 kilometres of sealing</w:t>
            </w:r>
          </w:p>
        </w:tc>
      </w:tr>
      <w:tr w:rsidR="00C77FAA" w:rsidRPr="00793EC4" w14:paraId="20CE4BE5" w14:textId="77777777" w:rsidTr="00AD64CC">
        <w:trPr>
          <w:trHeight w:val="300"/>
        </w:trPr>
        <w:tc>
          <w:tcPr>
            <w:tcW w:w="969" w:type="dxa"/>
            <w:noWrap/>
            <w:vAlign w:val="center"/>
            <w:hideMark/>
          </w:tcPr>
          <w:p w14:paraId="4FF1F253" w14:textId="77777777" w:rsidR="00C77FAA" w:rsidRPr="008E4BB9" w:rsidRDefault="00C77FAA" w:rsidP="00AD64CC">
            <w:pPr>
              <w:pStyle w:val="BodyText"/>
              <w:keepNext/>
              <w:spacing w:before="60" w:after="60" w:line="240" w:lineRule="auto"/>
              <w:jc w:val="center"/>
              <w:rPr>
                <w:rFonts w:asciiTheme="majorHAnsi" w:hAnsiTheme="majorHAnsi" w:cstheme="majorHAnsi"/>
                <w:sz w:val="18"/>
                <w:szCs w:val="18"/>
              </w:rPr>
            </w:pPr>
            <w:r w:rsidRPr="008E4BB9">
              <w:rPr>
                <w:rFonts w:asciiTheme="majorHAnsi" w:hAnsiTheme="majorHAnsi" w:cstheme="majorHAnsi"/>
                <w:sz w:val="18"/>
                <w:szCs w:val="18"/>
              </w:rPr>
              <w:t>21</w:t>
            </w:r>
          </w:p>
        </w:tc>
        <w:tc>
          <w:tcPr>
            <w:tcW w:w="6114" w:type="dxa"/>
            <w:noWrap/>
            <w:vAlign w:val="center"/>
            <w:hideMark/>
          </w:tcPr>
          <w:p w14:paraId="0FEA2CBA" w14:textId="77777777" w:rsidR="00C77FAA" w:rsidRPr="008E4BB9" w:rsidRDefault="00C77FAA" w:rsidP="00AD64CC">
            <w:pPr>
              <w:pStyle w:val="BodyText"/>
              <w:keepNext/>
              <w:spacing w:before="60" w:after="60" w:line="240" w:lineRule="auto"/>
              <w:rPr>
                <w:rFonts w:asciiTheme="majorHAnsi" w:hAnsiTheme="majorHAnsi" w:cstheme="majorHAnsi"/>
                <w:sz w:val="20"/>
                <w:szCs w:val="20"/>
              </w:rPr>
            </w:pPr>
            <w:r w:rsidRPr="008E4BB9">
              <w:rPr>
                <w:rFonts w:asciiTheme="majorHAnsi" w:hAnsiTheme="majorHAnsi" w:cstheme="majorHAnsi"/>
                <w:sz w:val="20"/>
                <w:szCs w:val="20"/>
              </w:rPr>
              <w:t>May Downs Road (32km west of Clarke Creek)</w:t>
            </w:r>
          </w:p>
        </w:tc>
        <w:tc>
          <w:tcPr>
            <w:tcW w:w="992" w:type="dxa"/>
            <w:vAlign w:val="center"/>
          </w:tcPr>
          <w:p w14:paraId="25C2957E" w14:textId="77777777" w:rsidR="00C77FAA" w:rsidRPr="008E4BB9" w:rsidRDefault="00C77FAA" w:rsidP="002B1986">
            <w:pPr>
              <w:pStyle w:val="BodyText"/>
              <w:spacing w:before="60" w:after="60" w:line="240" w:lineRule="auto"/>
              <w:jc w:val="center"/>
              <w:rPr>
                <w:rFonts w:asciiTheme="majorHAnsi" w:hAnsiTheme="majorHAnsi" w:cstheme="majorHAnsi"/>
                <w:sz w:val="18"/>
                <w:szCs w:val="18"/>
              </w:rPr>
            </w:pPr>
            <w:r w:rsidRPr="002B1986">
              <w:rPr>
                <w:rFonts w:asciiTheme="majorHAnsi" w:hAnsiTheme="majorHAnsi" w:cstheme="majorHAnsi"/>
                <w:color w:val="06BC50" w:themeColor="accent6"/>
              </w:rPr>
              <w:t>●</w:t>
            </w:r>
          </w:p>
        </w:tc>
        <w:tc>
          <w:tcPr>
            <w:tcW w:w="1134" w:type="dxa"/>
            <w:vAlign w:val="center"/>
          </w:tcPr>
          <w:p w14:paraId="34EDC5E9" w14:textId="77777777" w:rsidR="00C77FAA" w:rsidRPr="008E4BB9" w:rsidRDefault="00C77FAA" w:rsidP="00AD64CC">
            <w:pPr>
              <w:pStyle w:val="BodyText"/>
              <w:keepNext/>
              <w:spacing w:before="60" w:after="60" w:line="240" w:lineRule="auto"/>
              <w:jc w:val="center"/>
              <w:rPr>
                <w:rFonts w:asciiTheme="majorHAnsi" w:hAnsiTheme="majorHAnsi" w:cstheme="majorHAnsi"/>
                <w:sz w:val="18"/>
                <w:szCs w:val="18"/>
              </w:rPr>
            </w:pPr>
          </w:p>
        </w:tc>
      </w:tr>
      <w:tr w:rsidR="00C77FAA" w:rsidRPr="00793EC4" w14:paraId="264EB4C7" w14:textId="77777777" w:rsidTr="00AD64CC">
        <w:trPr>
          <w:trHeight w:val="315"/>
        </w:trPr>
        <w:tc>
          <w:tcPr>
            <w:tcW w:w="969" w:type="dxa"/>
            <w:noWrap/>
            <w:vAlign w:val="center"/>
            <w:hideMark/>
          </w:tcPr>
          <w:p w14:paraId="25425846"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sz w:val="18"/>
                <w:szCs w:val="18"/>
              </w:rPr>
              <w:t>22</w:t>
            </w:r>
          </w:p>
        </w:tc>
        <w:tc>
          <w:tcPr>
            <w:tcW w:w="6114" w:type="dxa"/>
            <w:noWrap/>
            <w:vAlign w:val="center"/>
            <w:hideMark/>
          </w:tcPr>
          <w:p w14:paraId="7D41453A" w14:textId="77777777" w:rsidR="00C77FAA" w:rsidRPr="008E4BB9" w:rsidRDefault="00C77FAA" w:rsidP="00AD64CC">
            <w:pPr>
              <w:pStyle w:val="BodyText"/>
              <w:spacing w:before="60" w:after="60" w:line="240" w:lineRule="auto"/>
              <w:rPr>
                <w:rFonts w:asciiTheme="majorHAnsi" w:hAnsiTheme="majorHAnsi" w:cstheme="majorHAnsi"/>
                <w:sz w:val="20"/>
                <w:szCs w:val="20"/>
              </w:rPr>
            </w:pPr>
            <w:r w:rsidRPr="008E4BB9">
              <w:rPr>
                <w:rFonts w:asciiTheme="majorHAnsi" w:hAnsiTheme="majorHAnsi" w:cstheme="majorHAnsi"/>
                <w:sz w:val="20"/>
                <w:szCs w:val="20"/>
              </w:rPr>
              <w:t>May Downs Road (22km west of Clarke Creek)</w:t>
            </w:r>
          </w:p>
        </w:tc>
        <w:tc>
          <w:tcPr>
            <w:tcW w:w="992" w:type="dxa"/>
            <w:vAlign w:val="center"/>
          </w:tcPr>
          <w:p w14:paraId="4C09AD11"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color w:val="000000"/>
              </w:rPr>
              <w:t>●</w:t>
            </w:r>
          </w:p>
        </w:tc>
        <w:tc>
          <w:tcPr>
            <w:tcW w:w="1134" w:type="dxa"/>
            <w:vAlign w:val="center"/>
          </w:tcPr>
          <w:p w14:paraId="2A414DB4"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p>
        </w:tc>
      </w:tr>
      <w:tr w:rsidR="00C77FAA" w:rsidRPr="00793EC4" w14:paraId="4967FE6C" w14:textId="77777777" w:rsidTr="00AD64CC">
        <w:trPr>
          <w:trHeight w:val="315"/>
        </w:trPr>
        <w:tc>
          <w:tcPr>
            <w:tcW w:w="9209" w:type="dxa"/>
            <w:gridSpan w:val="4"/>
            <w:noWrap/>
            <w:vAlign w:val="center"/>
            <w:hideMark/>
          </w:tcPr>
          <w:p w14:paraId="347A0D96" w14:textId="77777777" w:rsidR="00C77FAA" w:rsidRPr="008E4BB9" w:rsidRDefault="00C77FAA" w:rsidP="00AD64CC">
            <w:pPr>
              <w:pStyle w:val="BodyText"/>
              <w:rPr>
                <w:rFonts w:asciiTheme="majorHAnsi" w:hAnsiTheme="majorHAnsi" w:cstheme="majorHAnsi"/>
                <w:b/>
                <w:bCs/>
                <w:sz w:val="20"/>
                <w:szCs w:val="20"/>
              </w:rPr>
            </w:pPr>
            <w:r w:rsidRPr="008E4BB9">
              <w:rPr>
                <w:rFonts w:asciiTheme="majorHAnsi" w:hAnsiTheme="majorHAnsi" w:cstheme="majorHAnsi"/>
                <w:b/>
                <w:bCs/>
                <w:sz w:val="20"/>
                <w:szCs w:val="20"/>
              </w:rPr>
              <w:t>Glenroy Road (Rockhampton Regional Council controlled road) – approximately 15 kilometres of sealing</w:t>
            </w:r>
          </w:p>
        </w:tc>
      </w:tr>
      <w:tr w:rsidR="00C77FAA" w:rsidRPr="00793EC4" w14:paraId="19C2B651" w14:textId="77777777" w:rsidTr="00AD64CC">
        <w:trPr>
          <w:trHeight w:val="300"/>
        </w:trPr>
        <w:tc>
          <w:tcPr>
            <w:tcW w:w="969" w:type="dxa"/>
            <w:noWrap/>
            <w:vAlign w:val="center"/>
            <w:hideMark/>
          </w:tcPr>
          <w:p w14:paraId="3598414A"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sz w:val="18"/>
                <w:szCs w:val="18"/>
              </w:rPr>
              <w:t>23</w:t>
            </w:r>
          </w:p>
        </w:tc>
        <w:tc>
          <w:tcPr>
            <w:tcW w:w="6114" w:type="dxa"/>
            <w:noWrap/>
            <w:vAlign w:val="center"/>
            <w:hideMark/>
          </w:tcPr>
          <w:p w14:paraId="2D0D755F" w14:textId="77777777" w:rsidR="00C77FAA" w:rsidRPr="008E4BB9" w:rsidRDefault="00C77FAA" w:rsidP="00AD64CC">
            <w:pPr>
              <w:pStyle w:val="BodyText"/>
              <w:spacing w:before="60" w:after="60" w:line="240" w:lineRule="auto"/>
              <w:rPr>
                <w:rFonts w:asciiTheme="majorHAnsi" w:hAnsiTheme="majorHAnsi" w:cstheme="majorHAnsi"/>
                <w:sz w:val="20"/>
                <w:szCs w:val="20"/>
              </w:rPr>
            </w:pPr>
            <w:r w:rsidRPr="008E4BB9">
              <w:rPr>
                <w:rFonts w:asciiTheme="majorHAnsi" w:hAnsiTheme="majorHAnsi" w:cstheme="majorHAnsi"/>
                <w:sz w:val="20"/>
                <w:szCs w:val="20"/>
              </w:rPr>
              <w:t>Glenroy Road (21km west of Ridgelands)</w:t>
            </w:r>
          </w:p>
        </w:tc>
        <w:tc>
          <w:tcPr>
            <w:tcW w:w="992" w:type="dxa"/>
            <w:vAlign w:val="center"/>
          </w:tcPr>
          <w:p w14:paraId="785C8DE8" w14:textId="722DA289" w:rsidR="00C77FAA" w:rsidRPr="008E4BB9" w:rsidRDefault="00A1040E"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color w:val="000000"/>
              </w:rPr>
              <w:t>●</w:t>
            </w:r>
          </w:p>
        </w:tc>
        <w:tc>
          <w:tcPr>
            <w:tcW w:w="1134" w:type="dxa"/>
            <w:vAlign w:val="center"/>
          </w:tcPr>
          <w:p w14:paraId="11BCF9AA"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color w:val="000000"/>
              </w:rPr>
              <w:t>●</w:t>
            </w:r>
          </w:p>
        </w:tc>
      </w:tr>
      <w:tr w:rsidR="00C77FAA" w:rsidRPr="00793EC4" w14:paraId="7186417A" w14:textId="77777777" w:rsidTr="00AD64CC">
        <w:trPr>
          <w:trHeight w:val="315"/>
        </w:trPr>
        <w:tc>
          <w:tcPr>
            <w:tcW w:w="969" w:type="dxa"/>
            <w:tcBorders>
              <w:bottom w:val="single" w:sz="4" w:space="0" w:color="auto"/>
            </w:tcBorders>
            <w:noWrap/>
            <w:vAlign w:val="center"/>
            <w:hideMark/>
          </w:tcPr>
          <w:p w14:paraId="5DD906CF"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sz w:val="18"/>
                <w:szCs w:val="18"/>
              </w:rPr>
              <w:t>24</w:t>
            </w:r>
          </w:p>
        </w:tc>
        <w:tc>
          <w:tcPr>
            <w:tcW w:w="6114" w:type="dxa"/>
            <w:tcBorders>
              <w:bottom w:val="single" w:sz="4" w:space="0" w:color="auto"/>
            </w:tcBorders>
            <w:noWrap/>
            <w:vAlign w:val="center"/>
            <w:hideMark/>
          </w:tcPr>
          <w:p w14:paraId="69E714AE" w14:textId="77777777" w:rsidR="00C77FAA" w:rsidRPr="008E4BB9" w:rsidRDefault="00C77FAA" w:rsidP="00AD64CC">
            <w:pPr>
              <w:pStyle w:val="BodyText"/>
              <w:spacing w:before="60" w:after="60" w:line="240" w:lineRule="auto"/>
              <w:rPr>
                <w:rFonts w:asciiTheme="majorHAnsi" w:hAnsiTheme="majorHAnsi" w:cstheme="majorHAnsi"/>
                <w:sz w:val="20"/>
                <w:szCs w:val="20"/>
              </w:rPr>
            </w:pPr>
            <w:r w:rsidRPr="008E4BB9">
              <w:rPr>
                <w:rFonts w:asciiTheme="majorHAnsi" w:hAnsiTheme="majorHAnsi" w:cstheme="majorHAnsi"/>
                <w:sz w:val="20"/>
                <w:szCs w:val="20"/>
              </w:rPr>
              <w:t xml:space="preserve">Glenroy Road (11km west of Ridgelands) </w:t>
            </w:r>
          </w:p>
        </w:tc>
        <w:tc>
          <w:tcPr>
            <w:tcW w:w="992" w:type="dxa"/>
            <w:tcBorders>
              <w:bottom w:val="single" w:sz="4" w:space="0" w:color="auto"/>
            </w:tcBorders>
            <w:vAlign w:val="center"/>
          </w:tcPr>
          <w:p w14:paraId="61113D1D"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r w:rsidRPr="008E4BB9">
              <w:rPr>
                <w:rFonts w:asciiTheme="majorHAnsi" w:hAnsiTheme="majorHAnsi" w:cstheme="majorHAnsi"/>
                <w:color w:val="000000"/>
              </w:rPr>
              <w:t>●</w:t>
            </w:r>
          </w:p>
        </w:tc>
        <w:tc>
          <w:tcPr>
            <w:tcW w:w="1134" w:type="dxa"/>
            <w:tcBorders>
              <w:bottom w:val="single" w:sz="4" w:space="0" w:color="auto"/>
            </w:tcBorders>
            <w:vAlign w:val="center"/>
          </w:tcPr>
          <w:p w14:paraId="6D625C92" w14:textId="77777777" w:rsidR="00C77FAA" w:rsidRPr="008E4BB9" w:rsidRDefault="00C77FAA" w:rsidP="00AD64CC">
            <w:pPr>
              <w:pStyle w:val="BodyText"/>
              <w:spacing w:before="60" w:after="60" w:line="240" w:lineRule="auto"/>
              <w:jc w:val="center"/>
              <w:rPr>
                <w:rFonts w:asciiTheme="majorHAnsi" w:hAnsiTheme="majorHAnsi" w:cstheme="majorHAnsi"/>
                <w:sz w:val="18"/>
                <w:szCs w:val="18"/>
              </w:rPr>
            </w:pPr>
          </w:p>
        </w:tc>
      </w:tr>
      <w:tr w:rsidR="00C77FAA" w:rsidRPr="00793EC4" w14:paraId="5566C789" w14:textId="77777777" w:rsidTr="00AD64CC">
        <w:trPr>
          <w:trHeight w:val="315"/>
        </w:trPr>
        <w:tc>
          <w:tcPr>
            <w:tcW w:w="9209" w:type="dxa"/>
            <w:gridSpan w:val="4"/>
            <w:tcBorders>
              <w:left w:val="nil"/>
              <w:bottom w:val="nil"/>
              <w:right w:val="nil"/>
            </w:tcBorders>
            <w:noWrap/>
            <w:vAlign w:val="center"/>
          </w:tcPr>
          <w:p w14:paraId="468AC9A6" w14:textId="77777777" w:rsidR="00C77FAA" w:rsidRPr="008E4BB9" w:rsidRDefault="00C77FAA" w:rsidP="00AD64CC">
            <w:pPr>
              <w:pStyle w:val="BodyText"/>
              <w:spacing w:before="60" w:after="60" w:line="240" w:lineRule="auto"/>
              <w:rPr>
                <w:rFonts w:asciiTheme="majorHAnsi" w:hAnsiTheme="majorHAnsi" w:cstheme="majorHAnsi"/>
                <w:sz w:val="20"/>
                <w:szCs w:val="20"/>
              </w:rPr>
            </w:pPr>
            <w:r w:rsidRPr="002B1986">
              <w:rPr>
                <w:rFonts w:asciiTheme="majorHAnsi" w:hAnsiTheme="majorHAnsi" w:cstheme="majorHAnsi"/>
                <w:color w:val="06BC50" w:themeColor="accent6"/>
              </w:rPr>
              <w:t xml:space="preserve">●   </w:t>
            </w:r>
            <w:r w:rsidRPr="008E4BB9">
              <w:rPr>
                <w:rFonts w:asciiTheme="majorHAnsi" w:hAnsiTheme="majorHAnsi" w:cstheme="majorHAnsi"/>
                <w:sz w:val="20"/>
                <w:szCs w:val="20"/>
              </w:rPr>
              <w:t>Represents early works projects.</w:t>
            </w:r>
          </w:p>
        </w:tc>
      </w:tr>
    </w:tbl>
    <w:p w14:paraId="6301B1A0" w14:textId="77777777" w:rsidR="00C77FAA" w:rsidRDefault="00517CEA" w:rsidP="00517CEA">
      <w:pPr>
        <w:pStyle w:val="Heading1"/>
      </w:pPr>
      <w:bookmarkStart w:id="14" w:name="_Toc208416012"/>
      <w:r>
        <w:t>Going forward</w:t>
      </w:r>
      <w:bookmarkEnd w:id="14"/>
    </w:p>
    <w:p w14:paraId="530845AE" w14:textId="286B96B4" w:rsidR="00517CEA" w:rsidRPr="008E4BB9" w:rsidRDefault="00517CEA" w:rsidP="00517CEA">
      <w:pPr>
        <w:pStyle w:val="BodyText"/>
        <w:spacing w:line="276" w:lineRule="auto"/>
        <w:rPr>
          <w:rFonts w:asciiTheme="majorHAnsi" w:hAnsiTheme="majorHAnsi" w:cstheme="majorHAnsi"/>
          <w:color w:val="2F2F2F" w:themeColor="text1" w:themeTint="E6"/>
          <w:sz w:val="24"/>
          <w14:ligatures w14:val="none"/>
        </w:rPr>
      </w:pPr>
      <w:r w:rsidRPr="008E4BB9">
        <w:rPr>
          <w:rFonts w:asciiTheme="majorHAnsi" w:hAnsiTheme="majorHAnsi" w:cstheme="majorHAnsi"/>
          <w:color w:val="2F2F2F" w:themeColor="text1" w:themeTint="E6"/>
          <w:sz w:val="24"/>
          <w14:ligatures w14:val="none"/>
        </w:rPr>
        <w:t>As part of the development of th</w:t>
      </w:r>
      <w:r w:rsidR="00FA2D46">
        <w:rPr>
          <w:rFonts w:asciiTheme="majorHAnsi" w:hAnsiTheme="majorHAnsi" w:cstheme="majorHAnsi"/>
          <w:color w:val="2F2F2F" w:themeColor="text1" w:themeTint="E6"/>
          <w:sz w:val="24"/>
          <w14:ligatures w14:val="none"/>
        </w:rPr>
        <w:t>e S</w:t>
      </w:r>
      <w:r w:rsidRPr="008E4BB9">
        <w:rPr>
          <w:rFonts w:asciiTheme="majorHAnsi" w:hAnsiTheme="majorHAnsi" w:cstheme="majorHAnsi"/>
          <w:color w:val="2F2F2F" w:themeColor="text1" w:themeTint="E6"/>
          <w:sz w:val="24"/>
          <w14:ligatures w14:val="none"/>
        </w:rPr>
        <w:t xml:space="preserve">trategy, the </w:t>
      </w:r>
      <w:r>
        <w:rPr>
          <w:rFonts w:asciiTheme="majorHAnsi" w:hAnsiTheme="majorHAnsi" w:cstheme="majorHAnsi"/>
          <w:color w:val="2F2F2F" w:themeColor="text1" w:themeTint="E6"/>
          <w:sz w:val="24"/>
          <w14:ligatures w14:val="none"/>
        </w:rPr>
        <w:t>SAG</w:t>
      </w:r>
      <w:r w:rsidRPr="008E4BB9">
        <w:rPr>
          <w:rFonts w:asciiTheme="majorHAnsi" w:hAnsiTheme="majorHAnsi" w:cstheme="majorHAnsi"/>
          <w:color w:val="2F2F2F" w:themeColor="text1" w:themeTint="E6"/>
          <w:sz w:val="24"/>
          <w14:ligatures w14:val="none"/>
        </w:rPr>
        <w:t xml:space="preserve"> endorsed the short, medium, and long-term priorities to fully seal the nine identified CQBR. TMR will work with local governments, key stakeholders and the community to deliver the short-term priorities to scope. The medium-term priorities are subject to the availability of remaining funding to support reliable, sustainable and adaptable livestock arrangements that meet the sector's needs in Central Queensland. </w:t>
      </w:r>
    </w:p>
    <w:p w14:paraId="7F65F607" w14:textId="77777777" w:rsidR="00517CEA" w:rsidRPr="008E4BB9" w:rsidRDefault="00517CEA" w:rsidP="00517CEA">
      <w:pPr>
        <w:pStyle w:val="BodyText"/>
        <w:spacing w:line="276" w:lineRule="auto"/>
        <w:rPr>
          <w:rFonts w:asciiTheme="majorHAnsi" w:hAnsiTheme="majorHAnsi" w:cstheme="majorHAnsi"/>
          <w:color w:val="2F2F2F" w:themeColor="text1" w:themeTint="E6"/>
          <w:sz w:val="24"/>
          <w14:ligatures w14:val="none"/>
        </w:rPr>
      </w:pPr>
      <w:r w:rsidRPr="008E4BB9">
        <w:rPr>
          <w:rFonts w:asciiTheme="majorHAnsi" w:hAnsiTheme="majorHAnsi" w:cstheme="majorHAnsi"/>
          <w:color w:val="2F2F2F" w:themeColor="text1" w:themeTint="E6"/>
          <w:sz w:val="24"/>
          <w14:ligatures w14:val="none"/>
        </w:rPr>
        <w:t>TMR will continue to:</w:t>
      </w:r>
    </w:p>
    <w:p w14:paraId="059C783C" w14:textId="77777777" w:rsidR="00517CEA" w:rsidRPr="008E4BB9" w:rsidRDefault="00517CEA" w:rsidP="00517CEA">
      <w:pPr>
        <w:numPr>
          <w:ilvl w:val="0"/>
          <w:numId w:val="5"/>
        </w:numPr>
        <w:suppressAutoHyphens w:val="0"/>
        <w:spacing w:before="0" w:after="160" w:line="259" w:lineRule="auto"/>
        <w:rPr>
          <w:rFonts w:asciiTheme="majorHAnsi" w:hAnsiTheme="majorHAnsi" w:cstheme="majorHAnsi"/>
        </w:rPr>
      </w:pPr>
      <w:r w:rsidRPr="008E4BB9">
        <w:rPr>
          <w:rFonts w:asciiTheme="majorHAnsi" w:hAnsiTheme="majorHAnsi" w:cstheme="majorHAnsi"/>
        </w:rPr>
        <w:t>work with the key stakeholders to identify opportunities and address challenges associated with the beef supply chain</w:t>
      </w:r>
    </w:p>
    <w:p w14:paraId="5EBD5BDA" w14:textId="77777777" w:rsidR="00517CEA" w:rsidRPr="008E4BB9" w:rsidRDefault="00517CEA" w:rsidP="00517CEA">
      <w:pPr>
        <w:numPr>
          <w:ilvl w:val="0"/>
          <w:numId w:val="5"/>
        </w:numPr>
        <w:suppressAutoHyphens w:val="0"/>
        <w:spacing w:before="0" w:after="160" w:line="259" w:lineRule="auto"/>
        <w:rPr>
          <w:rFonts w:asciiTheme="majorHAnsi" w:hAnsiTheme="majorHAnsi" w:cstheme="majorHAnsi"/>
        </w:rPr>
      </w:pPr>
      <w:r w:rsidRPr="008E4BB9">
        <w:rPr>
          <w:rFonts w:asciiTheme="majorHAnsi" w:hAnsiTheme="majorHAnsi" w:cstheme="majorHAnsi"/>
        </w:rPr>
        <w:t>identify future planning and investment options for the beef processing industry, through the Queensland Transport and Roads Investment Program and the development of the Queensland Freight Delivery Plan. This freight plan will prioritise freight system innovation and improvements across the state and support regional economic growth and productivity.</w:t>
      </w:r>
    </w:p>
    <w:p w14:paraId="2179B408" w14:textId="77777777" w:rsidR="00517CEA" w:rsidRPr="00517CEA" w:rsidRDefault="00517CEA" w:rsidP="00517CEA"/>
    <w:p w14:paraId="54FC57B8" w14:textId="77777777" w:rsidR="00C77FAA" w:rsidRPr="007E40AF" w:rsidRDefault="00C77FAA" w:rsidP="007E40AF"/>
    <w:sectPr w:rsidR="00C77FAA" w:rsidRPr="007E40AF" w:rsidSect="009B06E8">
      <w:pgSz w:w="11906" w:h="16838" w:code="9"/>
      <w:pgMar w:top="1134" w:right="1418" w:bottom="1843"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788F7" w14:textId="77777777" w:rsidR="003442B5" w:rsidRDefault="003442B5" w:rsidP="00A9280E">
      <w:pPr>
        <w:spacing w:line="240" w:lineRule="auto"/>
      </w:pPr>
      <w:r>
        <w:separator/>
      </w:r>
    </w:p>
  </w:endnote>
  <w:endnote w:type="continuationSeparator" w:id="0">
    <w:p w14:paraId="1CAE146A" w14:textId="77777777" w:rsidR="003442B5" w:rsidRDefault="003442B5" w:rsidP="00A92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9DB08" w14:textId="3623F5CD" w:rsidR="00B94111" w:rsidRPr="000126D6" w:rsidRDefault="000126D6" w:rsidP="000126D6">
    <w:pPr>
      <w:pStyle w:val="Footer"/>
    </w:pPr>
    <w:r w:rsidRPr="000126D6">
      <w:rPr>
        <w:noProof/>
      </w:rPr>
      <mc:AlternateContent>
        <mc:Choice Requires="wps">
          <w:drawing>
            <wp:anchor distT="0" distB="0" distL="114300" distR="114300" simplePos="0" relativeHeight="251659264" behindDoc="0" locked="0" layoutInCell="1" allowOverlap="1" wp14:anchorId="32C30213" wp14:editId="7E335E5A">
              <wp:simplePos x="0" y="0"/>
              <wp:positionH relativeFrom="column">
                <wp:posOffset>635</wp:posOffset>
              </wp:positionH>
              <wp:positionV relativeFrom="paragraph">
                <wp:posOffset>-86534</wp:posOffset>
              </wp:positionV>
              <wp:extent cx="5756564"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6564" cy="0"/>
                      </a:xfrm>
                      <a:prstGeom prst="line">
                        <a:avLst/>
                      </a:prstGeom>
                      <a:ln w="6350">
                        <a:solidFill>
                          <a:schemeClr val="tx1">
                            <a:lumMod val="25000"/>
                            <a:lumOff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AD61BB" id="Straight Connector 6"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5pt,-6.8pt" to="453.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" strokecolor="#c6c6c6 [829]" strokeweight=".5pt">
              <v:stroke joinstyle="miter"/>
            </v:line>
          </w:pict>
        </mc:Fallback>
      </mc:AlternateContent>
    </w:r>
    <w:r w:rsidR="009B06E8">
      <w:rPr>
        <w:rStyle w:val="Header2Char"/>
      </w:rPr>
      <w:t>Central Queensland Beef Roads Investment Strategy</w:t>
    </w:r>
    <w:r w:rsidR="000623DB">
      <w:ptab w:relativeTo="margin" w:alignment="right" w:leader="none"/>
    </w:r>
    <w:r w:rsidR="000623DB">
      <w:fldChar w:fldCharType="begin"/>
    </w:r>
    <w:r w:rsidR="000623DB">
      <w:instrText xml:space="preserve"> PAGE  \* Arabic  \* MERGEFORMAT </w:instrText>
    </w:r>
    <w:r w:rsidR="000623DB">
      <w:fldChar w:fldCharType="separate"/>
    </w:r>
    <w:r w:rsidR="000623DB">
      <w:rPr>
        <w:noProof/>
      </w:rPr>
      <w:t>0</w:t>
    </w:r>
    <w:r w:rsidR="000623D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88B3F" w14:textId="49E63F0C" w:rsidR="008113E9" w:rsidRPr="008113E9" w:rsidRDefault="008113E9" w:rsidP="008113E9">
    <w:pPr>
      <w:pStyle w:val="Footer"/>
    </w:pPr>
    <w:r w:rsidRPr="000126D6">
      <w:rPr>
        <w:noProof/>
      </w:rPr>
      <mc:AlternateContent>
        <mc:Choice Requires="wps">
          <w:drawing>
            <wp:anchor distT="0" distB="0" distL="114300" distR="114300" simplePos="0" relativeHeight="251663360" behindDoc="0" locked="0" layoutInCell="1" allowOverlap="1" wp14:anchorId="24C18F92" wp14:editId="30AD9F32">
              <wp:simplePos x="0" y="0"/>
              <wp:positionH relativeFrom="column">
                <wp:posOffset>635</wp:posOffset>
              </wp:positionH>
              <wp:positionV relativeFrom="paragraph">
                <wp:posOffset>-86534</wp:posOffset>
              </wp:positionV>
              <wp:extent cx="5756564" cy="0"/>
              <wp:effectExtent l="0" t="0" r="0" b="0"/>
              <wp:wrapNone/>
              <wp:docPr id="1087462810" name="Straight Connector 10874628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6564" cy="0"/>
                      </a:xfrm>
                      <a:prstGeom prst="line">
                        <a:avLst/>
                      </a:prstGeom>
                      <a:ln w="6350">
                        <a:solidFill>
                          <a:schemeClr val="tx1">
                            <a:lumMod val="25000"/>
                            <a:lumOff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4E4380" id="Straight Connector 1087462810" o:spid="_x0000_s1026" alt="&quot;&quot;"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5pt,-6.8pt" to="453.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" strokecolor="#c6c6c6 [829]" strokeweight=".5pt">
              <v:stroke joinstyle="miter"/>
            </v:line>
          </w:pict>
        </mc:Fallback>
      </mc:AlternateContent>
    </w:r>
    <w:r w:rsidR="009B06E8">
      <w:rPr>
        <w:rStyle w:val="Header2Char"/>
      </w:rPr>
      <w:t>Central Queensland Beef Roads Investment Strategy</w:t>
    </w:r>
    <w:r>
      <w:ptab w:relativeTo="margin" w:alignment="right" w:leader="none"/>
    </w:r>
    <w:r>
      <w:fldChar w:fldCharType="begin"/>
    </w:r>
    <w:r>
      <w:instrText xml:space="preserve"> PAGE  \* Arabic  \* MERGEFORMAT </w:instrText>
    </w:r>
    <w:r>
      <w:fldChar w:fldCharType="separate"/>
    </w:r>
    <w:r>
      <w:t>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B52E6" w14:textId="77777777" w:rsidR="003442B5" w:rsidRDefault="003442B5" w:rsidP="00A9280E">
      <w:pPr>
        <w:spacing w:line="240" w:lineRule="auto"/>
      </w:pPr>
      <w:r>
        <w:separator/>
      </w:r>
    </w:p>
  </w:footnote>
  <w:footnote w:type="continuationSeparator" w:id="0">
    <w:p w14:paraId="61C23142" w14:textId="77777777" w:rsidR="003442B5" w:rsidRDefault="003442B5" w:rsidP="00A9280E">
      <w:pPr>
        <w:spacing w:line="240" w:lineRule="auto"/>
      </w:pPr>
      <w:r>
        <w:continuationSeparator/>
      </w:r>
    </w:p>
  </w:footnote>
  <w:footnote w:id="1">
    <w:p w14:paraId="708FE610" w14:textId="77777777" w:rsidR="00980755" w:rsidRDefault="00980755">
      <w:pPr>
        <w:pStyle w:val="FootnoteText"/>
      </w:pPr>
      <w:r>
        <w:rPr>
          <w:rStyle w:val="FootnoteReference"/>
        </w:rPr>
        <w:footnoteRef/>
      </w:r>
      <w:r>
        <w:t xml:space="preserve"> </w:t>
      </w:r>
      <w:r w:rsidRPr="00980755">
        <w:t xml:space="preserve">Queensland Government, </w:t>
      </w:r>
      <w:r w:rsidRPr="00980755">
        <w:rPr>
          <w:i/>
          <w:iCs/>
        </w:rPr>
        <w:t>The Queensland Beef Cattle Supply Chain 2018</w:t>
      </w:r>
    </w:p>
  </w:footnote>
  <w:footnote w:id="2">
    <w:p w14:paraId="5B79F0A4" w14:textId="77777777" w:rsidR="00980755" w:rsidRDefault="00980755">
      <w:pPr>
        <w:pStyle w:val="FootnoteText"/>
      </w:pPr>
      <w:r>
        <w:rPr>
          <w:rStyle w:val="FootnoteReference"/>
        </w:rPr>
        <w:footnoteRef/>
      </w:r>
      <w:r>
        <w:t xml:space="preserve"> Ibid</w:t>
      </w:r>
    </w:p>
  </w:footnote>
  <w:footnote w:id="3">
    <w:p w14:paraId="7011B518" w14:textId="77777777" w:rsidR="00980755" w:rsidRDefault="00980755">
      <w:pPr>
        <w:pStyle w:val="FootnoteText"/>
      </w:pPr>
      <w:r>
        <w:rPr>
          <w:rStyle w:val="FootnoteReference"/>
        </w:rPr>
        <w:footnoteRef/>
      </w:r>
      <w:r>
        <w:t xml:space="preserve"> </w:t>
      </w:r>
      <w:r w:rsidRPr="00980755">
        <w:t xml:space="preserve">Queensland Government, </w:t>
      </w:r>
      <w:r w:rsidRPr="00980755">
        <w:rPr>
          <w:i/>
          <w:iCs/>
        </w:rPr>
        <w:t>Queensland Beef Processing Strategy 2019-2022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7C636" w14:textId="545C69AE" w:rsidR="00A35033" w:rsidRDefault="00196630">
    <w:pPr>
      <w:pStyle w:val="Header"/>
    </w:pPr>
    <w:bookmarkStart w:id="0" w:name="_Hlk207183663"/>
    <w:bookmarkEnd w:id="0"/>
    <w:r w:rsidRPr="00BE12B1">
      <w:rPr>
        <w:noProof/>
        <w:color w:val="003E69"/>
        <w:sz w:val="60"/>
        <w:szCs w:val="60"/>
      </w:rPr>
      <w:drawing>
        <wp:anchor distT="0" distB="0" distL="114300" distR="114300" simplePos="0" relativeHeight="251683840" behindDoc="1" locked="0" layoutInCell="1" allowOverlap="1" wp14:anchorId="618834ED" wp14:editId="7BE2D3DA">
          <wp:simplePos x="0" y="0"/>
          <wp:positionH relativeFrom="page">
            <wp:posOffset>-1340069</wp:posOffset>
          </wp:positionH>
          <wp:positionV relativeFrom="paragraph">
            <wp:posOffset>601652</wp:posOffset>
          </wp:positionV>
          <wp:extent cx="9068766" cy="6195848"/>
          <wp:effectExtent l="0" t="0" r="0" b="0"/>
          <wp:wrapNone/>
          <wp:docPr id="1212044871" name="Picture 1" descr="A vehicle driving on an unsealed section of the Clermont - Alpha Roa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44871" name="Picture 1" descr="A vehicle driving on an unsealed section of the Clermont - Alpha Road.">
                    <a:extLst>
                      <a:ext uri="{C183D7F6-B498-43B3-948B-1728B52AA6E4}">
                        <adec:decorative xmlns:adec="http://schemas.microsoft.com/office/drawing/2017/decorative" val="0"/>
                      </a:ext>
                    </a:extLst>
                  </pic:cNvPr>
                  <pic:cNvPicPr/>
                </pic:nvPicPr>
                <pic:blipFill rotWithShape="1">
                  <a:blip r:embed="rId1" cstate="print">
                    <a:extLst>
                      <a:ext uri="{28A0092B-C50C-407E-A947-70E740481C1C}">
                        <a14:useLocalDpi xmlns:a14="http://schemas.microsoft.com/office/drawing/2010/main" val="0"/>
                      </a:ext>
                    </a:extLst>
                  </a:blip>
                  <a:srcRect l="31491" r="897"/>
                  <a:stretch/>
                </pic:blipFill>
                <pic:spPr bwMode="auto">
                  <a:xfrm>
                    <a:off x="0" y="0"/>
                    <a:ext cx="9073709" cy="619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5033">
      <w:rPr>
        <w:noProof/>
      </w:rPr>
      <w:drawing>
        <wp:anchor distT="0" distB="0" distL="114300" distR="114300" simplePos="0" relativeHeight="251661312" behindDoc="1" locked="1" layoutInCell="1" allowOverlap="1" wp14:anchorId="066FC933" wp14:editId="4B3150CF">
          <wp:simplePos x="0" y="0"/>
          <wp:positionH relativeFrom="margin">
            <wp:posOffset>-900430</wp:posOffset>
          </wp:positionH>
          <wp:positionV relativeFrom="margin">
            <wp:posOffset>-7651115</wp:posOffset>
          </wp:positionV>
          <wp:extent cx="7555230" cy="10686415"/>
          <wp:effectExtent l="0" t="0" r="7620" b="635"/>
          <wp:wrapNone/>
          <wp:docPr id="974455676" name="Picture 9744556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55676" name="Picture 97445567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5230" cy="106864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79FA2" w14:textId="3CD0F13F" w:rsidR="003F6203" w:rsidRDefault="003F62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6E3AA" w14:textId="36C3D614" w:rsidR="003F6203" w:rsidRDefault="003F620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9955C" w14:textId="56880FBF" w:rsidR="008113E9" w:rsidRDefault="008113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EC0B" w14:textId="07962652" w:rsidR="003F6203" w:rsidRDefault="003F620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5E79F" w14:textId="2648DDC6" w:rsidR="003F6203" w:rsidRDefault="003F620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D359A" w14:textId="11F88F17" w:rsidR="008113E9" w:rsidRDefault="008113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EC5EDA"/>
    <w:multiLevelType w:val="hybridMultilevel"/>
    <w:tmpl w:val="8586D2F2"/>
    <w:lvl w:ilvl="0" w:tplc="0DC81C44">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62DC5DF0"/>
    <w:multiLevelType w:val="multilevel"/>
    <w:tmpl w:val="1D8E4C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3D246ED"/>
    <w:multiLevelType w:val="multilevel"/>
    <w:tmpl w:val="C9D46C44"/>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3" w15:restartNumberingAfterBreak="0">
    <w:nsid w:val="67655653"/>
    <w:multiLevelType w:val="singleLevel"/>
    <w:tmpl w:val="F626B85E"/>
    <w:name w:val="Bullet List 3"/>
    <w:lvl w:ilvl="0">
      <w:start w:val="1"/>
      <w:numFmt w:val="bullet"/>
      <w:pStyle w:val="ListBullet3"/>
      <w:lvlText w:val="○"/>
      <w:lvlJc w:val="left"/>
      <w:pPr>
        <w:ind w:left="1000" w:hanging="360"/>
      </w:pPr>
      <w:rPr>
        <w:rFonts w:ascii="Arial" w:hAnsi="Arial" w:hint="default"/>
      </w:rPr>
    </w:lvl>
  </w:abstractNum>
  <w:abstractNum w:abstractNumId="4" w15:restartNumberingAfterBreak="0">
    <w:nsid w:val="78146310"/>
    <w:multiLevelType w:val="hybridMultilevel"/>
    <w:tmpl w:val="DE32C05A"/>
    <w:lvl w:ilvl="0" w:tplc="0C090001">
      <w:start w:val="1"/>
      <w:numFmt w:val="bullet"/>
      <w:lvlText w:val=""/>
      <w:lvlJc w:val="left"/>
      <w:pPr>
        <w:ind w:left="814" w:hanging="360"/>
      </w:pPr>
      <w:rPr>
        <w:rFonts w:ascii="Symbol" w:hAnsi="Symbol" w:hint="default"/>
      </w:rPr>
    </w:lvl>
    <w:lvl w:ilvl="1" w:tplc="FFFFFFFF">
      <w:start w:val="1"/>
      <w:numFmt w:val="bullet"/>
      <w:lvlText w:val="o"/>
      <w:lvlJc w:val="left"/>
      <w:pPr>
        <w:ind w:left="1534" w:hanging="360"/>
      </w:pPr>
      <w:rPr>
        <w:rFonts w:ascii="Courier New" w:hAnsi="Courier New" w:cs="Courier New" w:hint="default"/>
      </w:rPr>
    </w:lvl>
    <w:lvl w:ilvl="2" w:tplc="FFFFFFFF">
      <w:start w:val="1"/>
      <w:numFmt w:val="bullet"/>
      <w:lvlText w:val=""/>
      <w:lvlJc w:val="left"/>
      <w:pPr>
        <w:ind w:left="2254" w:hanging="360"/>
      </w:pPr>
      <w:rPr>
        <w:rFonts w:ascii="Wingdings" w:hAnsi="Wingdings" w:hint="default"/>
      </w:rPr>
    </w:lvl>
    <w:lvl w:ilvl="3" w:tplc="FFFFFFFF">
      <w:start w:val="1"/>
      <w:numFmt w:val="bullet"/>
      <w:lvlText w:val=""/>
      <w:lvlJc w:val="left"/>
      <w:pPr>
        <w:ind w:left="2974" w:hanging="360"/>
      </w:pPr>
      <w:rPr>
        <w:rFonts w:ascii="Symbol" w:hAnsi="Symbol" w:hint="default"/>
      </w:rPr>
    </w:lvl>
    <w:lvl w:ilvl="4" w:tplc="FFFFFFFF">
      <w:start w:val="1"/>
      <w:numFmt w:val="bullet"/>
      <w:lvlText w:val="o"/>
      <w:lvlJc w:val="left"/>
      <w:pPr>
        <w:ind w:left="3694" w:hanging="360"/>
      </w:pPr>
      <w:rPr>
        <w:rFonts w:ascii="Courier New" w:hAnsi="Courier New" w:cs="Courier New" w:hint="default"/>
      </w:rPr>
    </w:lvl>
    <w:lvl w:ilvl="5" w:tplc="FFFFFFFF">
      <w:start w:val="1"/>
      <w:numFmt w:val="bullet"/>
      <w:lvlText w:val=""/>
      <w:lvlJc w:val="left"/>
      <w:pPr>
        <w:ind w:left="4414" w:hanging="360"/>
      </w:pPr>
      <w:rPr>
        <w:rFonts w:ascii="Wingdings" w:hAnsi="Wingdings" w:hint="default"/>
      </w:rPr>
    </w:lvl>
    <w:lvl w:ilvl="6" w:tplc="FFFFFFFF">
      <w:start w:val="1"/>
      <w:numFmt w:val="bullet"/>
      <w:lvlText w:val=""/>
      <w:lvlJc w:val="left"/>
      <w:pPr>
        <w:ind w:left="5134" w:hanging="360"/>
      </w:pPr>
      <w:rPr>
        <w:rFonts w:ascii="Symbol" w:hAnsi="Symbol" w:hint="default"/>
      </w:rPr>
    </w:lvl>
    <w:lvl w:ilvl="7" w:tplc="FFFFFFFF">
      <w:start w:val="1"/>
      <w:numFmt w:val="bullet"/>
      <w:lvlText w:val="o"/>
      <w:lvlJc w:val="left"/>
      <w:pPr>
        <w:ind w:left="5854" w:hanging="360"/>
      </w:pPr>
      <w:rPr>
        <w:rFonts w:ascii="Courier New" w:hAnsi="Courier New" w:cs="Courier New" w:hint="default"/>
      </w:rPr>
    </w:lvl>
    <w:lvl w:ilvl="8" w:tplc="FFFFFFFF">
      <w:start w:val="1"/>
      <w:numFmt w:val="bullet"/>
      <w:lvlText w:val=""/>
      <w:lvlJc w:val="left"/>
      <w:pPr>
        <w:ind w:left="6574" w:hanging="360"/>
      </w:pPr>
      <w:rPr>
        <w:rFonts w:ascii="Wingdings" w:hAnsi="Wingdings" w:hint="default"/>
      </w:rPr>
    </w:lvl>
  </w:abstractNum>
  <w:abstractNum w:abstractNumId="5" w15:restartNumberingAfterBreak="0">
    <w:nsid w:val="7E61285D"/>
    <w:multiLevelType w:val="singleLevel"/>
    <w:tmpl w:val="DADE1A62"/>
    <w:name w:val="Bullet List 1"/>
    <w:lvl w:ilvl="0">
      <w:start w:val="1"/>
      <w:numFmt w:val="bullet"/>
      <w:lvlRestart w:val="0"/>
      <w:lvlText w:val=""/>
      <w:lvlJc w:val="left"/>
      <w:pPr>
        <w:tabs>
          <w:tab w:val="num" w:pos="567"/>
        </w:tabs>
        <w:ind w:left="567" w:hanging="567"/>
      </w:pPr>
      <w:rPr>
        <w:rFonts w:ascii="Symbol" w:hAnsi="Symbol" w:hint="default"/>
      </w:rPr>
    </w:lvl>
  </w:abstractNum>
  <w:abstractNum w:abstractNumId="6" w15:restartNumberingAfterBreak="0">
    <w:nsid w:val="7FB7528C"/>
    <w:multiLevelType w:val="singleLevel"/>
    <w:tmpl w:val="A8E2679A"/>
    <w:lvl w:ilvl="0">
      <w:start w:val="1"/>
      <w:numFmt w:val="bullet"/>
      <w:pStyle w:val="ListBullet2"/>
      <w:lvlText w:val="̶"/>
      <w:lvlJc w:val="left"/>
      <w:pPr>
        <w:ind w:left="720" w:hanging="360"/>
      </w:pPr>
      <w:rPr>
        <w:rFonts w:ascii="Arial" w:hAnsi="Arial" w:hint="default"/>
      </w:rPr>
    </w:lvl>
  </w:abstractNum>
  <w:num w:numId="1" w16cid:durableId="611714971">
    <w:abstractNumId w:val="2"/>
  </w:num>
  <w:num w:numId="2" w16cid:durableId="1764453121">
    <w:abstractNumId w:val="6"/>
  </w:num>
  <w:num w:numId="3" w16cid:durableId="1647666585">
    <w:abstractNumId w:val="3"/>
  </w:num>
  <w:num w:numId="4" w16cid:durableId="1921984302">
    <w:abstractNumId w:val="0"/>
  </w:num>
  <w:num w:numId="5" w16cid:durableId="437530635">
    <w:abstractNumId w:val="4"/>
  </w:num>
  <w:num w:numId="6" w16cid:durableId="162671048">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proofState w:spelling="clean" w:grammar="clean"/>
  <w:stylePaneFormatFilter w:val="9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1"/>
  <w:stylePaneSortMethod w:val="0004"/>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8CC"/>
    <w:rsid w:val="000126D6"/>
    <w:rsid w:val="00012CAD"/>
    <w:rsid w:val="0001356D"/>
    <w:rsid w:val="00024C73"/>
    <w:rsid w:val="00035E5B"/>
    <w:rsid w:val="00040D81"/>
    <w:rsid w:val="000623DB"/>
    <w:rsid w:val="00063EC5"/>
    <w:rsid w:val="00067CCE"/>
    <w:rsid w:val="00073B95"/>
    <w:rsid w:val="000852B6"/>
    <w:rsid w:val="000919D4"/>
    <w:rsid w:val="00093669"/>
    <w:rsid w:val="000A21FE"/>
    <w:rsid w:val="000B62D3"/>
    <w:rsid w:val="000C4ABA"/>
    <w:rsid w:val="00101A73"/>
    <w:rsid w:val="00140CB2"/>
    <w:rsid w:val="00154AB7"/>
    <w:rsid w:val="00171882"/>
    <w:rsid w:val="00172F20"/>
    <w:rsid w:val="00176C4B"/>
    <w:rsid w:val="0018390F"/>
    <w:rsid w:val="0018783A"/>
    <w:rsid w:val="00190D28"/>
    <w:rsid w:val="00196630"/>
    <w:rsid w:val="001A2F59"/>
    <w:rsid w:val="001A3FDE"/>
    <w:rsid w:val="001C75D8"/>
    <w:rsid w:val="001D17A2"/>
    <w:rsid w:val="001E3F0A"/>
    <w:rsid w:val="001F3F89"/>
    <w:rsid w:val="00204A19"/>
    <w:rsid w:val="00207E53"/>
    <w:rsid w:val="00216C9B"/>
    <w:rsid w:val="002203EC"/>
    <w:rsid w:val="00242092"/>
    <w:rsid w:val="00251AA3"/>
    <w:rsid w:val="00267FDF"/>
    <w:rsid w:val="00281FEA"/>
    <w:rsid w:val="002909B5"/>
    <w:rsid w:val="00293985"/>
    <w:rsid w:val="002A7912"/>
    <w:rsid w:val="002B1986"/>
    <w:rsid w:val="002D34A2"/>
    <w:rsid w:val="002D489B"/>
    <w:rsid w:val="002D6346"/>
    <w:rsid w:val="002D7D2F"/>
    <w:rsid w:val="002F2965"/>
    <w:rsid w:val="002F2FF2"/>
    <w:rsid w:val="002F502D"/>
    <w:rsid w:val="003054BF"/>
    <w:rsid w:val="00321BB9"/>
    <w:rsid w:val="00330284"/>
    <w:rsid w:val="0034090D"/>
    <w:rsid w:val="003442B5"/>
    <w:rsid w:val="003533A6"/>
    <w:rsid w:val="00394461"/>
    <w:rsid w:val="003B25E3"/>
    <w:rsid w:val="003B4322"/>
    <w:rsid w:val="003C73AE"/>
    <w:rsid w:val="003D1BD6"/>
    <w:rsid w:val="003D3DDE"/>
    <w:rsid w:val="003E0083"/>
    <w:rsid w:val="003E38DC"/>
    <w:rsid w:val="003F021E"/>
    <w:rsid w:val="003F6203"/>
    <w:rsid w:val="0042018F"/>
    <w:rsid w:val="004207B9"/>
    <w:rsid w:val="00421A5B"/>
    <w:rsid w:val="00435625"/>
    <w:rsid w:val="00444D2D"/>
    <w:rsid w:val="004473C8"/>
    <w:rsid w:val="004568C1"/>
    <w:rsid w:val="00482035"/>
    <w:rsid w:val="00485A2E"/>
    <w:rsid w:val="00486E3B"/>
    <w:rsid w:val="00492B82"/>
    <w:rsid w:val="00492FF4"/>
    <w:rsid w:val="004B1945"/>
    <w:rsid w:val="004B5948"/>
    <w:rsid w:val="004C6FAE"/>
    <w:rsid w:val="004D04FF"/>
    <w:rsid w:val="004D56A9"/>
    <w:rsid w:val="004F108A"/>
    <w:rsid w:val="00503AD7"/>
    <w:rsid w:val="005075D9"/>
    <w:rsid w:val="00511F74"/>
    <w:rsid w:val="00514C17"/>
    <w:rsid w:val="00517CEA"/>
    <w:rsid w:val="005241D3"/>
    <w:rsid w:val="005356D0"/>
    <w:rsid w:val="00545452"/>
    <w:rsid w:val="00546311"/>
    <w:rsid w:val="00554223"/>
    <w:rsid w:val="00560347"/>
    <w:rsid w:val="00567279"/>
    <w:rsid w:val="00570BF1"/>
    <w:rsid w:val="00572ECD"/>
    <w:rsid w:val="0057777A"/>
    <w:rsid w:val="00596985"/>
    <w:rsid w:val="005B366A"/>
    <w:rsid w:val="005B4843"/>
    <w:rsid w:val="005B5D84"/>
    <w:rsid w:val="005B5DD8"/>
    <w:rsid w:val="005C435D"/>
    <w:rsid w:val="005D1774"/>
    <w:rsid w:val="005F07A0"/>
    <w:rsid w:val="00601688"/>
    <w:rsid w:val="006273A8"/>
    <w:rsid w:val="00650A5D"/>
    <w:rsid w:val="0067263C"/>
    <w:rsid w:val="0067596A"/>
    <w:rsid w:val="0068573B"/>
    <w:rsid w:val="006902D2"/>
    <w:rsid w:val="00692EE8"/>
    <w:rsid w:val="006A257D"/>
    <w:rsid w:val="006C1B69"/>
    <w:rsid w:val="006C1DDF"/>
    <w:rsid w:val="006E4323"/>
    <w:rsid w:val="006F44A2"/>
    <w:rsid w:val="006F7B3D"/>
    <w:rsid w:val="00704D99"/>
    <w:rsid w:val="00715DBD"/>
    <w:rsid w:val="00723604"/>
    <w:rsid w:val="00726737"/>
    <w:rsid w:val="00730075"/>
    <w:rsid w:val="00737BE9"/>
    <w:rsid w:val="00737DCA"/>
    <w:rsid w:val="00747BA3"/>
    <w:rsid w:val="00763044"/>
    <w:rsid w:val="007777F6"/>
    <w:rsid w:val="00794CEF"/>
    <w:rsid w:val="007A64E3"/>
    <w:rsid w:val="007A6B20"/>
    <w:rsid w:val="007B1D1E"/>
    <w:rsid w:val="007B55B4"/>
    <w:rsid w:val="007B5787"/>
    <w:rsid w:val="007D6249"/>
    <w:rsid w:val="007E0A51"/>
    <w:rsid w:val="007E0CD4"/>
    <w:rsid w:val="007E40AF"/>
    <w:rsid w:val="007E45D3"/>
    <w:rsid w:val="007E5D9B"/>
    <w:rsid w:val="007E6613"/>
    <w:rsid w:val="007F00CE"/>
    <w:rsid w:val="007F7402"/>
    <w:rsid w:val="00805CF7"/>
    <w:rsid w:val="008113E9"/>
    <w:rsid w:val="00812BEF"/>
    <w:rsid w:val="00817400"/>
    <w:rsid w:val="00831DDA"/>
    <w:rsid w:val="00832E05"/>
    <w:rsid w:val="0083496B"/>
    <w:rsid w:val="0084404D"/>
    <w:rsid w:val="00850F61"/>
    <w:rsid w:val="0087086F"/>
    <w:rsid w:val="00873D82"/>
    <w:rsid w:val="00877B7A"/>
    <w:rsid w:val="0088793C"/>
    <w:rsid w:val="008938DB"/>
    <w:rsid w:val="008A05EE"/>
    <w:rsid w:val="008A378D"/>
    <w:rsid w:val="008A6714"/>
    <w:rsid w:val="008A7368"/>
    <w:rsid w:val="008C0F00"/>
    <w:rsid w:val="008D375B"/>
    <w:rsid w:val="008D4272"/>
    <w:rsid w:val="008D45CD"/>
    <w:rsid w:val="008E08B2"/>
    <w:rsid w:val="008F1000"/>
    <w:rsid w:val="008F15FD"/>
    <w:rsid w:val="008F79AE"/>
    <w:rsid w:val="00900DEE"/>
    <w:rsid w:val="00910872"/>
    <w:rsid w:val="00923EA4"/>
    <w:rsid w:val="00924579"/>
    <w:rsid w:val="009330AD"/>
    <w:rsid w:val="00936D2C"/>
    <w:rsid w:val="0094184C"/>
    <w:rsid w:val="00954EB3"/>
    <w:rsid w:val="00955CFE"/>
    <w:rsid w:val="00966CEB"/>
    <w:rsid w:val="00980755"/>
    <w:rsid w:val="00984F2A"/>
    <w:rsid w:val="009868A8"/>
    <w:rsid w:val="009A127C"/>
    <w:rsid w:val="009A496D"/>
    <w:rsid w:val="009A4AED"/>
    <w:rsid w:val="009B024D"/>
    <w:rsid w:val="009B06E8"/>
    <w:rsid w:val="009C476A"/>
    <w:rsid w:val="009E5987"/>
    <w:rsid w:val="009F56B2"/>
    <w:rsid w:val="00A1040E"/>
    <w:rsid w:val="00A13321"/>
    <w:rsid w:val="00A250D6"/>
    <w:rsid w:val="00A276EB"/>
    <w:rsid w:val="00A35033"/>
    <w:rsid w:val="00A5085B"/>
    <w:rsid w:val="00A5147E"/>
    <w:rsid w:val="00A51CDC"/>
    <w:rsid w:val="00A60B6F"/>
    <w:rsid w:val="00A63DCB"/>
    <w:rsid w:val="00A67B95"/>
    <w:rsid w:val="00A77553"/>
    <w:rsid w:val="00A85502"/>
    <w:rsid w:val="00A9280E"/>
    <w:rsid w:val="00AB634F"/>
    <w:rsid w:val="00AD1312"/>
    <w:rsid w:val="00AE2692"/>
    <w:rsid w:val="00AF5C60"/>
    <w:rsid w:val="00B01571"/>
    <w:rsid w:val="00B01C8E"/>
    <w:rsid w:val="00B02107"/>
    <w:rsid w:val="00B0588B"/>
    <w:rsid w:val="00B1179E"/>
    <w:rsid w:val="00B15F3B"/>
    <w:rsid w:val="00B44A61"/>
    <w:rsid w:val="00B46CA8"/>
    <w:rsid w:val="00B54845"/>
    <w:rsid w:val="00B56ABB"/>
    <w:rsid w:val="00B65437"/>
    <w:rsid w:val="00B66571"/>
    <w:rsid w:val="00B70360"/>
    <w:rsid w:val="00B85186"/>
    <w:rsid w:val="00B94111"/>
    <w:rsid w:val="00BA2D14"/>
    <w:rsid w:val="00BB1F42"/>
    <w:rsid w:val="00BB29BA"/>
    <w:rsid w:val="00BB35E9"/>
    <w:rsid w:val="00BC1C7D"/>
    <w:rsid w:val="00BE0BE9"/>
    <w:rsid w:val="00BE12B1"/>
    <w:rsid w:val="00BE6395"/>
    <w:rsid w:val="00C0623C"/>
    <w:rsid w:val="00C12AC8"/>
    <w:rsid w:val="00C142A9"/>
    <w:rsid w:val="00C26415"/>
    <w:rsid w:val="00C358A6"/>
    <w:rsid w:val="00C371CC"/>
    <w:rsid w:val="00C3733E"/>
    <w:rsid w:val="00C37DC0"/>
    <w:rsid w:val="00C61610"/>
    <w:rsid w:val="00C6493C"/>
    <w:rsid w:val="00C72187"/>
    <w:rsid w:val="00C77FAA"/>
    <w:rsid w:val="00C85784"/>
    <w:rsid w:val="00C8581E"/>
    <w:rsid w:val="00C938CC"/>
    <w:rsid w:val="00CB03AE"/>
    <w:rsid w:val="00CB5194"/>
    <w:rsid w:val="00CB6F7C"/>
    <w:rsid w:val="00CC58D5"/>
    <w:rsid w:val="00CE0CFA"/>
    <w:rsid w:val="00D242AE"/>
    <w:rsid w:val="00D310FD"/>
    <w:rsid w:val="00D34E36"/>
    <w:rsid w:val="00D37356"/>
    <w:rsid w:val="00D62542"/>
    <w:rsid w:val="00D77F76"/>
    <w:rsid w:val="00D8103A"/>
    <w:rsid w:val="00D813A0"/>
    <w:rsid w:val="00D840FD"/>
    <w:rsid w:val="00D91F41"/>
    <w:rsid w:val="00DB782F"/>
    <w:rsid w:val="00DC0880"/>
    <w:rsid w:val="00DC4879"/>
    <w:rsid w:val="00DC7CAF"/>
    <w:rsid w:val="00DD7258"/>
    <w:rsid w:val="00DE0712"/>
    <w:rsid w:val="00DE7A0F"/>
    <w:rsid w:val="00DF29E6"/>
    <w:rsid w:val="00E019E8"/>
    <w:rsid w:val="00E03D3D"/>
    <w:rsid w:val="00E302D5"/>
    <w:rsid w:val="00E40381"/>
    <w:rsid w:val="00E412D7"/>
    <w:rsid w:val="00E4305A"/>
    <w:rsid w:val="00E43405"/>
    <w:rsid w:val="00E434E1"/>
    <w:rsid w:val="00E65D28"/>
    <w:rsid w:val="00E712EE"/>
    <w:rsid w:val="00EB21D5"/>
    <w:rsid w:val="00EB3C3D"/>
    <w:rsid w:val="00EF4EAD"/>
    <w:rsid w:val="00F06129"/>
    <w:rsid w:val="00F12B31"/>
    <w:rsid w:val="00F1727E"/>
    <w:rsid w:val="00F17E91"/>
    <w:rsid w:val="00F266F9"/>
    <w:rsid w:val="00F353AC"/>
    <w:rsid w:val="00F3649F"/>
    <w:rsid w:val="00F518AD"/>
    <w:rsid w:val="00F77ECC"/>
    <w:rsid w:val="00F82919"/>
    <w:rsid w:val="00F872AD"/>
    <w:rsid w:val="00F954E2"/>
    <w:rsid w:val="00FA2D46"/>
    <w:rsid w:val="00FB059B"/>
    <w:rsid w:val="00FC76B9"/>
    <w:rsid w:val="00FD0817"/>
    <w:rsid w:val="00FD0FF7"/>
    <w:rsid w:val="00FD1276"/>
    <w:rsid w:val="00FD24F6"/>
    <w:rsid w:val="00FD6042"/>
    <w:rsid w:val="00FF13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56C6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3E9"/>
    <w:pPr>
      <w:suppressAutoHyphens/>
      <w:spacing w:before="160" w:after="240" w:line="320" w:lineRule="atLeast"/>
    </w:pPr>
    <w:rPr>
      <w:rFonts w:ascii="Arial" w:hAnsi="Arial"/>
      <w:color w:val="2F2F2F" w:themeColor="text1" w:themeTint="E6"/>
      <w:sz w:val="24"/>
    </w:rPr>
  </w:style>
  <w:style w:type="paragraph" w:styleId="Heading1">
    <w:name w:val="heading 1"/>
    <w:basedOn w:val="Normal"/>
    <w:next w:val="Normal"/>
    <w:link w:val="Heading1Char"/>
    <w:uiPriority w:val="9"/>
    <w:qFormat/>
    <w:rsid w:val="00486E3B"/>
    <w:pPr>
      <w:keepNext/>
      <w:keepLines/>
      <w:spacing w:before="480" w:line="680" w:lineRule="atLeast"/>
      <w:outlineLvl w:val="0"/>
    </w:pPr>
    <w:rPr>
      <w:rFonts w:eastAsiaTheme="majorEastAsia" w:cstheme="majorBidi"/>
      <w:color w:val="003E69"/>
      <w:sz w:val="60"/>
      <w:szCs w:val="36"/>
    </w:rPr>
  </w:style>
  <w:style w:type="paragraph" w:styleId="Heading2">
    <w:name w:val="heading 2"/>
    <w:basedOn w:val="Heading1"/>
    <w:next w:val="Normal"/>
    <w:link w:val="Heading2Char"/>
    <w:uiPriority w:val="9"/>
    <w:unhideWhenUsed/>
    <w:qFormat/>
    <w:rsid w:val="003054BF"/>
    <w:pPr>
      <w:spacing w:line="520" w:lineRule="atLeast"/>
      <w:outlineLvl w:val="1"/>
    </w:pPr>
    <w:rPr>
      <w:color w:val="001531" w:themeColor="background2" w:themeShade="1A"/>
      <w:sz w:val="44"/>
      <w:szCs w:val="32"/>
    </w:rPr>
  </w:style>
  <w:style w:type="paragraph" w:styleId="Heading3">
    <w:name w:val="heading 3"/>
    <w:basedOn w:val="Heading1"/>
    <w:next w:val="Normal"/>
    <w:link w:val="Heading3Char"/>
    <w:uiPriority w:val="9"/>
    <w:unhideWhenUsed/>
    <w:qFormat/>
    <w:rsid w:val="008F1000"/>
    <w:pPr>
      <w:spacing w:line="440" w:lineRule="atLeast"/>
      <w:outlineLvl w:val="2"/>
    </w:pPr>
    <w:rPr>
      <w:sz w:val="36"/>
      <w:szCs w:val="28"/>
    </w:rPr>
  </w:style>
  <w:style w:type="paragraph" w:styleId="Heading4">
    <w:name w:val="heading 4"/>
    <w:basedOn w:val="Heading1"/>
    <w:next w:val="Normal"/>
    <w:link w:val="Heading4Char"/>
    <w:autoRedefine/>
    <w:uiPriority w:val="9"/>
    <w:unhideWhenUsed/>
    <w:qFormat/>
    <w:rsid w:val="005B5DD8"/>
    <w:pPr>
      <w:spacing w:line="360" w:lineRule="atLeast"/>
      <w:outlineLvl w:val="3"/>
    </w:pPr>
    <w:rPr>
      <w:color w:val="063A72" w:themeColor="accent1"/>
      <w:sz w:val="28"/>
      <w:szCs w:val="24"/>
    </w:rPr>
  </w:style>
  <w:style w:type="paragraph" w:styleId="Heading5">
    <w:name w:val="heading 5"/>
    <w:basedOn w:val="Normal"/>
    <w:next w:val="Normal"/>
    <w:link w:val="Heading5Char"/>
    <w:uiPriority w:val="9"/>
    <w:unhideWhenUsed/>
    <w:qFormat/>
    <w:rsid w:val="005B5DD8"/>
    <w:pPr>
      <w:keepNext/>
      <w:keepLines/>
      <w:spacing w:before="480"/>
      <w:outlineLvl w:val="4"/>
    </w:pPr>
    <w:rPr>
      <w:rFonts w:asciiTheme="majorHAnsi" w:eastAsiaTheme="majorEastAsia" w:hAnsiTheme="majorHAnsi" w:cstheme="majorBidi"/>
      <w:b/>
      <w:color w:val="03264C" w:themeColor="text2"/>
    </w:rPr>
  </w:style>
  <w:style w:type="paragraph" w:styleId="Heading6">
    <w:name w:val="heading 6"/>
    <w:basedOn w:val="Normal"/>
    <w:next w:val="Normal"/>
    <w:link w:val="Heading6Char"/>
    <w:uiPriority w:val="9"/>
    <w:unhideWhenUsed/>
    <w:qFormat/>
    <w:rsid w:val="00B56ABB"/>
    <w:pPr>
      <w:keepNext/>
      <w:keepLines/>
      <w:spacing w:before="40"/>
      <w:outlineLvl w:val="5"/>
    </w:pPr>
    <w:rPr>
      <w:rFonts w:asciiTheme="majorHAnsi" w:eastAsiaTheme="majorEastAsia" w:hAnsiTheme="majorHAnsi" w:cstheme="majorBidi"/>
      <w:i/>
      <w:iCs/>
      <w:caps/>
      <w:color w:val="031C39" w:themeColor="accent1" w:themeShade="80"/>
    </w:rPr>
  </w:style>
  <w:style w:type="paragraph" w:styleId="Heading7">
    <w:name w:val="heading 7"/>
    <w:basedOn w:val="Normal"/>
    <w:next w:val="Normal"/>
    <w:link w:val="Heading7Char"/>
    <w:uiPriority w:val="9"/>
    <w:semiHidden/>
    <w:unhideWhenUsed/>
    <w:qFormat/>
    <w:rsid w:val="00B56ABB"/>
    <w:pPr>
      <w:keepNext/>
      <w:keepLines/>
      <w:spacing w:before="40"/>
      <w:outlineLvl w:val="6"/>
    </w:pPr>
    <w:rPr>
      <w:rFonts w:asciiTheme="majorHAnsi" w:eastAsiaTheme="majorEastAsia" w:hAnsiTheme="majorHAnsi" w:cstheme="majorBidi"/>
      <w:b/>
      <w:bCs/>
      <w:color w:val="031C39" w:themeColor="accent1" w:themeShade="80"/>
    </w:rPr>
  </w:style>
  <w:style w:type="paragraph" w:styleId="Heading8">
    <w:name w:val="heading 8"/>
    <w:basedOn w:val="Normal"/>
    <w:next w:val="Normal"/>
    <w:link w:val="Heading8Char"/>
    <w:uiPriority w:val="9"/>
    <w:semiHidden/>
    <w:unhideWhenUsed/>
    <w:qFormat/>
    <w:rsid w:val="00B56ABB"/>
    <w:pPr>
      <w:keepNext/>
      <w:keepLines/>
      <w:spacing w:before="40"/>
      <w:outlineLvl w:val="7"/>
    </w:pPr>
    <w:rPr>
      <w:rFonts w:asciiTheme="majorHAnsi" w:eastAsiaTheme="majorEastAsia" w:hAnsiTheme="majorHAnsi" w:cstheme="majorBidi"/>
      <w:b/>
      <w:bCs/>
      <w:i/>
      <w:iCs/>
      <w:color w:val="031C39" w:themeColor="accent1" w:themeShade="80"/>
    </w:rPr>
  </w:style>
  <w:style w:type="paragraph" w:styleId="Heading9">
    <w:name w:val="heading 9"/>
    <w:basedOn w:val="Normal"/>
    <w:next w:val="Normal"/>
    <w:link w:val="Heading9Char"/>
    <w:uiPriority w:val="9"/>
    <w:semiHidden/>
    <w:unhideWhenUsed/>
    <w:qFormat/>
    <w:rsid w:val="00B56ABB"/>
    <w:pPr>
      <w:keepNext/>
      <w:keepLines/>
      <w:spacing w:before="40"/>
      <w:outlineLvl w:val="8"/>
    </w:pPr>
    <w:rPr>
      <w:rFonts w:asciiTheme="majorHAnsi" w:eastAsiaTheme="majorEastAsia" w:hAnsiTheme="majorHAnsi" w:cstheme="majorBidi"/>
      <w:i/>
      <w:iCs/>
      <w:color w:val="031C3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99"/>
    <w:unhideWhenUsed/>
    <w:rsid w:val="00A51CDC"/>
    <w:pPr>
      <w:framePr w:wrap="around" w:vAnchor="text" w:hAnchor="text" w:y="1"/>
      <w:pBdr>
        <w:top w:val="single" w:sz="2" w:space="8" w:color="C5C5C5" w:themeColor="text1" w:themeTint="40"/>
        <w:left w:val="single" w:sz="2" w:space="8" w:color="C5C5C5" w:themeColor="text1" w:themeTint="40"/>
        <w:bottom w:val="single" w:sz="2" w:space="8" w:color="C5C5C5" w:themeColor="text1" w:themeTint="40"/>
        <w:right w:val="single" w:sz="2" w:space="8" w:color="C5C5C5" w:themeColor="text1" w:themeTint="40"/>
      </w:pBdr>
      <w:ind w:left="640" w:right="640"/>
    </w:pPr>
    <w:rPr>
      <w:rFonts w:asciiTheme="minorHAnsi" w:eastAsiaTheme="minorEastAsia" w:hAnsiTheme="minorHAnsi"/>
      <w:iCs/>
      <w:color w:val="001531" w:themeColor="background2" w:themeShade="1A"/>
    </w:rPr>
  </w:style>
  <w:style w:type="paragraph" w:styleId="MessageHeader">
    <w:name w:val="Message Header"/>
    <w:basedOn w:val="Normal"/>
    <w:link w:val="MessageHeaderChar"/>
    <w:uiPriority w:val="99"/>
    <w:unhideWhenUsed/>
    <w:rsid w:val="00A51CDC"/>
    <w:pPr>
      <w:pBdr>
        <w:top w:val="single" w:sz="6" w:space="8" w:color="C5C5C5" w:themeColor="text1" w:themeTint="40"/>
        <w:left w:val="single" w:sz="6" w:space="8" w:color="C5C5C5" w:themeColor="text1" w:themeTint="40"/>
        <w:bottom w:val="single" w:sz="6" w:space="8" w:color="C5C5C5" w:themeColor="text1" w:themeTint="40"/>
        <w:right w:val="single" w:sz="6" w:space="8" w:color="C5C5C5" w:themeColor="text1" w:themeTint="40"/>
      </w:pBdr>
      <w:shd w:val="clear" w:color="auto" w:fill="E6F1FF" w:themeFill="background2"/>
      <w:spacing w:before="480" w:after="480"/>
    </w:pPr>
    <w:rPr>
      <w:rFonts w:asciiTheme="majorHAnsi" w:eastAsiaTheme="majorEastAsia" w:hAnsiTheme="majorHAnsi" w:cstheme="majorBidi"/>
      <w:szCs w:val="24"/>
    </w:rPr>
  </w:style>
  <w:style w:type="paragraph" w:styleId="Footer">
    <w:name w:val="footer"/>
    <w:basedOn w:val="Normal"/>
    <w:link w:val="FooterChar"/>
    <w:uiPriority w:val="99"/>
    <w:unhideWhenUsed/>
    <w:rsid w:val="00D37356"/>
    <w:pPr>
      <w:tabs>
        <w:tab w:val="center" w:pos="4536"/>
        <w:tab w:val="right" w:pos="9072"/>
      </w:tabs>
      <w:spacing w:after="160" w:line="280" w:lineRule="exact"/>
    </w:pPr>
    <w:rPr>
      <w:color w:val="525252" w:themeColor="text1" w:themeTint="BF"/>
      <w:sz w:val="20"/>
    </w:rPr>
  </w:style>
  <w:style w:type="character" w:customStyle="1" w:styleId="FooterChar">
    <w:name w:val="Footer Char"/>
    <w:basedOn w:val="DefaultParagraphFont"/>
    <w:link w:val="Footer"/>
    <w:uiPriority w:val="99"/>
    <w:rsid w:val="000126D6"/>
    <w:rPr>
      <w:rFonts w:ascii="Arial" w:hAnsi="Arial"/>
      <w:color w:val="525252" w:themeColor="text1" w:themeTint="BF"/>
      <w:sz w:val="20"/>
    </w:rPr>
  </w:style>
  <w:style w:type="paragraph" w:styleId="Header">
    <w:name w:val="header"/>
    <w:basedOn w:val="Footer"/>
    <w:link w:val="HeaderChar"/>
    <w:uiPriority w:val="99"/>
    <w:unhideWhenUsed/>
    <w:rsid w:val="003054BF"/>
  </w:style>
  <w:style w:type="character" w:customStyle="1" w:styleId="HeaderChar">
    <w:name w:val="Header Char"/>
    <w:basedOn w:val="DefaultParagraphFont"/>
    <w:link w:val="Header"/>
    <w:uiPriority w:val="99"/>
    <w:rsid w:val="003054BF"/>
    <w:rPr>
      <w:rFonts w:ascii="Arial" w:hAnsi="Arial"/>
      <w:color w:val="525252" w:themeColor="text1" w:themeTint="BF"/>
      <w:sz w:val="20"/>
    </w:rPr>
  </w:style>
  <w:style w:type="paragraph" w:customStyle="1" w:styleId="Header2">
    <w:name w:val="Header 2"/>
    <w:basedOn w:val="Footer"/>
    <w:link w:val="Header2Char"/>
    <w:rsid w:val="00D37356"/>
  </w:style>
  <w:style w:type="character" w:customStyle="1" w:styleId="Header2Char">
    <w:name w:val="Header 2 Char"/>
    <w:basedOn w:val="DefaultParagraphFont"/>
    <w:link w:val="Header2"/>
    <w:rsid w:val="00D37356"/>
    <w:rPr>
      <w:rFonts w:ascii="Arial" w:hAnsi="Arial"/>
      <w:color w:val="525252" w:themeColor="text1" w:themeTint="BF"/>
      <w:sz w:val="20"/>
    </w:rPr>
  </w:style>
  <w:style w:type="paragraph" w:customStyle="1" w:styleId="Footer2">
    <w:name w:val="Footer 2"/>
    <w:basedOn w:val="Footer"/>
    <w:link w:val="Footer2Char"/>
    <w:rsid w:val="003054BF"/>
  </w:style>
  <w:style w:type="character" w:customStyle="1" w:styleId="Footer2Char">
    <w:name w:val="Footer 2 Char"/>
    <w:basedOn w:val="DefaultParagraphFont"/>
    <w:link w:val="Footer2"/>
    <w:rsid w:val="003054BF"/>
    <w:rPr>
      <w:rFonts w:ascii="Arial" w:hAnsi="Arial"/>
      <w:color w:val="525252" w:themeColor="text1" w:themeTint="BF"/>
      <w:sz w:val="20"/>
    </w:rPr>
  </w:style>
  <w:style w:type="paragraph" w:styleId="ListNumber">
    <w:name w:val="List Number"/>
    <w:basedOn w:val="Normal"/>
    <w:uiPriority w:val="99"/>
    <w:unhideWhenUsed/>
    <w:rsid w:val="00F82919"/>
    <w:pPr>
      <w:numPr>
        <w:numId w:val="1"/>
      </w:numPr>
      <w:tabs>
        <w:tab w:val="num" w:pos="320"/>
      </w:tabs>
      <w:spacing w:before="0" w:after="0"/>
      <w:ind w:left="318" w:hanging="318"/>
      <w:contextualSpacing/>
    </w:pPr>
  </w:style>
  <w:style w:type="paragraph" w:styleId="ListNumber2">
    <w:name w:val="List Number 2"/>
    <w:basedOn w:val="Normal"/>
    <w:uiPriority w:val="99"/>
    <w:unhideWhenUsed/>
    <w:rsid w:val="00F82919"/>
    <w:pPr>
      <w:numPr>
        <w:ilvl w:val="1"/>
        <w:numId w:val="1"/>
      </w:numPr>
      <w:tabs>
        <w:tab w:val="num" w:pos="320"/>
      </w:tabs>
      <w:spacing w:before="0" w:after="0"/>
      <w:ind w:left="879" w:hanging="561"/>
      <w:contextualSpacing/>
    </w:pPr>
  </w:style>
  <w:style w:type="paragraph" w:styleId="ListNumber3">
    <w:name w:val="List Number 3"/>
    <w:basedOn w:val="Normal"/>
    <w:uiPriority w:val="99"/>
    <w:unhideWhenUsed/>
    <w:rsid w:val="00F82919"/>
    <w:pPr>
      <w:numPr>
        <w:ilvl w:val="2"/>
        <w:numId w:val="1"/>
      </w:numPr>
      <w:spacing w:before="0" w:after="0"/>
      <w:ind w:left="1446"/>
      <w:contextualSpacing/>
    </w:pPr>
  </w:style>
  <w:style w:type="paragraph" w:styleId="ListBullet">
    <w:name w:val="List Bullet"/>
    <w:basedOn w:val="Normal"/>
    <w:uiPriority w:val="99"/>
    <w:unhideWhenUsed/>
    <w:rsid w:val="005B5DD8"/>
    <w:pPr>
      <w:numPr>
        <w:numId w:val="4"/>
      </w:numPr>
      <w:spacing w:before="0" w:after="0"/>
      <w:ind w:left="357" w:hanging="357"/>
      <w:contextualSpacing/>
    </w:pPr>
    <w:rPr>
      <w:lang w:eastAsia="en-AU"/>
    </w:rPr>
  </w:style>
  <w:style w:type="paragraph" w:styleId="ListBullet2">
    <w:name w:val="List Bullet 2"/>
    <w:basedOn w:val="Normal"/>
    <w:uiPriority w:val="99"/>
    <w:unhideWhenUsed/>
    <w:rsid w:val="005B5DD8"/>
    <w:pPr>
      <w:numPr>
        <w:numId w:val="2"/>
      </w:numPr>
      <w:tabs>
        <w:tab w:val="left" w:pos="160"/>
      </w:tabs>
      <w:spacing w:before="0" w:after="0"/>
      <w:ind w:left="918" w:hanging="357"/>
      <w:contextualSpacing/>
    </w:pPr>
  </w:style>
  <w:style w:type="paragraph" w:styleId="ListBullet3">
    <w:name w:val="List Bullet 3"/>
    <w:basedOn w:val="Normal"/>
    <w:autoRedefine/>
    <w:uiPriority w:val="99"/>
    <w:unhideWhenUsed/>
    <w:rsid w:val="005B5DD8"/>
    <w:pPr>
      <w:numPr>
        <w:numId w:val="3"/>
      </w:numPr>
      <w:tabs>
        <w:tab w:val="num" w:pos="1701"/>
      </w:tabs>
      <w:spacing w:before="0" w:after="0"/>
      <w:ind w:left="1236" w:hanging="357"/>
      <w:contextualSpacing/>
    </w:pPr>
  </w:style>
  <w:style w:type="paragraph" w:styleId="EnvelopeAddress">
    <w:name w:val="envelope address"/>
    <w:basedOn w:val="Normal"/>
    <w:uiPriority w:val="99"/>
    <w:semiHidden/>
    <w:unhideWhenUsed/>
    <w:rsid w:val="00D37356"/>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486E3B"/>
    <w:rPr>
      <w:rFonts w:ascii="Arial" w:eastAsiaTheme="majorEastAsia" w:hAnsi="Arial" w:cstheme="majorBidi"/>
      <w:color w:val="003E69"/>
      <w:sz w:val="60"/>
      <w:szCs w:val="36"/>
    </w:rPr>
  </w:style>
  <w:style w:type="character" w:customStyle="1" w:styleId="Heading3Char">
    <w:name w:val="Heading 3 Char"/>
    <w:basedOn w:val="DefaultParagraphFont"/>
    <w:link w:val="Heading3"/>
    <w:uiPriority w:val="9"/>
    <w:rsid w:val="008F1000"/>
    <w:rPr>
      <w:rFonts w:ascii="Arial" w:eastAsiaTheme="majorEastAsia" w:hAnsi="Arial" w:cstheme="majorBidi"/>
      <w:color w:val="003E69"/>
      <w:sz w:val="36"/>
      <w:szCs w:val="28"/>
    </w:rPr>
  </w:style>
  <w:style w:type="character" w:customStyle="1" w:styleId="Heading4Char">
    <w:name w:val="Heading 4 Char"/>
    <w:basedOn w:val="DefaultParagraphFont"/>
    <w:link w:val="Heading4"/>
    <w:uiPriority w:val="9"/>
    <w:rsid w:val="005B5DD8"/>
    <w:rPr>
      <w:rFonts w:ascii="Arial" w:eastAsiaTheme="majorEastAsia" w:hAnsi="Arial" w:cstheme="majorBidi"/>
      <w:color w:val="063A72" w:themeColor="accent1"/>
      <w:sz w:val="28"/>
      <w:szCs w:val="24"/>
    </w:rPr>
  </w:style>
  <w:style w:type="character" w:styleId="IntenseEmphasis">
    <w:name w:val="Intense Emphasis"/>
    <w:basedOn w:val="DefaultParagraphFont"/>
    <w:uiPriority w:val="21"/>
    <w:qFormat/>
    <w:rsid w:val="00B56ABB"/>
    <w:rPr>
      <w:b/>
      <w:bCs/>
      <w:i/>
      <w:iCs/>
    </w:rPr>
  </w:style>
  <w:style w:type="paragraph" w:styleId="IntenseQuote">
    <w:name w:val="Intense Quote"/>
    <w:basedOn w:val="Normal"/>
    <w:next w:val="Normal"/>
    <w:link w:val="IntenseQuoteChar"/>
    <w:uiPriority w:val="30"/>
    <w:qFormat/>
    <w:rsid w:val="00A51CDC"/>
    <w:pPr>
      <w:spacing w:before="480" w:after="480" w:line="360" w:lineRule="atLeast"/>
      <w:jc w:val="center"/>
    </w:pPr>
    <w:rPr>
      <w:rFonts w:asciiTheme="majorHAnsi" w:eastAsiaTheme="majorEastAsia" w:hAnsiTheme="majorHAnsi" w:cstheme="majorBidi"/>
      <w:b/>
      <w:i/>
      <w:color w:val="03264C" w:themeColor="text2"/>
      <w:spacing w:val="-6"/>
      <w:sz w:val="28"/>
      <w:szCs w:val="32"/>
    </w:rPr>
  </w:style>
  <w:style w:type="character" w:customStyle="1" w:styleId="IntenseQuoteChar">
    <w:name w:val="Intense Quote Char"/>
    <w:basedOn w:val="DefaultParagraphFont"/>
    <w:link w:val="IntenseQuote"/>
    <w:uiPriority w:val="30"/>
    <w:rsid w:val="00A51CDC"/>
    <w:rPr>
      <w:rFonts w:asciiTheme="majorHAnsi" w:eastAsiaTheme="majorEastAsia" w:hAnsiTheme="majorHAnsi" w:cstheme="majorBidi"/>
      <w:b/>
      <w:i/>
      <w:color w:val="03264C" w:themeColor="text2"/>
      <w:spacing w:val="-6"/>
      <w:sz w:val="28"/>
      <w:szCs w:val="32"/>
    </w:rPr>
  </w:style>
  <w:style w:type="paragraph" w:styleId="ListParagraph">
    <w:name w:val="List Paragraph"/>
    <w:basedOn w:val="Normal"/>
    <w:uiPriority w:val="34"/>
    <w:rsid w:val="00B56ABB"/>
    <w:pPr>
      <w:ind w:left="720"/>
      <w:contextualSpacing/>
    </w:pPr>
  </w:style>
  <w:style w:type="character" w:customStyle="1" w:styleId="Heading2Char">
    <w:name w:val="Heading 2 Char"/>
    <w:basedOn w:val="DefaultParagraphFont"/>
    <w:link w:val="Heading2"/>
    <w:uiPriority w:val="9"/>
    <w:rsid w:val="003054BF"/>
    <w:rPr>
      <w:rFonts w:ascii="Arial" w:eastAsiaTheme="majorEastAsia" w:hAnsi="Arial" w:cstheme="majorBidi"/>
      <w:color w:val="001531" w:themeColor="background2" w:themeShade="1A"/>
      <w:sz w:val="44"/>
      <w:szCs w:val="32"/>
    </w:rPr>
  </w:style>
  <w:style w:type="character" w:customStyle="1" w:styleId="Heading5Char">
    <w:name w:val="Heading 5 Char"/>
    <w:basedOn w:val="DefaultParagraphFont"/>
    <w:link w:val="Heading5"/>
    <w:uiPriority w:val="9"/>
    <w:rsid w:val="005B5DD8"/>
    <w:rPr>
      <w:rFonts w:asciiTheme="majorHAnsi" w:eastAsiaTheme="majorEastAsia" w:hAnsiTheme="majorHAnsi" w:cstheme="majorBidi"/>
      <w:b/>
      <w:color w:val="03264C" w:themeColor="text2"/>
      <w:sz w:val="24"/>
    </w:rPr>
  </w:style>
  <w:style w:type="character" w:customStyle="1" w:styleId="Heading6Char">
    <w:name w:val="Heading 6 Char"/>
    <w:basedOn w:val="DefaultParagraphFont"/>
    <w:link w:val="Heading6"/>
    <w:uiPriority w:val="9"/>
    <w:rsid w:val="00B56ABB"/>
    <w:rPr>
      <w:rFonts w:asciiTheme="majorHAnsi" w:eastAsiaTheme="majorEastAsia" w:hAnsiTheme="majorHAnsi" w:cstheme="majorBidi"/>
      <w:i/>
      <w:iCs/>
      <w:caps/>
      <w:color w:val="031C39" w:themeColor="accent1" w:themeShade="80"/>
    </w:rPr>
  </w:style>
  <w:style w:type="character" w:customStyle="1" w:styleId="Heading7Char">
    <w:name w:val="Heading 7 Char"/>
    <w:basedOn w:val="DefaultParagraphFont"/>
    <w:link w:val="Heading7"/>
    <w:uiPriority w:val="9"/>
    <w:semiHidden/>
    <w:rsid w:val="00B56ABB"/>
    <w:rPr>
      <w:rFonts w:asciiTheme="majorHAnsi" w:eastAsiaTheme="majorEastAsia" w:hAnsiTheme="majorHAnsi" w:cstheme="majorBidi"/>
      <w:b/>
      <w:bCs/>
      <w:color w:val="031C39" w:themeColor="accent1" w:themeShade="80"/>
    </w:rPr>
  </w:style>
  <w:style w:type="character" w:customStyle="1" w:styleId="Heading8Char">
    <w:name w:val="Heading 8 Char"/>
    <w:basedOn w:val="DefaultParagraphFont"/>
    <w:link w:val="Heading8"/>
    <w:uiPriority w:val="9"/>
    <w:semiHidden/>
    <w:rsid w:val="00B56ABB"/>
    <w:rPr>
      <w:rFonts w:asciiTheme="majorHAnsi" w:eastAsiaTheme="majorEastAsia" w:hAnsiTheme="majorHAnsi" w:cstheme="majorBidi"/>
      <w:b/>
      <w:bCs/>
      <w:i/>
      <w:iCs/>
      <w:color w:val="031C39" w:themeColor="accent1" w:themeShade="80"/>
    </w:rPr>
  </w:style>
  <w:style w:type="character" w:customStyle="1" w:styleId="Heading9Char">
    <w:name w:val="Heading 9 Char"/>
    <w:basedOn w:val="DefaultParagraphFont"/>
    <w:link w:val="Heading9"/>
    <w:uiPriority w:val="9"/>
    <w:semiHidden/>
    <w:rsid w:val="00B56ABB"/>
    <w:rPr>
      <w:rFonts w:asciiTheme="majorHAnsi" w:eastAsiaTheme="majorEastAsia" w:hAnsiTheme="majorHAnsi" w:cstheme="majorBidi"/>
      <w:i/>
      <w:iCs/>
      <w:color w:val="031C39" w:themeColor="accent1" w:themeShade="80"/>
    </w:rPr>
  </w:style>
  <w:style w:type="paragraph" w:styleId="Caption">
    <w:name w:val="caption"/>
    <w:basedOn w:val="Normal"/>
    <w:next w:val="Normal"/>
    <w:uiPriority w:val="35"/>
    <w:unhideWhenUsed/>
    <w:qFormat/>
    <w:rsid w:val="00BC1C7D"/>
    <w:pPr>
      <w:spacing w:before="0" w:line="280" w:lineRule="atLeast"/>
    </w:pPr>
    <w:rPr>
      <w:bCs/>
      <w:color w:val="4D4D4D"/>
      <w:sz w:val="20"/>
    </w:rPr>
  </w:style>
  <w:style w:type="paragraph" w:styleId="Subtitle">
    <w:name w:val="Subtitle"/>
    <w:basedOn w:val="Normal"/>
    <w:next w:val="Normal"/>
    <w:link w:val="SubtitleChar"/>
    <w:uiPriority w:val="8"/>
    <w:qFormat/>
    <w:rsid w:val="00F82919"/>
    <w:pPr>
      <w:numPr>
        <w:ilvl w:val="1"/>
      </w:numPr>
      <w:spacing w:before="0" w:after="480" w:line="520" w:lineRule="atLeast"/>
    </w:pPr>
    <w:rPr>
      <w:rFonts w:eastAsiaTheme="majorEastAsia" w:cstheme="majorBidi"/>
      <w:color w:val="001531" w:themeColor="background2" w:themeShade="1A"/>
      <w:sz w:val="44"/>
      <w:szCs w:val="28"/>
    </w:rPr>
  </w:style>
  <w:style w:type="character" w:customStyle="1" w:styleId="SubtitleChar">
    <w:name w:val="Subtitle Char"/>
    <w:basedOn w:val="DefaultParagraphFont"/>
    <w:link w:val="Subtitle"/>
    <w:uiPriority w:val="8"/>
    <w:rsid w:val="00F82919"/>
    <w:rPr>
      <w:rFonts w:ascii="Arial" w:eastAsiaTheme="majorEastAsia" w:hAnsi="Arial" w:cstheme="majorBidi"/>
      <w:color w:val="001531" w:themeColor="background2" w:themeShade="1A"/>
      <w:sz w:val="44"/>
      <w:szCs w:val="28"/>
    </w:rPr>
  </w:style>
  <w:style w:type="character" w:styleId="Strong">
    <w:name w:val="Strong"/>
    <w:basedOn w:val="DefaultParagraphFont"/>
    <w:uiPriority w:val="22"/>
    <w:qFormat/>
    <w:rsid w:val="00B56ABB"/>
    <w:rPr>
      <w:b/>
      <w:bCs/>
    </w:rPr>
  </w:style>
  <w:style w:type="character" w:styleId="Emphasis">
    <w:name w:val="Emphasis"/>
    <w:basedOn w:val="DefaultParagraphFont"/>
    <w:uiPriority w:val="20"/>
    <w:qFormat/>
    <w:locked/>
    <w:rsid w:val="00B56ABB"/>
    <w:rPr>
      <w:i/>
      <w:iCs/>
    </w:rPr>
  </w:style>
  <w:style w:type="paragraph" w:styleId="Quote">
    <w:name w:val="Quote"/>
    <w:basedOn w:val="Normal"/>
    <w:next w:val="Normal"/>
    <w:link w:val="QuoteChar"/>
    <w:uiPriority w:val="29"/>
    <w:qFormat/>
    <w:rsid w:val="00C6493C"/>
    <w:pPr>
      <w:spacing w:before="480" w:after="480"/>
      <w:jc w:val="center"/>
    </w:pPr>
    <w:rPr>
      <w:i/>
      <w:color w:val="03264C" w:themeColor="text2"/>
      <w:szCs w:val="24"/>
    </w:rPr>
  </w:style>
  <w:style w:type="character" w:customStyle="1" w:styleId="QuoteChar">
    <w:name w:val="Quote Char"/>
    <w:basedOn w:val="DefaultParagraphFont"/>
    <w:link w:val="Quote"/>
    <w:uiPriority w:val="29"/>
    <w:rsid w:val="00C6493C"/>
    <w:rPr>
      <w:rFonts w:ascii="Arial" w:hAnsi="Arial"/>
      <w:i/>
      <w:color w:val="03264C" w:themeColor="text2"/>
      <w:sz w:val="24"/>
      <w:szCs w:val="24"/>
    </w:rPr>
  </w:style>
  <w:style w:type="character" w:styleId="SubtleEmphasis">
    <w:name w:val="Subtle Emphasis"/>
    <w:basedOn w:val="DefaultParagraphFont"/>
    <w:uiPriority w:val="19"/>
    <w:qFormat/>
    <w:rsid w:val="00F872AD"/>
    <w:rPr>
      <w:i/>
      <w:iCs/>
      <w:color w:val="525252" w:themeColor="text1" w:themeTint="BF"/>
    </w:rPr>
  </w:style>
  <w:style w:type="character" w:styleId="SubtleReference">
    <w:name w:val="Subtle Reference"/>
    <w:basedOn w:val="DefaultParagraphFont"/>
    <w:uiPriority w:val="31"/>
    <w:qFormat/>
    <w:rsid w:val="00F872AD"/>
    <w:rPr>
      <w:caps w:val="0"/>
      <w:smallCaps w:val="0"/>
      <w:color w:val="525252" w:themeColor="text1" w:themeTint="BF"/>
      <w:u w:val="none" w:color="8B8B8B" w:themeColor="text1" w:themeTint="80"/>
      <w:bdr w:val="none" w:sz="0" w:space="0" w:color="auto"/>
    </w:rPr>
  </w:style>
  <w:style w:type="character" w:styleId="IntenseReference">
    <w:name w:val="Intense Reference"/>
    <w:basedOn w:val="DefaultParagraphFont"/>
    <w:uiPriority w:val="32"/>
    <w:qFormat/>
    <w:rsid w:val="00F872AD"/>
    <w:rPr>
      <w:b/>
      <w:bCs/>
      <w:i/>
      <w:caps w:val="0"/>
      <w:smallCaps w:val="0"/>
      <w:color w:val="03264C" w:themeColor="text2"/>
      <w:u w:val="none"/>
    </w:rPr>
  </w:style>
  <w:style w:type="character" w:customStyle="1" w:styleId="MessageHeaderChar">
    <w:name w:val="Message Header Char"/>
    <w:basedOn w:val="DefaultParagraphFont"/>
    <w:link w:val="MessageHeader"/>
    <w:uiPriority w:val="99"/>
    <w:rsid w:val="00A51CDC"/>
    <w:rPr>
      <w:rFonts w:asciiTheme="majorHAnsi" w:eastAsiaTheme="majorEastAsia" w:hAnsiTheme="majorHAnsi" w:cstheme="majorBidi"/>
      <w:color w:val="2F2F2F" w:themeColor="text1" w:themeTint="E6"/>
      <w:sz w:val="24"/>
      <w:szCs w:val="24"/>
      <w:shd w:val="clear" w:color="auto" w:fill="E6F1FF" w:themeFill="background2"/>
    </w:rPr>
  </w:style>
  <w:style w:type="paragraph" w:styleId="TOCHeading">
    <w:name w:val="TOC Heading"/>
    <w:basedOn w:val="Heading1"/>
    <w:next w:val="Normal"/>
    <w:uiPriority w:val="39"/>
    <w:unhideWhenUsed/>
    <w:qFormat/>
    <w:rsid w:val="008A7368"/>
    <w:pPr>
      <w:spacing w:line="520" w:lineRule="atLeast"/>
      <w:outlineLvl w:val="9"/>
    </w:pPr>
    <w:rPr>
      <w:color w:val="03264C" w:themeColor="text2"/>
      <w:sz w:val="44"/>
    </w:rPr>
  </w:style>
  <w:style w:type="table" w:styleId="TableGrid">
    <w:name w:val="Table Grid"/>
    <w:basedOn w:val="TableNormal"/>
    <w:uiPriority w:val="39"/>
    <w:locked/>
    <w:rsid w:val="00353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Default">
    <w:name w:val="TMR – Default"/>
    <w:basedOn w:val="TableNormal"/>
    <w:uiPriority w:val="99"/>
    <w:rsid w:val="008F1000"/>
    <w:pPr>
      <w:spacing w:after="0" w:line="240" w:lineRule="atLeast"/>
    </w:pPr>
    <w:rPr>
      <w:rFonts w:ascii="Arial" w:hAnsi="Arial"/>
      <w:color w:val="011225" w:themeColor="text2" w:themeShade="80"/>
      <w:sz w:val="20"/>
    </w:rPr>
    <w:tblPr>
      <w:tblStyleRowBandSize w:val="1"/>
      <w:tblBorders>
        <w:insideH w:val="dotted" w:sz="4" w:space="0" w:color="063A72" w:themeColor="accent1"/>
        <w:insideV w:val="dotted" w:sz="4" w:space="0" w:color="063A72" w:themeColor="accent1"/>
      </w:tblBorders>
      <w:tblCellMar>
        <w:top w:w="45" w:type="dxa"/>
        <w:left w:w="45" w:type="dxa"/>
        <w:bottom w:w="45" w:type="dxa"/>
        <w:right w:w="45" w:type="dxa"/>
      </w:tblCellMar>
    </w:tblPr>
    <w:tcPr>
      <w:shd w:val="clear" w:color="auto" w:fill="FFFFFF" w:themeFill="background1"/>
      <w:vAlign w:val="bottom"/>
    </w:tcPr>
    <w:tblStylePr w:type="firstRow">
      <w:rPr>
        <w:rFonts w:asciiTheme="minorHAnsi" w:hAnsiTheme="minorHAnsi"/>
        <w:b/>
        <w:color w:val="E6F1FF" w:themeColor="background2"/>
        <w:sz w:val="20"/>
      </w:rPr>
      <w:tblPr/>
      <w:tcPr>
        <w:tcBorders>
          <w:top w:val="nil"/>
          <w:left w:val="nil"/>
          <w:bottom w:val="single" w:sz="8" w:space="0" w:color="005EB8" w:themeColor="accent2"/>
          <w:right w:val="nil"/>
          <w:insideH w:val="nil"/>
          <w:insideV w:val="nil"/>
          <w:tl2br w:val="nil"/>
          <w:tr2bl w:val="nil"/>
        </w:tcBorders>
        <w:shd w:val="clear" w:color="auto" w:fill="FFFFFF" w:themeFill="background1"/>
      </w:tcPr>
    </w:tblStylePr>
    <w:tblStylePr w:type="lastRow">
      <w:rPr>
        <w:rFonts w:ascii="Arial" w:hAnsi="Arial"/>
        <w:b/>
        <w:sz w:val="20"/>
      </w:rPr>
      <w:tblPr/>
      <w:tcPr>
        <w:tcBorders>
          <w:top w:val="thinThickSmallGap" w:sz="12" w:space="0" w:color="525252" w:themeColor="text1" w:themeTint="BF"/>
        </w:tcBorders>
        <w:shd w:val="clear" w:color="auto" w:fill="FFFFFF" w:themeFill="background1"/>
      </w:tcPr>
    </w:tblStylePr>
    <w:tblStylePr w:type="band1Horz">
      <w:tblPr/>
      <w:tcPr>
        <w:shd w:val="clear" w:color="auto" w:fill="ECF6FD"/>
      </w:tcPr>
    </w:tblStylePr>
  </w:style>
  <w:style w:type="paragraph" w:styleId="Title">
    <w:name w:val="Title"/>
    <w:basedOn w:val="Heading1"/>
    <w:next w:val="Normal"/>
    <w:link w:val="TitleChar"/>
    <w:uiPriority w:val="9"/>
    <w:qFormat/>
    <w:locked/>
    <w:rsid w:val="004B1945"/>
    <w:pPr>
      <w:spacing w:before="0" w:line="240" w:lineRule="auto"/>
      <w:contextualSpacing/>
    </w:pPr>
    <w:rPr>
      <w:rFonts w:asciiTheme="majorHAnsi" w:hAnsiTheme="majorHAnsi"/>
      <w:b/>
      <w:color w:val="063A72" w:themeColor="accent1"/>
      <w:spacing w:val="-10"/>
      <w:kern w:val="28"/>
      <w:sz w:val="72"/>
      <w:szCs w:val="56"/>
    </w:rPr>
  </w:style>
  <w:style w:type="character" w:customStyle="1" w:styleId="TitleChar">
    <w:name w:val="Title Char"/>
    <w:basedOn w:val="DefaultParagraphFont"/>
    <w:link w:val="Title"/>
    <w:uiPriority w:val="9"/>
    <w:rsid w:val="004B1945"/>
    <w:rPr>
      <w:rFonts w:asciiTheme="majorHAnsi" w:eastAsiaTheme="majorEastAsia" w:hAnsiTheme="majorHAnsi" w:cstheme="majorBidi"/>
      <w:b/>
      <w:color w:val="063A72" w:themeColor="accent1"/>
      <w:spacing w:val="-10"/>
      <w:kern w:val="28"/>
      <w:sz w:val="72"/>
      <w:szCs w:val="56"/>
    </w:rPr>
  </w:style>
  <w:style w:type="paragraph" w:styleId="HTMLPreformatted">
    <w:name w:val="HTML Preformatted"/>
    <w:basedOn w:val="Normal"/>
    <w:link w:val="HTMLPreformattedChar"/>
    <w:uiPriority w:val="99"/>
    <w:unhideWhenUsed/>
    <w:rsid w:val="0018783A"/>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18783A"/>
    <w:rPr>
      <w:rFonts w:ascii="Consolas" w:hAnsi="Consolas"/>
      <w:color w:val="2F2F2F" w:themeColor="text1" w:themeTint="E6"/>
      <w:sz w:val="20"/>
      <w:szCs w:val="20"/>
    </w:rPr>
  </w:style>
  <w:style w:type="paragraph" w:styleId="TOC1">
    <w:name w:val="toc 1"/>
    <w:basedOn w:val="Normal"/>
    <w:next w:val="Normal"/>
    <w:autoRedefine/>
    <w:uiPriority w:val="39"/>
    <w:unhideWhenUsed/>
    <w:rsid w:val="008A7368"/>
    <w:pPr>
      <w:tabs>
        <w:tab w:val="right" w:leader="dot" w:pos="9060"/>
      </w:tabs>
      <w:spacing w:before="120" w:after="0"/>
    </w:pPr>
    <w:rPr>
      <w:b/>
    </w:rPr>
  </w:style>
  <w:style w:type="paragraph" w:customStyle="1" w:styleId="FigureCaption">
    <w:name w:val="Figure Caption"/>
    <w:basedOn w:val="Caption"/>
    <w:next w:val="Normal"/>
    <w:qFormat/>
    <w:rsid w:val="00BC1C7D"/>
    <w:pPr>
      <w:keepNext/>
      <w:spacing w:before="160" w:after="160"/>
    </w:pPr>
    <w:rPr>
      <w:b/>
      <w:color w:val="525252" w:themeColor="text1" w:themeTint="BF"/>
    </w:rPr>
  </w:style>
  <w:style w:type="character" w:styleId="PlaceholderText">
    <w:name w:val="Placeholder Text"/>
    <w:basedOn w:val="DefaultParagraphFont"/>
    <w:uiPriority w:val="99"/>
    <w:semiHidden/>
    <w:rsid w:val="0042018F"/>
    <w:rPr>
      <w:color w:val="808080"/>
    </w:rPr>
  </w:style>
  <w:style w:type="paragraph" w:styleId="NormalWeb">
    <w:name w:val="Normal (Web)"/>
    <w:basedOn w:val="Normal"/>
    <w:uiPriority w:val="99"/>
    <w:semiHidden/>
    <w:unhideWhenUsed/>
    <w:rsid w:val="00C85784"/>
    <w:pPr>
      <w:spacing w:before="100" w:beforeAutospacing="1" w:after="100" w:afterAutospacing="1" w:line="240" w:lineRule="auto"/>
    </w:pPr>
    <w:rPr>
      <w:rFonts w:ascii="Times New Roman" w:eastAsia="Times New Roman" w:hAnsi="Times New Roman" w:cs="Times New Roman"/>
      <w:szCs w:val="24"/>
      <w:lang w:eastAsia="en-AU"/>
    </w:rPr>
  </w:style>
  <w:style w:type="paragraph" w:styleId="List3">
    <w:name w:val="List 3"/>
    <w:basedOn w:val="Normal"/>
    <w:uiPriority w:val="99"/>
    <w:unhideWhenUsed/>
    <w:rsid w:val="00CB03AE"/>
    <w:pPr>
      <w:ind w:left="1480"/>
      <w:contextualSpacing/>
    </w:pPr>
  </w:style>
  <w:style w:type="paragraph" w:styleId="List2">
    <w:name w:val="List 2"/>
    <w:basedOn w:val="Normal"/>
    <w:uiPriority w:val="99"/>
    <w:unhideWhenUsed/>
    <w:rsid w:val="00CB03AE"/>
    <w:pPr>
      <w:ind w:left="879"/>
      <w:contextualSpacing/>
    </w:pPr>
  </w:style>
  <w:style w:type="character" w:styleId="Hyperlink">
    <w:name w:val="Hyperlink"/>
    <w:basedOn w:val="DefaultParagraphFont"/>
    <w:uiPriority w:val="99"/>
    <w:unhideWhenUsed/>
    <w:rsid w:val="00F353AC"/>
    <w:rPr>
      <w:color w:val="0000FF"/>
      <w:u w:val="single"/>
    </w:rPr>
  </w:style>
  <w:style w:type="character" w:customStyle="1" w:styleId="qg-blank-notice">
    <w:name w:val="qg-blank-notice"/>
    <w:basedOn w:val="DefaultParagraphFont"/>
    <w:rsid w:val="00F353AC"/>
  </w:style>
  <w:style w:type="table" w:styleId="ListTable3-Accent1">
    <w:name w:val="List Table 3 Accent 1"/>
    <w:basedOn w:val="TableNormal"/>
    <w:uiPriority w:val="48"/>
    <w:locked/>
    <w:rsid w:val="00DC7CAF"/>
    <w:pPr>
      <w:spacing w:after="0" w:line="240" w:lineRule="auto"/>
    </w:pPr>
    <w:tblPr>
      <w:tblStyleRowBandSize w:val="1"/>
      <w:tblStyleColBandSize w:val="1"/>
      <w:tblBorders>
        <w:top w:val="single" w:sz="4" w:space="0" w:color="063A72" w:themeColor="accent1"/>
        <w:left w:val="single" w:sz="4" w:space="0" w:color="063A72" w:themeColor="accent1"/>
        <w:bottom w:val="single" w:sz="4" w:space="0" w:color="063A72" w:themeColor="accent1"/>
        <w:right w:val="single" w:sz="4" w:space="0" w:color="063A72" w:themeColor="accent1"/>
      </w:tblBorders>
    </w:tblPr>
    <w:tblStylePr w:type="firstRow">
      <w:rPr>
        <w:b/>
        <w:bCs/>
        <w:color w:val="FFFFFF" w:themeColor="background1"/>
      </w:rPr>
      <w:tblPr/>
      <w:tcPr>
        <w:shd w:val="clear" w:color="auto" w:fill="063A72" w:themeFill="accent1"/>
      </w:tcPr>
    </w:tblStylePr>
    <w:tblStylePr w:type="lastRow">
      <w:rPr>
        <w:b/>
        <w:bCs/>
      </w:rPr>
      <w:tblPr/>
      <w:tcPr>
        <w:tcBorders>
          <w:top w:val="double" w:sz="4" w:space="0" w:color="063A7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63A72" w:themeColor="accent1"/>
          <w:right w:val="single" w:sz="4" w:space="0" w:color="063A72" w:themeColor="accent1"/>
        </w:tcBorders>
      </w:tcPr>
    </w:tblStylePr>
    <w:tblStylePr w:type="band1Horz">
      <w:tblPr/>
      <w:tcPr>
        <w:tcBorders>
          <w:top w:val="single" w:sz="4" w:space="0" w:color="063A72" w:themeColor="accent1"/>
          <w:bottom w:val="single" w:sz="4" w:space="0" w:color="063A7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63A72" w:themeColor="accent1"/>
          <w:left w:val="nil"/>
        </w:tcBorders>
      </w:tcPr>
    </w:tblStylePr>
    <w:tblStylePr w:type="swCell">
      <w:tblPr/>
      <w:tcPr>
        <w:tcBorders>
          <w:top w:val="double" w:sz="4" w:space="0" w:color="063A72" w:themeColor="accent1"/>
          <w:right w:val="nil"/>
        </w:tcBorders>
      </w:tcPr>
    </w:tblStylePr>
  </w:style>
  <w:style w:type="paragraph" w:styleId="TOC2">
    <w:name w:val="toc 2"/>
    <w:basedOn w:val="Normal"/>
    <w:next w:val="Normal"/>
    <w:autoRedefine/>
    <w:uiPriority w:val="39"/>
    <w:unhideWhenUsed/>
    <w:rsid w:val="008A7368"/>
    <w:pPr>
      <w:spacing w:before="60" w:after="0"/>
      <w:ind w:left="238"/>
    </w:pPr>
  </w:style>
  <w:style w:type="paragraph" w:styleId="TOC3">
    <w:name w:val="toc 3"/>
    <w:basedOn w:val="Normal"/>
    <w:next w:val="Normal"/>
    <w:autoRedefine/>
    <w:uiPriority w:val="39"/>
    <w:unhideWhenUsed/>
    <w:rsid w:val="008A7368"/>
    <w:pPr>
      <w:spacing w:before="60" w:after="0"/>
      <w:ind w:left="482"/>
    </w:pPr>
    <w:rPr>
      <w:i/>
    </w:rPr>
  </w:style>
  <w:style w:type="paragraph" w:styleId="TOC4">
    <w:name w:val="toc 4"/>
    <w:basedOn w:val="Normal"/>
    <w:next w:val="Normal"/>
    <w:autoRedefine/>
    <w:uiPriority w:val="39"/>
    <w:semiHidden/>
    <w:unhideWhenUsed/>
    <w:rsid w:val="00747BA3"/>
    <w:pPr>
      <w:spacing w:before="80"/>
      <w:ind w:left="720"/>
    </w:pPr>
  </w:style>
  <w:style w:type="paragraph" w:styleId="TOC5">
    <w:name w:val="toc 5"/>
    <w:basedOn w:val="Normal"/>
    <w:next w:val="Normal"/>
    <w:autoRedefine/>
    <w:uiPriority w:val="39"/>
    <w:semiHidden/>
    <w:unhideWhenUsed/>
    <w:rsid w:val="00747BA3"/>
    <w:pPr>
      <w:spacing w:before="80"/>
      <w:ind w:left="958"/>
    </w:pPr>
  </w:style>
  <w:style w:type="paragraph" w:styleId="Bibliography">
    <w:name w:val="Bibliography"/>
    <w:basedOn w:val="Normal"/>
    <w:next w:val="Normal"/>
    <w:uiPriority w:val="37"/>
    <w:unhideWhenUsed/>
    <w:rsid w:val="00C371CC"/>
  </w:style>
  <w:style w:type="paragraph" w:styleId="ListContinue5">
    <w:name w:val="List Continue 5"/>
    <w:basedOn w:val="Normal"/>
    <w:uiPriority w:val="99"/>
    <w:unhideWhenUsed/>
    <w:rsid w:val="00DF29E6"/>
    <w:pPr>
      <w:spacing w:after="120"/>
      <w:ind w:left="1415"/>
      <w:contextualSpacing/>
    </w:pPr>
  </w:style>
  <w:style w:type="paragraph" w:styleId="List">
    <w:name w:val="List"/>
    <w:basedOn w:val="Normal"/>
    <w:uiPriority w:val="99"/>
    <w:unhideWhenUsed/>
    <w:rsid w:val="00CB03AE"/>
    <w:pPr>
      <w:ind w:left="318"/>
      <w:contextualSpacing/>
    </w:pPr>
  </w:style>
  <w:style w:type="paragraph" w:styleId="List4">
    <w:name w:val="List 4"/>
    <w:basedOn w:val="Normal"/>
    <w:uiPriority w:val="99"/>
    <w:unhideWhenUsed/>
    <w:rsid w:val="001E3F0A"/>
    <w:pPr>
      <w:ind w:left="1132" w:hanging="283"/>
      <w:contextualSpacing/>
    </w:pPr>
  </w:style>
  <w:style w:type="paragraph" w:styleId="List5">
    <w:name w:val="List 5"/>
    <w:basedOn w:val="Normal"/>
    <w:uiPriority w:val="99"/>
    <w:unhideWhenUsed/>
    <w:rsid w:val="001E3F0A"/>
    <w:pPr>
      <w:ind w:left="1415" w:hanging="283"/>
      <w:contextualSpacing/>
    </w:pPr>
  </w:style>
  <w:style w:type="paragraph" w:styleId="TOC6">
    <w:name w:val="toc 6"/>
    <w:basedOn w:val="Normal"/>
    <w:next w:val="Normal"/>
    <w:autoRedefine/>
    <w:uiPriority w:val="39"/>
    <w:semiHidden/>
    <w:unhideWhenUsed/>
    <w:rsid w:val="00747BA3"/>
    <w:pPr>
      <w:spacing w:before="80"/>
      <w:ind w:left="1202"/>
    </w:pPr>
  </w:style>
  <w:style w:type="paragraph" w:styleId="TOC7">
    <w:name w:val="toc 7"/>
    <w:basedOn w:val="Normal"/>
    <w:next w:val="Normal"/>
    <w:autoRedefine/>
    <w:uiPriority w:val="39"/>
    <w:semiHidden/>
    <w:unhideWhenUsed/>
    <w:rsid w:val="00747BA3"/>
    <w:pPr>
      <w:spacing w:before="80"/>
      <w:ind w:left="1440"/>
    </w:pPr>
  </w:style>
  <w:style w:type="paragraph" w:styleId="TOC8">
    <w:name w:val="toc 8"/>
    <w:basedOn w:val="Normal"/>
    <w:next w:val="Normal"/>
    <w:autoRedefine/>
    <w:uiPriority w:val="39"/>
    <w:semiHidden/>
    <w:unhideWhenUsed/>
    <w:rsid w:val="00747BA3"/>
    <w:pPr>
      <w:spacing w:before="80"/>
      <w:ind w:left="1678"/>
    </w:pPr>
  </w:style>
  <w:style w:type="paragraph" w:styleId="TOC9">
    <w:name w:val="toc 9"/>
    <w:basedOn w:val="Normal"/>
    <w:next w:val="Normal"/>
    <w:autoRedefine/>
    <w:uiPriority w:val="39"/>
    <w:semiHidden/>
    <w:unhideWhenUsed/>
    <w:rsid w:val="00747BA3"/>
    <w:pPr>
      <w:spacing w:before="80"/>
      <w:ind w:left="1922"/>
    </w:pPr>
  </w:style>
  <w:style w:type="paragraph" w:styleId="TableofFigures">
    <w:name w:val="table of figures"/>
    <w:basedOn w:val="Normal"/>
    <w:next w:val="Normal"/>
    <w:uiPriority w:val="99"/>
    <w:unhideWhenUsed/>
    <w:rsid w:val="00737DCA"/>
  </w:style>
  <w:style w:type="paragraph" w:styleId="TableofAuthorities">
    <w:name w:val="table of authorities"/>
    <w:basedOn w:val="Normal"/>
    <w:next w:val="Normal"/>
    <w:uiPriority w:val="99"/>
    <w:unhideWhenUsed/>
    <w:rsid w:val="00737DCA"/>
    <w:pPr>
      <w:ind w:left="240" w:hanging="240"/>
    </w:pPr>
  </w:style>
  <w:style w:type="paragraph" w:styleId="NoSpacing">
    <w:name w:val="No Spacing"/>
    <w:uiPriority w:val="1"/>
    <w:qFormat/>
    <w:locked/>
    <w:rsid w:val="000852B6"/>
    <w:pPr>
      <w:spacing w:after="0" w:line="240" w:lineRule="auto"/>
    </w:pPr>
    <w:rPr>
      <w:rFonts w:ascii="Arial" w:hAnsi="Arial"/>
      <w:color w:val="2F2F2F" w:themeColor="text1" w:themeTint="E6"/>
      <w:sz w:val="20"/>
    </w:rPr>
  </w:style>
  <w:style w:type="table" w:styleId="TableGridLight">
    <w:name w:val="Grid Table Light"/>
    <w:basedOn w:val="TableNormal"/>
    <w:uiPriority w:val="40"/>
    <w:locked/>
    <w:rsid w:val="00E403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locked/>
    <w:rsid w:val="00E40381"/>
    <w:pPr>
      <w:spacing w:after="0" w:line="240" w:lineRule="auto"/>
    </w:pPr>
    <w:tblPr>
      <w:tblStyleRowBandSize w:val="1"/>
      <w:tblStyleColBandSize w:val="1"/>
    </w:tblPr>
    <w:tblStylePr w:type="firstRow">
      <w:rPr>
        <w:b/>
        <w:bCs/>
        <w:caps/>
      </w:rPr>
      <w:tblPr/>
      <w:tcPr>
        <w:tcBorders>
          <w:bottom w:val="single" w:sz="4" w:space="0" w:color="8B8B8B"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B8B8B"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E4038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E40381"/>
    <w:pPr>
      <w:spacing w:after="0" w:line="240" w:lineRule="auto"/>
    </w:pPr>
    <w:tblPr>
      <w:tblStyleRowBandSize w:val="1"/>
      <w:tblStyleColBandSize w:val="1"/>
      <w:tblBorders>
        <w:top w:val="single" w:sz="4" w:space="0" w:color="6AADF7" w:themeColor="accent1" w:themeTint="66"/>
        <w:left w:val="single" w:sz="4" w:space="0" w:color="6AADF7" w:themeColor="accent1" w:themeTint="66"/>
        <w:bottom w:val="single" w:sz="4" w:space="0" w:color="6AADF7" w:themeColor="accent1" w:themeTint="66"/>
        <w:right w:val="single" w:sz="4" w:space="0" w:color="6AADF7" w:themeColor="accent1" w:themeTint="66"/>
        <w:insideH w:val="single" w:sz="4" w:space="0" w:color="6AADF7" w:themeColor="accent1" w:themeTint="66"/>
        <w:insideV w:val="single" w:sz="4" w:space="0" w:color="6AADF7" w:themeColor="accent1" w:themeTint="66"/>
      </w:tblBorders>
    </w:tblPr>
    <w:tblStylePr w:type="firstRow">
      <w:rPr>
        <w:b/>
        <w:bCs/>
      </w:rPr>
      <w:tblPr/>
      <w:tcPr>
        <w:tcBorders>
          <w:bottom w:val="single" w:sz="12" w:space="0" w:color="2085F3" w:themeColor="accent1" w:themeTint="99"/>
        </w:tcBorders>
      </w:tcPr>
    </w:tblStylePr>
    <w:tblStylePr w:type="lastRow">
      <w:rPr>
        <w:b/>
        <w:bCs/>
      </w:rPr>
      <w:tblPr/>
      <w:tcPr>
        <w:tcBorders>
          <w:top w:val="double" w:sz="2" w:space="0" w:color="2085F3" w:themeColor="accen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980755"/>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80755"/>
    <w:rPr>
      <w:rFonts w:ascii="Arial" w:hAnsi="Arial"/>
      <w:color w:val="2F2F2F" w:themeColor="text1" w:themeTint="E6"/>
      <w:sz w:val="20"/>
      <w:szCs w:val="20"/>
    </w:rPr>
  </w:style>
  <w:style w:type="character" w:styleId="FootnoteReference">
    <w:name w:val="footnote reference"/>
    <w:basedOn w:val="DefaultParagraphFont"/>
    <w:uiPriority w:val="99"/>
    <w:semiHidden/>
    <w:unhideWhenUsed/>
    <w:rsid w:val="00980755"/>
    <w:rPr>
      <w:vertAlign w:val="superscript"/>
    </w:rPr>
  </w:style>
  <w:style w:type="character" w:styleId="CommentReference">
    <w:name w:val="annotation reference"/>
    <w:basedOn w:val="DefaultParagraphFont"/>
    <w:uiPriority w:val="99"/>
    <w:semiHidden/>
    <w:unhideWhenUsed/>
    <w:rsid w:val="007E40AF"/>
    <w:rPr>
      <w:sz w:val="16"/>
      <w:szCs w:val="16"/>
    </w:rPr>
  </w:style>
  <w:style w:type="paragraph" w:styleId="CommentText">
    <w:name w:val="annotation text"/>
    <w:basedOn w:val="Normal"/>
    <w:link w:val="CommentTextChar"/>
    <w:uiPriority w:val="99"/>
    <w:unhideWhenUsed/>
    <w:rsid w:val="007E40AF"/>
    <w:pPr>
      <w:spacing w:line="240" w:lineRule="auto"/>
    </w:pPr>
    <w:rPr>
      <w:sz w:val="20"/>
      <w:szCs w:val="20"/>
    </w:rPr>
  </w:style>
  <w:style w:type="character" w:customStyle="1" w:styleId="CommentTextChar">
    <w:name w:val="Comment Text Char"/>
    <w:basedOn w:val="DefaultParagraphFont"/>
    <w:link w:val="CommentText"/>
    <w:uiPriority w:val="99"/>
    <w:rsid w:val="007E40AF"/>
    <w:rPr>
      <w:rFonts w:ascii="Arial" w:hAnsi="Arial"/>
      <w:color w:val="2F2F2F" w:themeColor="text1" w:themeTint="E6"/>
      <w:sz w:val="20"/>
      <w:szCs w:val="20"/>
    </w:rPr>
  </w:style>
  <w:style w:type="paragraph" w:styleId="BodyText">
    <w:name w:val="Body Text"/>
    <w:basedOn w:val="Normal"/>
    <w:link w:val="BodyTextChar"/>
    <w:uiPriority w:val="99"/>
    <w:unhideWhenUsed/>
    <w:qFormat/>
    <w:rsid w:val="007E40AF"/>
    <w:pPr>
      <w:suppressAutoHyphens w:val="0"/>
      <w:spacing w:before="0" w:after="120" w:line="300" w:lineRule="atLeast"/>
    </w:pPr>
    <w:rPr>
      <w:rFonts w:cs="Arial"/>
      <w:color w:val="auto"/>
      <w:sz w:val="22"/>
      <w14:ligatures w14:val="standardContextual"/>
    </w:rPr>
  </w:style>
  <w:style w:type="character" w:customStyle="1" w:styleId="BodyTextChar">
    <w:name w:val="Body Text Char"/>
    <w:basedOn w:val="DefaultParagraphFont"/>
    <w:link w:val="BodyText"/>
    <w:uiPriority w:val="99"/>
    <w:rsid w:val="007E40AF"/>
    <w:rPr>
      <w:rFonts w:ascii="Arial" w:hAnsi="Arial" w:cs="Arial"/>
      <w14:ligatures w14:val="standardContextual"/>
    </w:rPr>
  </w:style>
  <w:style w:type="paragraph" w:styleId="Revision">
    <w:name w:val="Revision"/>
    <w:hidden/>
    <w:uiPriority w:val="99"/>
    <w:semiHidden/>
    <w:rsid w:val="004568C1"/>
    <w:pPr>
      <w:spacing w:after="0" w:line="240" w:lineRule="auto"/>
    </w:pPr>
    <w:rPr>
      <w:rFonts w:ascii="Arial" w:hAnsi="Arial"/>
      <w:color w:val="2F2F2F" w:themeColor="text1" w:themeTint="E6"/>
      <w:sz w:val="24"/>
    </w:rPr>
  </w:style>
  <w:style w:type="paragraph" w:styleId="CommentSubject">
    <w:name w:val="annotation subject"/>
    <w:basedOn w:val="CommentText"/>
    <w:next w:val="CommentText"/>
    <w:link w:val="CommentSubjectChar"/>
    <w:uiPriority w:val="99"/>
    <w:semiHidden/>
    <w:unhideWhenUsed/>
    <w:rsid w:val="00C8581E"/>
    <w:rPr>
      <w:b/>
      <w:bCs/>
    </w:rPr>
  </w:style>
  <w:style w:type="character" w:customStyle="1" w:styleId="CommentSubjectChar">
    <w:name w:val="Comment Subject Char"/>
    <w:basedOn w:val="CommentTextChar"/>
    <w:link w:val="CommentSubject"/>
    <w:uiPriority w:val="99"/>
    <w:semiHidden/>
    <w:rsid w:val="00C8581E"/>
    <w:rPr>
      <w:rFonts w:ascii="Arial" w:hAnsi="Arial"/>
      <w:b/>
      <w:bCs/>
      <w:color w:val="2F2F2F" w:themeColor="text1" w:themeTint="E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85960">
      <w:bodyDiv w:val="1"/>
      <w:marLeft w:val="0"/>
      <w:marRight w:val="0"/>
      <w:marTop w:val="0"/>
      <w:marBottom w:val="0"/>
      <w:divBdr>
        <w:top w:val="none" w:sz="0" w:space="0" w:color="auto"/>
        <w:left w:val="none" w:sz="0" w:space="0" w:color="auto"/>
        <w:bottom w:val="none" w:sz="0" w:space="0" w:color="auto"/>
        <w:right w:val="none" w:sz="0" w:space="0" w:color="auto"/>
      </w:divBdr>
    </w:div>
    <w:div w:id="138302429">
      <w:bodyDiv w:val="1"/>
      <w:marLeft w:val="0"/>
      <w:marRight w:val="0"/>
      <w:marTop w:val="0"/>
      <w:marBottom w:val="0"/>
      <w:divBdr>
        <w:top w:val="none" w:sz="0" w:space="0" w:color="auto"/>
        <w:left w:val="none" w:sz="0" w:space="0" w:color="auto"/>
        <w:bottom w:val="none" w:sz="0" w:space="0" w:color="auto"/>
        <w:right w:val="none" w:sz="0" w:space="0" w:color="auto"/>
      </w:divBdr>
    </w:div>
    <w:div w:id="748500527">
      <w:bodyDiv w:val="1"/>
      <w:marLeft w:val="0"/>
      <w:marRight w:val="0"/>
      <w:marTop w:val="0"/>
      <w:marBottom w:val="0"/>
      <w:divBdr>
        <w:top w:val="none" w:sz="0" w:space="0" w:color="auto"/>
        <w:left w:val="none" w:sz="0" w:space="0" w:color="auto"/>
        <w:bottom w:val="none" w:sz="0" w:space="0" w:color="auto"/>
        <w:right w:val="none" w:sz="0" w:space="0" w:color="auto"/>
      </w:divBdr>
    </w:div>
    <w:div w:id="1401516346">
      <w:bodyDiv w:val="1"/>
      <w:marLeft w:val="0"/>
      <w:marRight w:val="0"/>
      <w:marTop w:val="0"/>
      <w:marBottom w:val="0"/>
      <w:divBdr>
        <w:top w:val="none" w:sz="0" w:space="0" w:color="auto"/>
        <w:left w:val="none" w:sz="0" w:space="0" w:color="auto"/>
        <w:bottom w:val="none" w:sz="0" w:space="0" w:color="auto"/>
        <w:right w:val="none" w:sz="0" w:space="0" w:color="auto"/>
      </w:divBdr>
    </w:div>
    <w:div w:id="1687443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eme-TMR">
  <a:themeElements>
    <a:clrScheme name="Transport and Main Roads">
      <a:dk1>
        <a:srgbClr val="191919"/>
      </a:dk1>
      <a:lt1>
        <a:srgbClr val="FFFFFF"/>
      </a:lt1>
      <a:dk2>
        <a:srgbClr val="03264C"/>
      </a:dk2>
      <a:lt2>
        <a:srgbClr val="E6F1FF"/>
      </a:lt2>
      <a:accent1>
        <a:srgbClr val="063A72"/>
      </a:accent1>
      <a:accent2>
        <a:srgbClr val="005EB8"/>
      </a:accent2>
      <a:accent3>
        <a:srgbClr val="05A6FF"/>
      </a:accent3>
      <a:accent4>
        <a:srgbClr val="024C4A"/>
      </a:accent4>
      <a:accent5>
        <a:srgbClr val="04825C"/>
      </a:accent5>
      <a:accent6>
        <a:srgbClr val="06BC50"/>
      </a:accent6>
      <a:hlink>
        <a:srgbClr val="005EB8"/>
      </a:hlink>
      <a:folHlink>
        <a:srgbClr val="005EB8"/>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FB130-02EE-47ED-84D9-ADB0DB5CC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2843</Words>
  <Characters>16208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Queensland Beef Roads</dc:title>
  <dc:subject/>
  <dc:creator/>
  <cp:keywords/>
  <dc:description/>
  <cp:lastModifiedBy/>
  <cp:revision>1</cp:revision>
  <dcterms:created xsi:type="dcterms:W3CDTF">2025-10-30T22:32:00Z</dcterms:created>
  <dcterms:modified xsi:type="dcterms:W3CDTF">2025-10-30T22:32:00Z</dcterms:modified>
</cp:coreProperties>
</file>