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5DF8" w14:textId="77777777" w:rsidR="005241D3" w:rsidRDefault="005241D3" w:rsidP="005241D3"/>
    <w:p w14:paraId="001AC7D8" w14:textId="77777777" w:rsidR="005241D3" w:rsidRDefault="00AC49AD" w:rsidP="005241D3">
      <w:pPr>
        <w:pStyle w:val="Heading1"/>
      </w:pPr>
      <w:r>
        <w:t xml:space="preserve">Keeping school zones safe: </w:t>
      </w:r>
      <w:r w:rsidR="003F3B11">
        <w:br/>
      </w:r>
      <w:r>
        <w:t>A guide for parents and schools</w:t>
      </w:r>
    </w:p>
    <w:p w14:paraId="1E71474B" w14:textId="77777777" w:rsidR="00AC49AD" w:rsidRDefault="00AC49AD" w:rsidP="00AC49AD">
      <w:r>
        <w:t>School zones are busy areas, especially during morning drop-off and afternoon pick-up times. Following safe and legal parking practices help protect children and keeps traffic flowing smoothly.</w:t>
      </w:r>
    </w:p>
    <w:p w14:paraId="7AC8C6F6" w14:textId="77777777" w:rsidR="00AC49AD" w:rsidRDefault="00AC49AD" w:rsidP="00AC49AD">
      <w:r>
        <w:t xml:space="preserve">This guide outlines actions for </w:t>
      </w:r>
      <w:r w:rsidRPr="006D3380">
        <w:rPr>
          <w:b/>
          <w:bCs/>
        </w:rPr>
        <w:t>parents and carers</w:t>
      </w:r>
      <w:r>
        <w:t xml:space="preserve">, and </w:t>
      </w:r>
      <w:r w:rsidRPr="006D3380">
        <w:rPr>
          <w:b/>
          <w:bCs/>
        </w:rPr>
        <w:t>school communities</w:t>
      </w:r>
      <w:r>
        <w:t>, to help make school zones safer for everyone.</w:t>
      </w:r>
    </w:p>
    <w:p w14:paraId="0385B4DF" w14:textId="77777777" w:rsidR="008D4272" w:rsidRDefault="00AC49AD" w:rsidP="008D4272">
      <w:pPr>
        <w:pStyle w:val="Heading2"/>
      </w:pPr>
      <w:r>
        <w:t>For parents and carers</w:t>
      </w:r>
    </w:p>
    <w:p w14:paraId="3B7878E6" w14:textId="77777777" w:rsidR="00AC49AD" w:rsidRDefault="00AC49AD" w:rsidP="00AC49AD">
      <w:r>
        <w:t>Your actions during school drop-off and pick-up times play a key role in keeping children safe and reducing congestion. Please follow these guidelines to help school zones run smoothly:</w:t>
      </w:r>
    </w:p>
    <w:p w14:paraId="17C2D7A3" w14:textId="77777777" w:rsidR="00AC49AD" w:rsidRDefault="00AC49AD" w:rsidP="00AC49AD">
      <w:pPr>
        <w:pStyle w:val="ListParagraph"/>
        <w:numPr>
          <w:ilvl w:val="0"/>
          <w:numId w:val="44"/>
        </w:numPr>
      </w:pPr>
      <w:r w:rsidRPr="001065A0">
        <w:rPr>
          <w:b/>
          <w:bCs/>
        </w:rPr>
        <w:t>Only use designated loading zones</w:t>
      </w:r>
      <w:r>
        <w:t xml:space="preserve"> marked with signs such as “Passenger loading zone” or “2-minute parking”. These areas are intended for quick drop-offs and pick-ups to keep traffic moving.</w:t>
      </w:r>
    </w:p>
    <w:p w14:paraId="28D75804" w14:textId="77777777" w:rsidR="00AC49AD" w:rsidRDefault="00AC49AD" w:rsidP="00AC49AD">
      <w:pPr>
        <w:pStyle w:val="ListParagraph"/>
        <w:numPr>
          <w:ilvl w:val="0"/>
          <w:numId w:val="44"/>
        </w:numPr>
      </w:pPr>
      <w:r w:rsidRPr="001065A0">
        <w:rPr>
          <w:b/>
          <w:bCs/>
        </w:rPr>
        <w:t>Do not stand or park</w:t>
      </w:r>
      <w:r>
        <w:t xml:space="preserve"> in areas marked ‘No stopping’, ‘No parking’, ‘No standing’, bus zones, staff parking areas, or block traffic by double parking. These behaviours are illegal and can create serious safety risks.</w:t>
      </w:r>
    </w:p>
    <w:p w14:paraId="68585616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Never leave your car unattended </w:t>
      </w:r>
      <w:r>
        <w:t>in a loading zone – you must remain in the vehicle and move within two minutes.</w:t>
      </w:r>
    </w:p>
    <w:p w14:paraId="1FEB7285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Arrive shortly after the bell</w:t>
      </w:r>
      <w:r>
        <w:t>, rather than waiting in the zone from 2pm onwards. If your child is not ready to be picked up, circle the block and re-enter the zone.</w:t>
      </w:r>
    </w:p>
    <w:p w14:paraId="26951AB4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Use the kerbside car door</w:t>
      </w:r>
      <w:r>
        <w:t xml:space="preserve"> to let children in and out of the vehicle safely.</w:t>
      </w:r>
    </w:p>
    <w:p w14:paraId="412E42AF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Ensure children are ready </w:t>
      </w:r>
      <w:r w:rsidRPr="001065A0">
        <w:t>to enter or exit the car quickly and independently</w:t>
      </w:r>
      <w:r>
        <w:rPr>
          <w:b/>
          <w:bCs/>
        </w:rPr>
        <w:t xml:space="preserve"> </w:t>
      </w:r>
      <w:r>
        <w:t>to avoid delays.</w:t>
      </w:r>
    </w:p>
    <w:p w14:paraId="26C0FE81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Move forward in the queue </w:t>
      </w:r>
      <w:r>
        <w:t xml:space="preserve">as space becomes available, </w:t>
      </w:r>
      <w:proofErr w:type="gramStart"/>
      <w:r>
        <w:t>similar to</w:t>
      </w:r>
      <w:proofErr w:type="gramEnd"/>
      <w:r>
        <w:t xml:space="preserve"> how a taxi rank works.</w:t>
      </w:r>
    </w:p>
    <w:p w14:paraId="54F066EA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Avoid queuing</w:t>
      </w:r>
      <w:r>
        <w:rPr>
          <w:i/>
          <w:iCs/>
        </w:rPr>
        <w:t xml:space="preserve"> </w:t>
      </w:r>
      <w:r>
        <w:t xml:space="preserve">if the loading zone is full. Instead, find </w:t>
      </w:r>
      <w:proofErr w:type="spellStart"/>
      <w:r>
        <w:t>alternataive</w:t>
      </w:r>
      <w:proofErr w:type="spellEnd"/>
      <w:r>
        <w:t xml:space="preserve"> parking or return a few minutes later.</w:t>
      </w:r>
    </w:p>
    <w:p w14:paraId="25A906DC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Drive safely and respectfully</w:t>
      </w:r>
      <w:r w:rsidRPr="001065A0">
        <w:t>,</w:t>
      </w:r>
      <w:r>
        <w:rPr>
          <w:b/>
          <w:bCs/>
        </w:rPr>
        <w:t xml:space="preserve"> </w:t>
      </w:r>
      <w:r>
        <w:t>including towards staff or volunteers assisting in the zone. Inappropriate behaviour is not acceptable.</w:t>
      </w:r>
    </w:p>
    <w:p w14:paraId="6078F651" w14:textId="77777777" w:rsidR="00AC49AD" w:rsidRDefault="00AC49AD" w:rsidP="00AC49AD">
      <w:r>
        <w:t>By following these practices, you’ll help keep children safe and traffic flowing during busy school times.</w:t>
      </w:r>
    </w:p>
    <w:p w14:paraId="1B8E7DCF" w14:textId="77777777" w:rsidR="00AC49AD" w:rsidRDefault="00AC49AD" w:rsidP="00AC49AD">
      <w:pPr>
        <w:pStyle w:val="Heading2"/>
      </w:pPr>
      <w:r>
        <w:lastRenderedPageBreak/>
        <w:t>For schools and communities</w:t>
      </w:r>
    </w:p>
    <w:p w14:paraId="447D35C1" w14:textId="77777777" w:rsidR="00AC49AD" w:rsidRDefault="00AC49AD" w:rsidP="00AC49AD">
      <w:r>
        <w:t>Schools play a vital role in promoting safe and efficient drop-off and pick-up routines. Here’s how your school can support families and contribute to a safer environment.</w:t>
      </w:r>
    </w:p>
    <w:p w14:paraId="128418DD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Support safe loading zone behaviour</w:t>
      </w:r>
      <w:r>
        <w:t xml:space="preserve"> by assigning staff or trusted volunteers to supervise busy areas during peak times. These helpers can guide traffic, assist children into vehicles and encourage drivers to follow the rules.</w:t>
      </w:r>
    </w:p>
    <w:p w14:paraId="70BA9167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Encourage clear communication </w:t>
      </w:r>
      <w:r>
        <w:t>with parents by promoting the use of visor signs that display children’s surnames, making pick-up smoother and faster.</w:t>
      </w:r>
    </w:p>
    <w:p w14:paraId="40690252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Promote positive behaviours </w:t>
      </w:r>
      <w:r>
        <w:t>through regular messages in school newsletters, announcements or signage, reminding families of safe driving and parking practices.</w:t>
      </w:r>
    </w:p>
    <w:p w14:paraId="178ADED4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Encourage active travel options </w:t>
      </w:r>
      <w:r>
        <w:t>where practical, such as walking, cycling or scootering to school. These alternatives ease congestion and support student health and wellbeing.</w:t>
      </w:r>
    </w:p>
    <w:p w14:paraId="45933917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Support “park and walk” strategies</w:t>
      </w:r>
      <w:r>
        <w:t>, where families park slightly away from school and walk the rest of the way. This reduces pressure on loading zones and increases safety.</w:t>
      </w:r>
    </w:p>
    <w:p w14:paraId="3C020B89" w14:textId="77777777" w:rsidR="00AC49AD" w:rsidRDefault="00AC49AD" w:rsidP="00AC49AD">
      <w:pPr>
        <w:pStyle w:val="ListParagraph"/>
        <w:numPr>
          <w:ilvl w:val="0"/>
          <w:numId w:val="44"/>
        </w:numPr>
      </w:pPr>
      <w:r>
        <w:rPr>
          <w:b/>
          <w:bCs/>
        </w:rPr>
        <w:t>Coordinate a Walking School Bus or Bike Bus</w:t>
      </w:r>
      <w:r>
        <w:t>, where a group of students travels together on foot or bike under the supervision of adult volunteers along a set route.</w:t>
      </w:r>
    </w:p>
    <w:p w14:paraId="35815AFD" w14:textId="77777777" w:rsidR="00C37DC0" w:rsidRDefault="00AC49AD" w:rsidP="00AC49AD">
      <w:pPr>
        <w:pStyle w:val="Heading3"/>
      </w:pPr>
      <w:r>
        <w:t>See how Queensland schools are supporting active travel:</w:t>
      </w:r>
    </w:p>
    <w:p w14:paraId="3E8C7C0B" w14:textId="77777777" w:rsidR="00AC49AD" w:rsidRPr="00525E73" w:rsidRDefault="00000000" w:rsidP="00AC49AD">
      <w:pPr>
        <w:pStyle w:val="ListParagraph"/>
        <w:numPr>
          <w:ilvl w:val="0"/>
          <w:numId w:val="45"/>
        </w:numPr>
      </w:pPr>
      <w:hyperlink r:id="rId8" w:history="1">
        <w:r w:rsidR="00AC49AD" w:rsidRPr="00525E73">
          <w:rPr>
            <w:rStyle w:val="Hyperlink"/>
            <w:b/>
            <w:bCs/>
          </w:rPr>
          <w:t>Trinity Beach State School Bike Bus</w:t>
        </w:r>
      </w:hyperlink>
      <w:r w:rsidR="00AC49AD">
        <w:t xml:space="preserve"> (</w:t>
      </w:r>
      <w:hyperlink r:id="rId9" w:history="1">
        <w:r w:rsidR="00AC49AD" w:rsidRPr="00A21903">
          <w:rPr>
            <w:rStyle w:val="Hyperlink"/>
          </w:rPr>
          <w:t>https://www.youtube.com/watch?v=FlmNgP9S4gM</w:t>
        </w:r>
      </w:hyperlink>
      <w:r w:rsidR="00AC49AD">
        <w:t xml:space="preserve">) </w:t>
      </w:r>
    </w:p>
    <w:p w14:paraId="2E7F8D8F" w14:textId="77777777" w:rsidR="00AC49AD" w:rsidRDefault="00000000" w:rsidP="00AC49AD">
      <w:pPr>
        <w:pStyle w:val="ListParagraph"/>
        <w:numPr>
          <w:ilvl w:val="0"/>
          <w:numId w:val="45"/>
        </w:numPr>
      </w:pPr>
      <w:hyperlink r:id="rId10" w:history="1">
        <w:r w:rsidR="00AC49AD" w:rsidRPr="00525E73">
          <w:rPr>
            <w:rStyle w:val="Hyperlink"/>
            <w:b/>
            <w:bCs/>
          </w:rPr>
          <w:t>Norfolk Village State School – Active School Travel</w:t>
        </w:r>
      </w:hyperlink>
      <w:r w:rsidR="00AC49AD">
        <w:t xml:space="preserve"> (</w:t>
      </w:r>
      <w:hyperlink r:id="rId11" w:history="1">
        <w:r w:rsidR="00AC49AD" w:rsidRPr="00A21903">
          <w:rPr>
            <w:rStyle w:val="Hyperlink"/>
          </w:rPr>
          <w:t>https://www.youtube.com/watch?v=Ee4G2tumLrg</w:t>
        </w:r>
      </w:hyperlink>
      <w:r w:rsidR="00AC49AD">
        <w:t xml:space="preserve">) </w:t>
      </w:r>
    </w:p>
    <w:p w14:paraId="6E667F70" w14:textId="77777777" w:rsidR="00AC49AD" w:rsidRDefault="00AC49AD" w:rsidP="00AC49AD">
      <w:r>
        <w:t>By promoting safe driving habits and encouraging active travel, schools can help reduce congestion, improve safety and create a more supportive environment for students and families alike.</w:t>
      </w:r>
    </w:p>
    <w:p w14:paraId="6D33D961" w14:textId="77777777" w:rsidR="00AC49AD" w:rsidRDefault="00AC49AD" w:rsidP="00AC49AD">
      <w:pPr>
        <w:pStyle w:val="Heading2"/>
      </w:pPr>
      <w:r>
        <w:t>Everyone plays a part</w:t>
      </w:r>
    </w:p>
    <w:p w14:paraId="79275B71" w14:textId="77777777" w:rsidR="00AC49AD" w:rsidRPr="00AC49AD" w:rsidRDefault="00AC49AD" w:rsidP="00AC49AD">
      <w:r>
        <w:t xml:space="preserve">Creating a safe and efficient environment around schools is a </w:t>
      </w:r>
      <w:proofErr w:type="gramStart"/>
      <w:r>
        <w:t>shared responsibilities</w:t>
      </w:r>
      <w:proofErr w:type="gramEnd"/>
      <w:r>
        <w:t>. By following the road rules, using loading zones correctly and supporting active travel options, parents, carers and schools all play an important role in protecting our children.</w:t>
      </w:r>
    </w:p>
    <w:sectPr w:rsidR="00AC49AD" w:rsidRPr="00AC49AD" w:rsidSect="00AC49AD">
      <w:headerReference w:type="first" r:id="rId12"/>
      <w:pgSz w:w="11906" w:h="16838" w:code="9"/>
      <w:pgMar w:top="1135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0443" w14:textId="77777777" w:rsidR="00137DC4" w:rsidRDefault="00137DC4" w:rsidP="00A9280E">
      <w:pPr>
        <w:spacing w:line="240" w:lineRule="auto"/>
      </w:pPr>
      <w:r>
        <w:separator/>
      </w:r>
    </w:p>
  </w:endnote>
  <w:endnote w:type="continuationSeparator" w:id="0">
    <w:p w14:paraId="5BFE2FEF" w14:textId="77777777" w:rsidR="00137DC4" w:rsidRDefault="00137DC4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EF80" w14:textId="77777777" w:rsidR="00137DC4" w:rsidRDefault="00137DC4" w:rsidP="00A9280E">
      <w:pPr>
        <w:spacing w:line="240" w:lineRule="auto"/>
      </w:pPr>
      <w:r>
        <w:separator/>
      </w:r>
    </w:p>
  </w:footnote>
  <w:footnote w:type="continuationSeparator" w:id="0">
    <w:p w14:paraId="23A1B6D7" w14:textId="77777777" w:rsidR="00137DC4" w:rsidRDefault="00137DC4" w:rsidP="00A928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C793" w14:textId="77777777" w:rsidR="00A35033" w:rsidRDefault="00A35033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65BADE9" wp14:editId="662BB2E9">
          <wp:simplePos x="0" y="0"/>
          <wp:positionH relativeFrom="margin">
            <wp:posOffset>-900430</wp:posOffset>
          </wp:positionH>
          <wp:positionV relativeFrom="margin">
            <wp:posOffset>-739140</wp:posOffset>
          </wp:positionV>
          <wp:extent cx="7558405" cy="10687050"/>
          <wp:effectExtent l="0" t="0" r="4445" b="0"/>
          <wp:wrapNone/>
          <wp:docPr id="1962001647" name="Picture 19620016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118309" name="Picture 14691183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F6EEB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C484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2E8F3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89E47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F4C8C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D685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2267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E12B4"/>
    <w:multiLevelType w:val="multilevel"/>
    <w:tmpl w:val="858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A21E3"/>
    <w:multiLevelType w:val="multilevel"/>
    <w:tmpl w:val="58CE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E35F10"/>
    <w:multiLevelType w:val="hybridMultilevel"/>
    <w:tmpl w:val="662AE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52DF5"/>
    <w:multiLevelType w:val="multilevel"/>
    <w:tmpl w:val="A1D2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C04DC"/>
    <w:multiLevelType w:val="multilevel"/>
    <w:tmpl w:val="469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6F494D"/>
    <w:multiLevelType w:val="multilevel"/>
    <w:tmpl w:val="AAB0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905D82"/>
    <w:multiLevelType w:val="multilevel"/>
    <w:tmpl w:val="3A10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E1ADC"/>
    <w:multiLevelType w:val="multilevel"/>
    <w:tmpl w:val="3FA4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81811"/>
    <w:multiLevelType w:val="multilevel"/>
    <w:tmpl w:val="E104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32F9"/>
    <w:multiLevelType w:val="hybridMultilevel"/>
    <w:tmpl w:val="852C52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7094F"/>
    <w:multiLevelType w:val="hybridMultilevel"/>
    <w:tmpl w:val="865CE0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D3713"/>
    <w:multiLevelType w:val="multilevel"/>
    <w:tmpl w:val="0BAA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46DBE"/>
    <w:multiLevelType w:val="hybridMultilevel"/>
    <w:tmpl w:val="7E90E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EC5EDA"/>
    <w:multiLevelType w:val="hybridMultilevel"/>
    <w:tmpl w:val="8586D2F2"/>
    <w:lvl w:ilvl="0" w:tplc="0DC81C4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1B7F6D"/>
    <w:multiLevelType w:val="hybridMultilevel"/>
    <w:tmpl w:val="A30A3BB4"/>
    <w:lvl w:ilvl="0" w:tplc="5D34EF40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61A18"/>
    <w:multiLevelType w:val="hybridMultilevel"/>
    <w:tmpl w:val="A824E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246ED"/>
    <w:multiLevelType w:val="multilevel"/>
    <w:tmpl w:val="C9D46C44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33" w15:restartNumberingAfterBreak="0">
    <w:nsid w:val="67655653"/>
    <w:multiLevelType w:val="singleLevel"/>
    <w:tmpl w:val="F626B85E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34" w15:restartNumberingAfterBreak="0">
    <w:nsid w:val="68F82F33"/>
    <w:multiLevelType w:val="hybridMultilevel"/>
    <w:tmpl w:val="F0D60A08"/>
    <w:lvl w:ilvl="0" w:tplc="5D34EF4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1285D"/>
    <w:multiLevelType w:val="singleLevel"/>
    <w:tmpl w:val="DADE1A62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6" w15:restartNumberingAfterBreak="0">
    <w:nsid w:val="7F68036E"/>
    <w:multiLevelType w:val="hybridMultilevel"/>
    <w:tmpl w:val="6AC8E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7528C"/>
    <w:multiLevelType w:val="singleLevel"/>
    <w:tmpl w:val="A8E2679A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1537810841">
    <w:abstractNumId w:val="6"/>
  </w:num>
  <w:num w:numId="2" w16cid:durableId="611714971">
    <w:abstractNumId w:val="32"/>
  </w:num>
  <w:num w:numId="3" w16cid:durableId="2089233339">
    <w:abstractNumId w:val="1"/>
  </w:num>
  <w:num w:numId="4" w16cid:durableId="1064139033">
    <w:abstractNumId w:val="0"/>
  </w:num>
  <w:num w:numId="5" w16cid:durableId="1131676040">
    <w:abstractNumId w:val="7"/>
  </w:num>
  <w:num w:numId="6" w16cid:durableId="1792286315">
    <w:abstractNumId w:val="35"/>
  </w:num>
  <w:num w:numId="7" w16cid:durableId="1137340397">
    <w:abstractNumId w:val="5"/>
  </w:num>
  <w:num w:numId="8" w16cid:durableId="1764453121">
    <w:abstractNumId w:val="37"/>
  </w:num>
  <w:num w:numId="9" w16cid:durableId="1637031433">
    <w:abstractNumId w:val="4"/>
  </w:num>
  <w:num w:numId="10" w16cid:durableId="1647666585">
    <w:abstractNumId w:val="33"/>
  </w:num>
  <w:num w:numId="11" w16cid:durableId="1284655479">
    <w:abstractNumId w:val="25"/>
  </w:num>
  <w:num w:numId="12" w16cid:durableId="243073785">
    <w:abstractNumId w:val="31"/>
  </w:num>
  <w:num w:numId="13" w16cid:durableId="1688557858">
    <w:abstractNumId w:val="12"/>
  </w:num>
  <w:num w:numId="14" w16cid:durableId="868493949">
    <w:abstractNumId w:val="13"/>
  </w:num>
  <w:num w:numId="15" w16cid:durableId="1187258435">
    <w:abstractNumId w:val="29"/>
  </w:num>
  <w:num w:numId="16" w16cid:durableId="904074665">
    <w:abstractNumId w:val="22"/>
  </w:num>
  <w:num w:numId="17" w16cid:durableId="87309825">
    <w:abstractNumId w:val="24"/>
  </w:num>
  <w:num w:numId="18" w16cid:durableId="1541166783">
    <w:abstractNumId w:val="17"/>
  </w:num>
  <w:num w:numId="19" w16cid:durableId="1299456824">
    <w:abstractNumId w:val="19"/>
  </w:num>
  <w:num w:numId="20" w16cid:durableId="118844587">
    <w:abstractNumId w:val="9"/>
  </w:num>
  <w:num w:numId="21" w16cid:durableId="888106675">
    <w:abstractNumId w:val="16"/>
  </w:num>
  <w:num w:numId="22" w16cid:durableId="1921984302">
    <w:abstractNumId w:val="27"/>
  </w:num>
  <w:num w:numId="23" w16cid:durableId="1661228942">
    <w:abstractNumId w:val="7"/>
  </w:num>
  <w:num w:numId="24" w16cid:durableId="242568461">
    <w:abstractNumId w:val="18"/>
  </w:num>
  <w:num w:numId="25" w16cid:durableId="654720570">
    <w:abstractNumId w:val="8"/>
  </w:num>
  <w:num w:numId="26" w16cid:durableId="1335957949">
    <w:abstractNumId w:val="14"/>
  </w:num>
  <w:num w:numId="27" w16cid:durableId="1431004813">
    <w:abstractNumId w:val="15"/>
  </w:num>
  <w:num w:numId="28" w16cid:durableId="1996836406">
    <w:abstractNumId w:val="23"/>
  </w:num>
  <w:num w:numId="29" w16cid:durableId="1209220137">
    <w:abstractNumId w:val="11"/>
  </w:num>
  <w:num w:numId="30" w16cid:durableId="1843007621">
    <w:abstractNumId w:val="7"/>
  </w:num>
  <w:num w:numId="31" w16cid:durableId="636298608">
    <w:abstractNumId w:val="6"/>
  </w:num>
  <w:num w:numId="32" w16cid:durableId="990671108">
    <w:abstractNumId w:val="1"/>
  </w:num>
  <w:num w:numId="33" w16cid:durableId="1253390904">
    <w:abstractNumId w:val="0"/>
  </w:num>
  <w:num w:numId="34" w16cid:durableId="714813647">
    <w:abstractNumId w:val="3"/>
  </w:num>
  <w:num w:numId="35" w16cid:durableId="1560090524">
    <w:abstractNumId w:val="2"/>
  </w:num>
  <w:num w:numId="36" w16cid:durableId="837580191">
    <w:abstractNumId w:val="6"/>
  </w:num>
  <w:num w:numId="37" w16cid:durableId="9158972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11861575">
    <w:abstractNumId w:val="36"/>
  </w:num>
  <w:num w:numId="39" w16cid:durableId="1261836100">
    <w:abstractNumId w:val="30"/>
  </w:num>
  <w:num w:numId="40" w16cid:durableId="1520779936">
    <w:abstractNumId w:val="20"/>
  </w:num>
  <w:num w:numId="41" w16cid:durableId="249697999">
    <w:abstractNumId w:val="21"/>
  </w:num>
  <w:num w:numId="42" w16cid:durableId="1908880875">
    <w:abstractNumId w:val="34"/>
  </w:num>
  <w:num w:numId="43" w16cid:durableId="1731492046">
    <w:abstractNumId w:val="28"/>
  </w:num>
  <w:num w:numId="44" w16cid:durableId="1493571359">
    <w:abstractNumId w:val="26"/>
  </w:num>
  <w:num w:numId="45" w16cid:durableId="10892375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AC"/>
    <w:rsid w:val="000126D6"/>
    <w:rsid w:val="00012CAD"/>
    <w:rsid w:val="0001356D"/>
    <w:rsid w:val="00024C73"/>
    <w:rsid w:val="00040D81"/>
    <w:rsid w:val="000623DB"/>
    <w:rsid w:val="00063EC5"/>
    <w:rsid w:val="00067CCE"/>
    <w:rsid w:val="00073B95"/>
    <w:rsid w:val="000852B6"/>
    <w:rsid w:val="000919D4"/>
    <w:rsid w:val="000A21FE"/>
    <w:rsid w:val="000B62D3"/>
    <w:rsid w:val="000C4ABA"/>
    <w:rsid w:val="00101A73"/>
    <w:rsid w:val="00137DC4"/>
    <w:rsid w:val="00140CB2"/>
    <w:rsid w:val="00154AB7"/>
    <w:rsid w:val="00171882"/>
    <w:rsid w:val="00172F20"/>
    <w:rsid w:val="0018390F"/>
    <w:rsid w:val="0018783A"/>
    <w:rsid w:val="00190D28"/>
    <w:rsid w:val="001A3FDE"/>
    <w:rsid w:val="001D17A2"/>
    <w:rsid w:val="001E3F0A"/>
    <w:rsid w:val="00204A19"/>
    <w:rsid w:val="00216C9B"/>
    <w:rsid w:val="002203EC"/>
    <w:rsid w:val="00242092"/>
    <w:rsid w:val="00251AA3"/>
    <w:rsid w:val="00267FDF"/>
    <w:rsid w:val="00281FEA"/>
    <w:rsid w:val="002909B5"/>
    <w:rsid w:val="00293985"/>
    <w:rsid w:val="002A7912"/>
    <w:rsid w:val="002D34A2"/>
    <w:rsid w:val="002D489B"/>
    <w:rsid w:val="002D7D2F"/>
    <w:rsid w:val="002F2965"/>
    <w:rsid w:val="002F2FF2"/>
    <w:rsid w:val="003054BF"/>
    <w:rsid w:val="00321BB9"/>
    <w:rsid w:val="00330284"/>
    <w:rsid w:val="0034090D"/>
    <w:rsid w:val="003533A6"/>
    <w:rsid w:val="00394461"/>
    <w:rsid w:val="003B4322"/>
    <w:rsid w:val="003C73AE"/>
    <w:rsid w:val="003D3DDE"/>
    <w:rsid w:val="003E0083"/>
    <w:rsid w:val="003F021E"/>
    <w:rsid w:val="003F3B11"/>
    <w:rsid w:val="0042018F"/>
    <w:rsid w:val="004207B9"/>
    <w:rsid w:val="00435625"/>
    <w:rsid w:val="00444D2D"/>
    <w:rsid w:val="004473C8"/>
    <w:rsid w:val="00482035"/>
    <w:rsid w:val="00485A2E"/>
    <w:rsid w:val="00486E3B"/>
    <w:rsid w:val="00492B82"/>
    <w:rsid w:val="00492FF4"/>
    <w:rsid w:val="004B1945"/>
    <w:rsid w:val="004B5948"/>
    <w:rsid w:val="004C6FAE"/>
    <w:rsid w:val="004D56A9"/>
    <w:rsid w:val="004F0E3E"/>
    <w:rsid w:val="004F108A"/>
    <w:rsid w:val="00503AD7"/>
    <w:rsid w:val="005075D9"/>
    <w:rsid w:val="00511F74"/>
    <w:rsid w:val="005241D3"/>
    <w:rsid w:val="005356D0"/>
    <w:rsid w:val="00545452"/>
    <w:rsid w:val="00546311"/>
    <w:rsid w:val="00554223"/>
    <w:rsid w:val="005567AC"/>
    <w:rsid w:val="00560347"/>
    <w:rsid w:val="00567279"/>
    <w:rsid w:val="00572ECD"/>
    <w:rsid w:val="0057777A"/>
    <w:rsid w:val="00596985"/>
    <w:rsid w:val="005B366A"/>
    <w:rsid w:val="005B4843"/>
    <w:rsid w:val="005B5D84"/>
    <w:rsid w:val="005B5DD8"/>
    <w:rsid w:val="005C435D"/>
    <w:rsid w:val="005F07A0"/>
    <w:rsid w:val="00601688"/>
    <w:rsid w:val="00601DE5"/>
    <w:rsid w:val="00650A5D"/>
    <w:rsid w:val="0067263C"/>
    <w:rsid w:val="0067596A"/>
    <w:rsid w:val="0068573B"/>
    <w:rsid w:val="006902D2"/>
    <w:rsid w:val="00692EE8"/>
    <w:rsid w:val="006A257D"/>
    <w:rsid w:val="006E4323"/>
    <w:rsid w:val="006F44A2"/>
    <w:rsid w:val="006F7B3D"/>
    <w:rsid w:val="00715DBD"/>
    <w:rsid w:val="00723604"/>
    <w:rsid w:val="00737BE9"/>
    <w:rsid w:val="00737DCA"/>
    <w:rsid w:val="00747BA3"/>
    <w:rsid w:val="007777F6"/>
    <w:rsid w:val="00794CEF"/>
    <w:rsid w:val="007A6B20"/>
    <w:rsid w:val="007B1D1E"/>
    <w:rsid w:val="007B55B4"/>
    <w:rsid w:val="007B5787"/>
    <w:rsid w:val="007E0CD4"/>
    <w:rsid w:val="007E45D3"/>
    <w:rsid w:val="007E5D9B"/>
    <w:rsid w:val="007E6613"/>
    <w:rsid w:val="007F00CE"/>
    <w:rsid w:val="007F7402"/>
    <w:rsid w:val="00805CF7"/>
    <w:rsid w:val="0081036C"/>
    <w:rsid w:val="00812BEF"/>
    <w:rsid w:val="00817400"/>
    <w:rsid w:val="00831DDA"/>
    <w:rsid w:val="00832E05"/>
    <w:rsid w:val="0084404D"/>
    <w:rsid w:val="00850F61"/>
    <w:rsid w:val="00873D82"/>
    <w:rsid w:val="00873DAB"/>
    <w:rsid w:val="0088793C"/>
    <w:rsid w:val="008938DB"/>
    <w:rsid w:val="008A05EE"/>
    <w:rsid w:val="008A7368"/>
    <w:rsid w:val="008C0F00"/>
    <w:rsid w:val="008D375B"/>
    <w:rsid w:val="008D4272"/>
    <w:rsid w:val="008D45CD"/>
    <w:rsid w:val="008E08B2"/>
    <w:rsid w:val="008E51B8"/>
    <w:rsid w:val="008F1000"/>
    <w:rsid w:val="008F15FD"/>
    <w:rsid w:val="008F79AE"/>
    <w:rsid w:val="00900DEE"/>
    <w:rsid w:val="00910872"/>
    <w:rsid w:val="00923EA4"/>
    <w:rsid w:val="00924579"/>
    <w:rsid w:val="009249AC"/>
    <w:rsid w:val="00936D2C"/>
    <w:rsid w:val="0094184C"/>
    <w:rsid w:val="00954EB3"/>
    <w:rsid w:val="00955CFE"/>
    <w:rsid w:val="00966CEB"/>
    <w:rsid w:val="00984F2A"/>
    <w:rsid w:val="009868A8"/>
    <w:rsid w:val="009A127C"/>
    <w:rsid w:val="009A496D"/>
    <w:rsid w:val="009A4AED"/>
    <w:rsid w:val="009B024D"/>
    <w:rsid w:val="009C476A"/>
    <w:rsid w:val="00A13321"/>
    <w:rsid w:val="00A250D6"/>
    <w:rsid w:val="00A35033"/>
    <w:rsid w:val="00A51CDC"/>
    <w:rsid w:val="00A63DCB"/>
    <w:rsid w:val="00A67B95"/>
    <w:rsid w:val="00A77553"/>
    <w:rsid w:val="00A9280E"/>
    <w:rsid w:val="00AC49AD"/>
    <w:rsid w:val="00AE2692"/>
    <w:rsid w:val="00B01571"/>
    <w:rsid w:val="00B02107"/>
    <w:rsid w:val="00B0588B"/>
    <w:rsid w:val="00B1179E"/>
    <w:rsid w:val="00B15F3B"/>
    <w:rsid w:val="00B44A61"/>
    <w:rsid w:val="00B54845"/>
    <w:rsid w:val="00B56ABB"/>
    <w:rsid w:val="00B65437"/>
    <w:rsid w:val="00B70360"/>
    <w:rsid w:val="00B94111"/>
    <w:rsid w:val="00BB1F42"/>
    <w:rsid w:val="00BB29BA"/>
    <w:rsid w:val="00BB35E9"/>
    <w:rsid w:val="00BC1C7D"/>
    <w:rsid w:val="00BE0BE9"/>
    <w:rsid w:val="00C0623C"/>
    <w:rsid w:val="00C12AC8"/>
    <w:rsid w:val="00C26415"/>
    <w:rsid w:val="00C357AC"/>
    <w:rsid w:val="00C358A6"/>
    <w:rsid w:val="00C371CC"/>
    <w:rsid w:val="00C37DC0"/>
    <w:rsid w:val="00C61610"/>
    <w:rsid w:val="00C6493C"/>
    <w:rsid w:val="00C85784"/>
    <w:rsid w:val="00CB03AE"/>
    <w:rsid w:val="00CB5194"/>
    <w:rsid w:val="00CB6F7C"/>
    <w:rsid w:val="00CC58D5"/>
    <w:rsid w:val="00CE0CFA"/>
    <w:rsid w:val="00D242AE"/>
    <w:rsid w:val="00D310FD"/>
    <w:rsid w:val="00D34E36"/>
    <w:rsid w:val="00D37356"/>
    <w:rsid w:val="00D62542"/>
    <w:rsid w:val="00D77F76"/>
    <w:rsid w:val="00D8103A"/>
    <w:rsid w:val="00D840FD"/>
    <w:rsid w:val="00D91F41"/>
    <w:rsid w:val="00DB782F"/>
    <w:rsid w:val="00DC0880"/>
    <w:rsid w:val="00DC7CAF"/>
    <w:rsid w:val="00DD7258"/>
    <w:rsid w:val="00DE0712"/>
    <w:rsid w:val="00DF29E6"/>
    <w:rsid w:val="00E40381"/>
    <w:rsid w:val="00E4305A"/>
    <w:rsid w:val="00E43405"/>
    <w:rsid w:val="00E434E1"/>
    <w:rsid w:val="00E54471"/>
    <w:rsid w:val="00E712EE"/>
    <w:rsid w:val="00EB21D5"/>
    <w:rsid w:val="00EB3C3D"/>
    <w:rsid w:val="00EF4EAD"/>
    <w:rsid w:val="00F06129"/>
    <w:rsid w:val="00F12B31"/>
    <w:rsid w:val="00F1727E"/>
    <w:rsid w:val="00F17E91"/>
    <w:rsid w:val="00F266F9"/>
    <w:rsid w:val="00F353AC"/>
    <w:rsid w:val="00F3649F"/>
    <w:rsid w:val="00F518AD"/>
    <w:rsid w:val="00F77ECC"/>
    <w:rsid w:val="00F82919"/>
    <w:rsid w:val="00F872AD"/>
    <w:rsid w:val="00FC76B9"/>
    <w:rsid w:val="00FD0817"/>
    <w:rsid w:val="00FD1276"/>
    <w:rsid w:val="00FD24F6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60B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4A2"/>
    <w:pPr>
      <w:suppressAutoHyphens/>
      <w:spacing w:before="160" w:after="240" w:line="320" w:lineRule="atLeast"/>
    </w:pPr>
    <w:rPr>
      <w:rFonts w:ascii="Arial" w:hAnsi="Arial"/>
      <w:color w:val="2F2F2F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E3B"/>
    <w:pPr>
      <w:keepNext/>
      <w:keepLines/>
      <w:spacing w:before="480" w:line="680" w:lineRule="atLeast"/>
      <w:outlineLvl w:val="0"/>
    </w:pPr>
    <w:rPr>
      <w:rFonts w:eastAsiaTheme="majorEastAsia" w:cstheme="majorBidi"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054BF"/>
    <w:pPr>
      <w:spacing w:line="520" w:lineRule="atLeast"/>
      <w:outlineLvl w:val="1"/>
    </w:pPr>
    <w:rPr>
      <w:color w:val="001531" w:themeColor="background2" w:themeShade="1A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F1000"/>
    <w:pPr>
      <w:spacing w:line="440" w:lineRule="atLeast"/>
      <w:outlineLvl w:val="2"/>
    </w:pPr>
    <w:rPr>
      <w:sz w:val="36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5B5DD8"/>
    <w:pPr>
      <w:spacing w:line="360" w:lineRule="atLeast"/>
      <w:outlineLvl w:val="3"/>
    </w:pPr>
    <w:rPr>
      <w:color w:val="063A72" w:themeColor="accent1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5DD8"/>
    <w:pPr>
      <w:keepNext/>
      <w:keepLines/>
      <w:spacing w:before="480"/>
      <w:outlineLvl w:val="4"/>
    </w:pPr>
    <w:rPr>
      <w:rFonts w:asciiTheme="majorHAnsi" w:eastAsiaTheme="majorEastAsia" w:hAnsiTheme="majorHAnsi" w:cstheme="majorBidi"/>
      <w:b/>
      <w:color w:val="03264C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A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31C3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A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31C3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A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31C3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A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31C3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A51CDC"/>
    <w:pPr>
      <w:framePr w:wrap="around" w:vAnchor="text" w:hAnchor="text" w:y="1"/>
      <w:pBdr>
        <w:top w:val="single" w:sz="2" w:space="8" w:color="C5C5C5" w:themeColor="text1" w:themeTint="40"/>
        <w:left w:val="single" w:sz="2" w:space="8" w:color="C5C5C5" w:themeColor="text1" w:themeTint="40"/>
        <w:bottom w:val="single" w:sz="2" w:space="8" w:color="C5C5C5" w:themeColor="text1" w:themeTint="40"/>
        <w:right w:val="single" w:sz="2" w:space="8" w:color="C5C5C5" w:themeColor="text1" w:themeTint="40"/>
      </w:pBdr>
      <w:ind w:left="640" w:right="640"/>
    </w:pPr>
    <w:rPr>
      <w:rFonts w:asciiTheme="minorHAnsi" w:eastAsiaTheme="minorEastAsia" w:hAnsiTheme="minorHAnsi"/>
      <w:iCs/>
      <w:color w:val="001531" w:themeColor="background2" w:themeShade="1A"/>
    </w:rPr>
  </w:style>
  <w:style w:type="paragraph" w:styleId="MessageHeader">
    <w:name w:val="Message Header"/>
    <w:basedOn w:val="Normal"/>
    <w:link w:val="MessageHeaderChar"/>
    <w:uiPriority w:val="99"/>
    <w:unhideWhenUsed/>
    <w:rsid w:val="00A51CDC"/>
    <w:pPr>
      <w:pBdr>
        <w:top w:val="single" w:sz="6" w:space="8" w:color="C5C5C5" w:themeColor="text1" w:themeTint="40"/>
        <w:left w:val="single" w:sz="6" w:space="8" w:color="C5C5C5" w:themeColor="text1" w:themeTint="40"/>
        <w:bottom w:val="single" w:sz="6" w:space="8" w:color="C5C5C5" w:themeColor="text1" w:themeTint="40"/>
        <w:right w:val="single" w:sz="6" w:space="8" w:color="C5C5C5" w:themeColor="text1" w:themeTint="40"/>
      </w:pBdr>
      <w:shd w:val="clear" w:color="auto" w:fill="E6F1FF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D37356"/>
    <w:pPr>
      <w:tabs>
        <w:tab w:val="center" w:pos="4536"/>
        <w:tab w:val="right" w:pos="9072"/>
      </w:tabs>
      <w:spacing w:after="160" w:line="280" w:lineRule="exact"/>
    </w:pPr>
    <w:rPr>
      <w:color w:val="525252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26D6"/>
    <w:rPr>
      <w:rFonts w:ascii="Arial" w:hAnsi="Arial"/>
      <w:color w:val="525252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3054BF"/>
  </w:style>
  <w:style w:type="character" w:customStyle="1" w:styleId="HeaderChar">
    <w:name w:val="Header Char"/>
    <w:basedOn w:val="DefaultParagraphFont"/>
    <w:link w:val="Header"/>
    <w:uiPriority w:val="99"/>
    <w:rsid w:val="003054BF"/>
    <w:rPr>
      <w:rFonts w:ascii="Arial" w:hAnsi="Arial"/>
      <w:color w:val="525252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D37356"/>
  </w:style>
  <w:style w:type="character" w:customStyle="1" w:styleId="Header2Char">
    <w:name w:val="Header 2 Char"/>
    <w:basedOn w:val="DefaultParagraphFont"/>
    <w:link w:val="Header2"/>
    <w:rsid w:val="00D37356"/>
    <w:rPr>
      <w:rFonts w:ascii="Arial" w:hAnsi="Arial"/>
      <w:color w:val="525252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3054BF"/>
  </w:style>
  <w:style w:type="character" w:customStyle="1" w:styleId="Footer2Char">
    <w:name w:val="Footer 2 Char"/>
    <w:basedOn w:val="DefaultParagraphFont"/>
    <w:link w:val="Footer2"/>
    <w:rsid w:val="003054BF"/>
    <w:rPr>
      <w:rFonts w:ascii="Arial" w:hAnsi="Arial"/>
      <w:color w:val="525252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F82919"/>
    <w:pPr>
      <w:numPr>
        <w:numId w:val="2"/>
      </w:numPr>
      <w:tabs>
        <w:tab w:val="num" w:pos="320"/>
      </w:tabs>
      <w:spacing w:before="0" w:after="0"/>
      <w:ind w:left="318" w:hanging="318"/>
      <w:contextualSpacing/>
    </w:pPr>
  </w:style>
  <w:style w:type="paragraph" w:styleId="ListNumber2">
    <w:name w:val="List Number 2"/>
    <w:basedOn w:val="Normal"/>
    <w:uiPriority w:val="99"/>
    <w:unhideWhenUsed/>
    <w:rsid w:val="00F82919"/>
    <w:pPr>
      <w:numPr>
        <w:ilvl w:val="1"/>
        <w:numId w:val="2"/>
      </w:numPr>
      <w:tabs>
        <w:tab w:val="num" w:pos="320"/>
      </w:tabs>
      <w:spacing w:before="0" w:after="0"/>
      <w:ind w:left="879" w:hanging="561"/>
      <w:contextualSpacing/>
    </w:pPr>
  </w:style>
  <w:style w:type="paragraph" w:styleId="ListNumber3">
    <w:name w:val="List Number 3"/>
    <w:basedOn w:val="Normal"/>
    <w:uiPriority w:val="99"/>
    <w:unhideWhenUsed/>
    <w:rsid w:val="00F82919"/>
    <w:pPr>
      <w:numPr>
        <w:ilvl w:val="2"/>
        <w:numId w:val="2"/>
      </w:numPr>
      <w:spacing w:before="0" w:after="0"/>
      <w:ind w:left="1446"/>
      <w:contextualSpacing/>
    </w:pPr>
  </w:style>
  <w:style w:type="paragraph" w:styleId="ListBullet">
    <w:name w:val="List Bullet"/>
    <w:basedOn w:val="Normal"/>
    <w:uiPriority w:val="99"/>
    <w:unhideWhenUsed/>
    <w:rsid w:val="005B5DD8"/>
    <w:pPr>
      <w:numPr>
        <w:numId w:val="22"/>
      </w:numPr>
      <w:spacing w:before="0" w:after="0"/>
      <w:ind w:left="357" w:hanging="357"/>
      <w:contextualSpacing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B5DD8"/>
    <w:pPr>
      <w:numPr>
        <w:numId w:val="8"/>
      </w:numPr>
      <w:tabs>
        <w:tab w:val="left" w:pos="160"/>
      </w:tabs>
      <w:spacing w:before="0" w:after="0"/>
      <w:ind w:left="918" w:hanging="357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B5DD8"/>
    <w:pPr>
      <w:numPr>
        <w:numId w:val="10"/>
      </w:numPr>
      <w:tabs>
        <w:tab w:val="num" w:pos="1701"/>
      </w:tabs>
      <w:spacing w:before="0" w:after="0"/>
      <w:ind w:left="1236" w:hanging="357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D3735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6E3B"/>
    <w:rPr>
      <w:rFonts w:ascii="Arial" w:eastAsiaTheme="majorEastAsia" w:hAnsi="Arial" w:cstheme="majorBidi"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F1000"/>
    <w:rPr>
      <w:rFonts w:ascii="Arial" w:eastAsiaTheme="majorEastAsia" w:hAnsi="Arial" w:cstheme="majorBidi"/>
      <w:color w:val="003E69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5DD8"/>
    <w:rPr>
      <w:rFonts w:ascii="Arial" w:eastAsiaTheme="majorEastAsia" w:hAnsi="Arial" w:cstheme="majorBidi"/>
      <w:color w:val="063A72" w:themeColor="accent1"/>
      <w:sz w:val="28"/>
      <w:szCs w:val="24"/>
    </w:rPr>
  </w:style>
  <w:style w:type="character" w:styleId="IntenseEmphasis">
    <w:name w:val="Intense Emphasis"/>
    <w:basedOn w:val="DefaultParagraphFont"/>
    <w:uiPriority w:val="21"/>
    <w:qFormat/>
    <w:rsid w:val="00B56AB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CDC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3264C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CDC"/>
    <w:rPr>
      <w:rFonts w:asciiTheme="majorHAnsi" w:eastAsiaTheme="majorEastAsia" w:hAnsiTheme="majorHAnsi" w:cstheme="majorBidi"/>
      <w:b/>
      <w:i/>
      <w:color w:val="03264C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34"/>
    <w:rsid w:val="00B56A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054BF"/>
    <w:rPr>
      <w:rFonts w:ascii="Arial" w:eastAsiaTheme="majorEastAsia" w:hAnsi="Arial" w:cstheme="majorBidi"/>
      <w:color w:val="001531" w:themeColor="background2" w:themeShade="1A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B5DD8"/>
    <w:rPr>
      <w:rFonts w:asciiTheme="majorHAnsi" w:eastAsiaTheme="majorEastAsia" w:hAnsiTheme="majorHAnsi" w:cstheme="majorBidi"/>
      <w:b/>
      <w:color w:val="03264C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ABB"/>
    <w:rPr>
      <w:rFonts w:asciiTheme="majorHAnsi" w:eastAsiaTheme="majorEastAsia" w:hAnsiTheme="majorHAnsi" w:cstheme="majorBidi"/>
      <w:i/>
      <w:iCs/>
      <w:caps/>
      <w:color w:val="031C3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ABB"/>
    <w:rPr>
      <w:rFonts w:asciiTheme="majorHAnsi" w:eastAsiaTheme="majorEastAsia" w:hAnsiTheme="majorHAnsi" w:cstheme="majorBidi"/>
      <w:b/>
      <w:bCs/>
      <w:color w:val="031C3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ABB"/>
    <w:rPr>
      <w:rFonts w:asciiTheme="majorHAnsi" w:eastAsiaTheme="majorEastAsia" w:hAnsiTheme="majorHAnsi" w:cstheme="majorBidi"/>
      <w:b/>
      <w:bCs/>
      <w:i/>
      <w:iCs/>
      <w:color w:val="031C3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ABB"/>
    <w:rPr>
      <w:rFonts w:asciiTheme="majorHAnsi" w:eastAsiaTheme="majorEastAsia" w:hAnsiTheme="majorHAnsi" w:cstheme="majorBidi"/>
      <w:i/>
      <w:iCs/>
      <w:color w:val="031C39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BC1C7D"/>
    <w:pPr>
      <w:spacing w:before="0" w:line="280" w:lineRule="atLeast"/>
    </w:pPr>
    <w:rPr>
      <w:bCs/>
      <w:color w:val="4D4D4D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F82919"/>
    <w:pPr>
      <w:numPr>
        <w:ilvl w:val="1"/>
      </w:numPr>
      <w:spacing w:before="0" w:after="480" w:line="520" w:lineRule="atLeast"/>
    </w:pPr>
    <w:rPr>
      <w:rFonts w:eastAsiaTheme="majorEastAsia" w:cstheme="majorBidi"/>
      <w:color w:val="001531" w:themeColor="background2" w:themeShade="1A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F82919"/>
    <w:rPr>
      <w:rFonts w:ascii="Arial" w:eastAsiaTheme="majorEastAsia" w:hAnsi="Arial" w:cstheme="majorBidi"/>
      <w:color w:val="001531" w:themeColor="background2" w:themeShade="1A"/>
      <w:sz w:val="44"/>
      <w:szCs w:val="28"/>
    </w:rPr>
  </w:style>
  <w:style w:type="character" w:styleId="Strong">
    <w:name w:val="Strong"/>
    <w:basedOn w:val="DefaultParagraphFont"/>
    <w:uiPriority w:val="22"/>
    <w:qFormat/>
    <w:rsid w:val="00B56AB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56AB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6493C"/>
    <w:pPr>
      <w:spacing w:before="480" w:after="480"/>
      <w:jc w:val="center"/>
    </w:pPr>
    <w:rPr>
      <w:i/>
      <w:color w:val="03264C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493C"/>
    <w:rPr>
      <w:rFonts w:ascii="Arial" w:hAnsi="Arial"/>
      <w:i/>
      <w:color w:val="03264C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872AD"/>
    <w:rPr>
      <w:i/>
      <w:iCs/>
      <w:color w:val="525252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72AD"/>
    <w:rPr>
      <w:caps w:val="0"/>
      <w:smallCaps w:val="0"/>
      <w:color w:val="525252" w:themeColor="text1" w:themeTint="BF"/>
      <w:u w:val="none" w:color="8B8B8B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872AD"/>
    <w:rPr>
      <w:b/>
      <w:bCs/>
      <w:i/>
      <w:caps w:val="0"/>
      <w:smallCaps w:val="0"/>
      <w:color w:val="03264C" w:themeColor="text2"/>
      <w:u w:val="none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51CDC"/>
    <w:rPr>
      <w:rFonts w:asciiTheme="majorHAnsi" w:eastAsiaTheme="majorEastAsia" w:hAnsiTheme="majorHAnsi" w:cstheme="majorBidi"/>
      <w:color w:val="2F2F2F" w:themeColor="text1" w:themeTint="E6"/>
      <w:sz w:val="24"/>
      <w:szCs w:val="24"/>
      <w:shd w:val="clear" w:color="auto" w:fill="E6F1FF" w:themeFill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8A7368"/>
    <w:pPr>
      <w:spacing w:line="520" w:lineRule="atLeast"/>
      <w:outlineLvl w:val="9"/>
    </w:pPr>
    <w:rPr>
      <w:color w:val="03264C" w:themeColor="text2"/>
      <w:sz w:val="44"/>
    </w:rPr>
  </w:style>
  <w:style w:type="table" w:styleId="TableGrid">
    <w:name w:val="Table Grid"/>
    <w:basedOn w:val="TableNormal"/>
    <w:locked/>
    <w:rsid w:val="00353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Default">
    <w:name w:val="TMR – Default"/>
    <w:basedOn w:val="TableNormal"/>
    <w:uiPriority w:val="99"/>
    <w:rsid w:val="008F1000"/>
    <w:pPr>
      <w:spacing w:after="0" w:line="240" w:lineRule="atLeast"/>
    </w:pPr>
    <w:rPr>
      <w:rFonts w:ascii="Arial" w:hAnsi="Arial"/>
      <w:color w:val="011225" w:themeColor="text2" w:themeShade="80"/>
      <w:sz w:val="20"/>
    </w:rPr>
    <w:tblPr>
      <w:tblStyleRowBandSize w:val="1"/>
      <w:tblBorders>
        <w:insideH w:val="dotted" w:sz="4" w:space="0" w:color="063A72" w:themeColor="accent1"/>
        <w:insideV w:val="dotted" w:sz="4" w:space="0" w:color="063A72" w:themeColor="accent1"/>
      </w:tblBorders>
      <w:tblCellMar>
        <w:top w:w="45" w:type="dxa"/>
        <w:left w:w="45" w:type="dxa"/>
        <w:bottom w:w="45" w:type="dxa"/>
        <w:right w:w="45" w:type="dxa"/>
      </w:tblCellMar>
    </w:tblPr>
    <w:tcPr>
      <w:shd w:val="clear" w:color="auto" w:fill="FFFFFF" w:themeFill="background1"/>
      <w:vAlign w:val="bottom"/>
    </w:tcPr>
    <w:tblStylePr w:type="firstRow">
      <w:rPr>
        <w:rFonts w:asciiTheme="minorHAnsi" w:hAnsiTheme="minorHAnsi"/>
        <w:b/>
        <w:color w:val="E6F1FF" w:themeColor="background2"/>
        <w:sz w:val="20"/>
      </w:rPr>
      <w:tblPr/>
      <w:tcPr>
        <w:tcBorders>
          <w:top w:val="nil"/>
          <w:left w:val="nil"/>
          <w:bottom w:val="single" w:sz="8" w:space="0" w:color="005EB8" w:themeColor="accen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525252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4B1945"/>
    <w:pPr>
      <w:spacing w:before="0" w:line="240" w:lineRule="auto"/>
      <w:contextualSpacing/>
    </w:pPr>
    <w:rPr>
      <w:rFonts w:asciiTheme="majorHAnsi" w:hAnsiTheme="majorHAnsi"/>
      <w:b/>
      <w:color w:val="063A72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4B1945"/>
    <w:rPr>
      <w:rFonts w:asciiTheme="majorHAnsi" w:eastAsiaTheme="majorEastAsia" w:hAnsiTheme="majorHAnsi" w:cstheme="majorBidi"/>
      <w:b/>
      <w:color w:val="063A72" w:themeColor="accent1"/>
      <w:spacing w:val="-10"/>
      <w:kern w:val="28"/>
      <w:sz w:val="72"/>
      <w:szCs w:val="5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783A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783A"/>
    <w:rPr>
      <w:rFonts w:ascii="Consolas" w:hAnsi="Consolas"/>
      <w:color w:val="2F2F2F" w:themeColor="text1" w:themeTint="E6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A7368"/>
    <w:pPr>
      <w:tabs>
        <w:tab w:val="right" w:leader="dot" w:pos="9060"/>
      </w:tabs>
      <w:spacing w:before="120" w:after="0"/>
    </w:pPr>
    <w:rPr>
      <w:b/>
    </w:rPr>
  </w:style>
  <w:style w:type="paragraph" w:customStyle="1" w:styleId="FigureCaption">
    <w:name w:val="Figure Caption"/>
    <w:basedOn w:val="Caption"/>
    <w:next w:val="Normal"/>
    <w:qFormat/>
    <w:rsid w:val="00BC1C7D"/>
    <w:pPr>
      <w:keepNext/>
      <w:spacing w:before="160" w:after="160"/>
    </w:pPr>
    <w:rPr>
      <w:b/>
      <w:color w:val="525252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42018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List3">
    <w:name w:val="List 3"/>
    <w:basedOn w:val="Normal"/>
    <w:uiPriority w:val="99"/>
    <w:unhideWhenUsed/>
    <w:rsid w:val="00CB03AE"/>
    <w:pPr>
      <w:ind w:left="1480"/>
      <w:contextualSpacing/>
    </w:pPr>
  </w:style>
  <w:style w:type="paragraph" w:styleId="List2">
    <w:name w:val="List 2"/>
    <w:basedOn w:val="Normal"/>
    <w:uiPriority w:val="99"/>
    <w:unhideWhenUsed/>
    <w:rsid w:val="00CB03AE"/>
    <w:pPr>
      <w:ind w:left="879"/>
      <w:contextualSpacing/>
    </w:pPr>
  </w:style>
  <w:style w:type="character" w:styleId="Hyperlink">
    <w:name w:val="Hyperlink"/>
    <w:basedOn w:val="DefaultParagraphFont"/>
    <w:uiPriority w:val="99"/>
    <w:unhideWhenUsed/>
    <w:rsid w:val="00F353AC"/>
    <w:rPr>
      <w:color w:val="0000FF"/>
      <w:u w:val="single"/>
    </w:rPr>
  </w:style>
  <w:style w:type="character" w:customStyle="1" w:styleId="qg-blank-notice">
    <w:name w:val="qg-blank-notice"/>
    <w:basedOn w:val="DefaultParagraphFont"/>
    <w:rsid w:val="00F353AC"/>
  </w:style>
  <w:style w:type="table" w:styleId="ListTable3-Accent1">
    <w:name w:val="List Table 3 Accent 1"/>
    <w:basedOn w:val="TableNormal"/>
    <w:uiPriority w:val="48"/>
    <w:locked/>
    <w:rsid w:val="00DC7CAF"/>
    <w:pPr>
      <w:spacing w:after="0" w:line="240" w:lineRule="auto"/>
    </w:pPr>
    <w:tblPr>
      <w:tblStyleRowBandSize w:val="1"/>
      <w:tblStyleColBandSize w:val="1"/>
      <w:tblBorders>
        <w:top w:val="single" w:sz="4" w:space="0" w:color="063A72" w:themeColor="accent1"/>
        <w:left w:val="single" w:sz="4" w:space="0" w:color="063A72" w:themeColor="accent1"/>
        <w:bottom w:val="single" w:sz="4" w:space="0" w:color="063A72" w:themeColor="accent1"/>
        <w:right w:val="single" w:sz="4" w:space="0" w:color="063A7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63A72" w:themeFill="accent1"/>
      </w:tcPr>
    </w:tblStylePr>
    <w:tblStylePr w:type="lastRow">
      <w:rPr>
        <w:b/>
        <w:bCs/>
      </w:rPr>
      <w:tblPr/>
      <w:tcPr>
        <w:tcBorders>
          <w:top w:val="double" w:sz="4" w:space="0" w:color="063A7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63A72" w:themeColor="accent1"/>
          <w:right w:val="single" w:sz="4" w:space="0" w:color="063A72" w:themeColor="accent1"/>
        </w:tcBorders>
      </w:tcPr>
    </w:tblStylePr>
    <w:tblStylePr w:type="band1Horz">
      <w:tblPr/>
      <w:tcPr>
        <w:tcBorders>
          <w:top w:val="single" w:sz="4" w:space="0" w:color="063A72" w:themeColor="accent1"/>
          <w:bottom w:val="single" w:sz="4" w:space="0" w:color="063A7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63A72" w:themeColor="accent1"/>
          <w:left w:val="nil"/>
        </w:tcBorders>
      </w:tcPr>
    </w:tblStylePr>
    <w:tblStylePr w:type="swCell">
      <w:tblPr/>
      <w:tcPr>
        <w:tcBorders>
          <w:top w:val="double" w:sz="4" w:space="0" w:color="063A72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8A7368"/>
    <w:pPr>
      <w:spacing w:before="60" w:after="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8A7368"/>
    <w:pPr>
      <w:spacing w:before="60" w:after="0"/>
      <w:ind w:left="48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47BA3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47BA3"/>
    <w:pPr>
      <w:spacing w:before="80"/>
      <w:ind w:left="958"/>
    </w:pPr>
  </w:style>
  <w:style w:type="paragraph" w:styleId="Bibliography">
    <w:name w:val="Bibliography"/>
    <w:basedOn w:val="Normal"/>
    <w:next w:val="Normal"/>
    <w:uiPriority w:val="37"/>
    <w:unhideWhenUsed/>
    <w:rsid w:val="00C371CC"/>
  </w:style>
  <w:style w:type="paragraph" w:styleId="ListContinue5">
    <w:name w:val="List Continue 5"/>
    <w:basedOn w:val="Normal"/>
    <w:uiPriority w:val="99"/>
    <w:unhideWhenUsed/>
    <w:rsid w:val="00DF29E6"/>
    <w:pPr>
      <w:spacing w:after="120"/>
      <w:ind w:left="1415"/>
      <w:contextualSpacing/>
    </w:pPr>
  </w:style>
  <w:style w:type="paragraph" w:styleId="List">
    <w:name w:val="List"/>
    <w:basedOn w:val="Normal"/>
    <w:uiPriority w:val="99"/>
    <w:unhideWhenUsed/>
    <w:rsid w:val="00CB03AE"/>
    <w:pPr>
      <w:ind w:left="318"/>
      <w:contextualSpacing/>
    </w:pPr>
  </w:style>
  <w:style w:type="paragraph" w:styleId="List4">
    <w:name w:val="List 4"/>
    <w:basedOn w:val="Normal"/>
    <w:uiPriority w:val="99"/>
    <w:unhideWhenUsed/>
    <w:rsid w:val="001E3F0A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1E3F0A"/>
    <w:pPr>
      <w:ind w:left="1415" w:hanging="283"/>
      <w:contextualSpacing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47BA3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47BA3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47BA3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47BA3"/>
    <w:pPr>
      <w:spacing w:before="80"/>
      <w:ind w:left="1922"/>
    </w:pPr>
  </w:style>
  <w:style w:type="paragraph" w:styleId="TableofFigures">
    <w:name w:val="table of figures"/>
    <w:basedOn w:val="Normal"/>
    <w:next w:val="Normal"/>
    <w:uiPriority w:val="99"/>
    <w:unhideWhenUsed/>
    <w:rsid w:val="00737DCA"/>
  </w:style>
  <w:style w:type="paragraph" w:styleId="TableofAuthorities">
    <w:name w:val="table of authorities"/>
    <w:basedOn w:val="Normal"/>
    <w:next w:val="Normal"/>
    <w:uiPriority w:val="99"/>
    <w:unhideWhenUsed/>
    <w:rsid w:val="00737DCA"/>
    <w:pPr>
      <w:ind w:left="240" w:hanging="240"/>
    </w:pPr>
  </w:style>
  <w:style w:type="paragraph" w:styleId="NoSpacing">
    <w:name w:val="No Spacing"/>
    <w:uiPriority w:val="1"/>
    <w:qFormat/>
    <w:locked/>
    <w:rsid w:val="000852B6"/>
    <w:pPr>
      <w:spacing w:after="0" w:line="240" w:lineRule="auto"/>
    </w:pPr>
    <w:rPr>
      <w:rFonts w:ascii="Arial" w:hAnsi="Arial"/>
      <w:color w:val="2F2F2F" w:themeColor="text1" w:themeTint="E6"/>
      <w:sz w:val="20"/>
    </w:rPr>
  </w:style>
  <w:style w:type="table" w:styleId="TableGridLight">
    <w:name w:val="Grid Table Light"/>
    <w:basedOn w:val="TableNormal"/>
    <w:uiPriority w:val="40"/>
    <w:locked/>
    <w:rsid w:val="00E403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8B8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8B8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403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E40381"/>
    <w:pPr>
      <w:spacing w:after="0" w:line="240" w:lineRule="auto"/>
    </w:pPr>
    <w:tblPr>
      <w:tblStyleRowBandSize w:val="1"/>
      <w:tblStyleColBandSize w:val="1"/>
      <w:tblBorders>
        <w:top w:val="single" w:sz="4" w:space="0" w:color="6AADF7" w:themeColor="accent1" w:themeTint="66"/>
        <w:left w:val="single" w:sz="4" w:space="0" w:color="6AADF7" w:themeColor="accent1" w:themeTint="66"/>
        <w:bottom w:val="single" w:sz="4" w:space="0" w:color="6AADF7" w:themeColor="accent1" w:themeTint="66"/>
        <w:right w:val="single" w:sz="4" w:space="0" w:color="6AADF7" w:themeColor="accent1" w:themeTint="66"/>
        <w:insideH w:val="single" w:sz="4" w:space="0" w:color="6AADF7" w:themeColor="accent1" w:themeTint="66"/>
        <w:insideV w:val="single" w:sz="4" w:space="0" w:color="6AAD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085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085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lmNgP9S4g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Ee4G2tumL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e4G2tumL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lmNgP9S4g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TMR">
  <a:themeElements>
    <a:clrScheme name="Transport and Main Roads">
      <a:dk1>
        <a:srgbClr val="191919"/>
      </a:dk1>
      <a:lt1>
        <a:srgbClr val="FFFFFF"/>
      </a:lt1>
      <a:dk2>
        <a:srgbClr val="03264C"/>
      </a:dk2>
      <a:lt2>
        <a:srgbClr val="E6F1FF"/>
      </a:lt2>
      <a:accent1>
        <a:srgbClr val="063A72"/>
      </a:accent1>
      <a:accent2>
        <a:srgbClr val="005EB8"/>
      </a:accent2>
      <a:accent3>
        <a:srgbClr val="05A6FF"/>
      </a:accent3>
      <a:accent4>
        <a:srgbClr val="024C4A"/>
      </a:accent4>
      <a:accent5>
        <a:srgbClr val="04825C"/>
      </a:accent5>
      <a:accent6>
        <a:srgbClr val="06BC50"/>
      </a:accent6>
      <a:hlink>
        <a:srgbClr val="005EB8"/>
      </a:hlink>
      <a:folHlink>
        <a:srgbClr val="005EB8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2025-07-29T00:45:00Z</dcterms:created>
  <dcterms:modified xsi:type="dcterms:W3CDTF">2025-07-29T00:48:00Z</dcterms:modified>
</cp:coreProperties>
</file>