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E2671E" w14:textId="76CBED55" w:rsidR="008113E9" w:rsidRPr="00CA455D" w:rsidRDefault="00CA455D" w:rsidP="008113E9">
      <w:pPr>
        <w:pStyle w:val="Title"/>
        <w:rPr>
          <w:rFonts w:ascii="Noto Sans" w:hAnsi="Noto Sans" w:cs="Noto Sans"/>
          <w:sz w:val="56"/>
          <w:szCs w:val="52"/>
        </w:rPr>
      </w:pPr>
      <w:bookmarkStart w:id="0" w:name="_Toc211520082"/>
      <w:bookmarkStart w:id="1" w:name="_Toc211520123"/>
      <w:bookmarkStart w:id="2" w:name="_Toc211520162"/>
      <w:bookmarkStart w:id="3" w:name="_Toc211521115"/>
      <w:bookmarkStart w:id="4" w:name="_Toc211522562"/>
      <w:r>
        <w:rPr>
          <w:rFonts w:ascii="Noto Sans" w:hAnsi="Noto Sans" w:cs="Noto Sans"/>
          <w:noProof/>
          <w:sz w:val="32"/>
          <w:szCs w:val="32"/>
        </w:rPr>
        <w:drawing>
          <wp:anchor distT="0" distB="0" distL="114300" distR="114300" simplePos="0" relativeHeight="251659264" behindDoc="1" locked="0" layoutInCell="1" allowOverlap="1" wp14:anchorId="6952D435" wp14:editId="1F440422">
            <wp:simplePos x="0" y="0"/>
            <wp:positionH relativeFrom="column">
              <wp:posOffset>-924750</wp:posOffset>
            </wp:positionH>
            <wp:positionV relativeFrom="paragraph">
              <wp:posOffset>-7635240</wp:posOffset>
            </wp:positionV>
            <wp:extent cx="7590790" cy="10732674"/>
            <wp:effectExtent l="0" t="0" r="0" b="0"/>
            <wp:wrapNone/>
            <wp:docPr id="318321523"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321523" name="Picture 2">
                      <a:extLst>
                        <a:ext uri="{C183D7F6-B498-43B3-948B-1728B52AA6E4}">
                          <adec:decorative xmlns:adec="http://schemas.microsoft.com/office/drawing/2017/decorative" val="1"/>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90790" cy="10732674"/>
                    </a:xfrm>
                    <a:prstGeom prst="rect">
                      <a:avLst/>
                    </a:prstGeom>
                    <a:noFill/>
                    <a:ln>
                      <a:noFill/>
                    </a:ln>
                  </pic:spPr>
                </pic:pic>
              </a:graphicData>
            </a:graphic>
            <wp14:sizeRelH relativeFrom="page">
              <wp14:pctWidth>0</wp14:pctWidth>
            </wp14:sizeRelH>
            <wp14:sizeRelV relativeFrom="page">
              <wp14:pctHeight>0</wp14:pctHeight>
            </wp14:sizeRelV>
          </wp:anchor>
        </w:drawing>
      </w:r>
      <w:r w:rsidR="00692703" w:rsidRPr="00CA455D">
        <w:rPr>
          <w:rFonts w:ascii="Noto Sans" w:hAnsi="Noto Sans" w:cs="Noto Sans"/>
          <w:sz w:val="56"/>
          <w:szCs w:val="52"/>
        </w:rPr>
        <w:t>Active Transport Investment Program Technical Guidance</w:t>
      </w:r>
      <w:bookmarkEnd w:id="0"/>
      <w:bookmarkEnd w:id="1"/>
      <w:bookmarkEnd w:id="2"/>
      <w:bookmarkEnd w:id="3"/>
      <w:bookmarkEnd w:id="4"/>
    </w:p>
    <w:p w14:paraId="2F9AD08D" w14:textId="09DCD022" w:rsidR="008113E9" w:rsidRPr="00CA455D" w:rsidRDefault="00452DBC" w:rsidP="008113E9">
      <w:pPr>
        <w:pStyle w:val="Subtitle"/>
        <w:rPr>
          <w:rFonts w:ascii="Noto Sans" w:hAnsi="Noto Sans" w:cs="Noto Sans"/>
        </w:rPr>
        <w:sectPr w:rsidR="008113E9" w:rsidRPr="00CA455D" w:rsidSect="008113E9">
          <w:footerReference w:type="default" r:id="rId12"/>
          <w:pgSz w:w="11906" w:h="16838" w:code="9"/>
          <w:pgMar w:top="12049" w:right="1418" w:bottom="1843" w:left="1418" w:header="567" w:footer="567" w:gutter="0"/>
          <w:pgNumType w:start="0"/>
          <w:cols w:space="708"/>
          <w:titlePg/>
          <w:docGrid w:linePitch="360"/>
        </w:sectPr>
      </w:pPr>
      <w:r>
        <w:rPr>
          <w:rFonts w:ascii="Noto Sans" w:hAnsi="Noto Sans" w:cs="Noto Sans"/>
        </w:rPr>
        <w:t xml:space="preserve">November </w:t>
      </w:r>
      <w:r w:rsidR="00692703" w:rsidRPr="00CA455D">
        <w:rPr>
          <w:rFonts w:ascii="Noto Sans" w:hAnsi="Noto Sans" w:cs="Noto Sans"/>
        </w:rPr>
        <w:t>2025</w:t>
      </w:r>
    </w:p>
    <w:p w14:paraId="613F8537" w14:textId="77777777" w:rsidR="008113E9" w:rsidRPr="00CA455D" w:rsidRDefault="008113E9" w:rsidP="008113E9">
      <w:pPr>
        <w:rPr>
          <w:rFonts w:ascii="Noto Sans" w:hAnsi="Noto Sans" w:cs="Noto Sans"/>
          <w:b/>
          <w:bCs/>
          <w:color w:val="auto"/>
        </w:rPr>
      </w:pPr>
      <w:r w:rsidRPr="00CA455D">
        <w:rPr>
          <w:rFonts w:ascii="Noto Sans" w:hAnsi="Noto Sans" w:cs="Noto Sans"/>
          <w:b/>
          <w:bCs/>
          <w:color w:val="auto"/>
        </w:rPr>
        <w:lastRenderedPageBreak/>
        <w:t>Translating and interpreting assistance</w:t>
      </w:r>
    </w:p>
    <w:p w14:paraId="5CE68092" w14:textId="77777777" w:rsidR="008113E9" w:rsidRPr="00CA455D" w:rsidRDefault="008113E9" w:rsidP="008113E9">
      <w:pPr>
        <w:rPr>
          <w:rFonts w:ascii="Noto Sans" w:hAnsi="Noto Sans" w:cs="Noto Sans"/>
          <w:color w:val="auto"/>
        </w:rPr>
      </w:pPr>
      <w:r w:rsidRPr="00CA455D">
        <w:rPr>
          <w:rFonts w:ascii="Noto Sans" w:hAnsi="Noto Sans" w:cs="Noto Sans"/>
          <w:color w:val="auto"/>
        </w:rPr>
        <w:t>The Queensland Government is committed to providing accessible services to Queenslanders from all cultural and linguistic backgrounds. If you have difficulty understanding this publication and need a translator, please call the Translating and Interpreting Service (TIS National) on 13 14 50 and ask them to telephone the Queensland Government (Department of Transport and Main Roads) on 13 74 68.</w:t>
      </w:r>
    </w:p>
    <w:p w14:paraId="11DF48F8" w14:textId="77777777" w:rsidR="008113E9" w:rsidRPr="00CA455D" w:rsidRDefault="008113E9" w:rsidP="008113E9">
      <w:pPr>
        <w:rPr>
          <w:rFonts w:ascii="Noto Sans" w:hAnsi="Noto Sans" w:cs="Noto Sans"/>
          <w:b/>
          <w:bCs/>
          <w:color w:val="auto"/>
        </w:rPr>
      </w:pPr>
      <w:r w:rsidRPr="00CA455D">
        <w:rPr>
          <w:rFonts w:ascii="Noto Sans" w:hAnsi="Noto Sans" w:cs="Noto Sans"/>
          <w:b/>
          <w:bCs/>
          <w:color w:val="auto"/>
        </w:rPr>
        <w:t xml:space="preserve">Copyright </w:t>
      </w:r>
    </w:p>
    <w:p w14:paraId="3DFF0319" w14:textId="77777777" w:rsidR="008113E9" w:rsidRPr="00CA455D" w:rsidRDefault="008113E9" w:rsidP="008113E9">
      <w:pPr>
        <w:rPr>
          <w:rFonts w:ascii="Noto Sans" w:hAnsi="Noto Sans" w:cs="Noto Sans"/>
          <w:color w:val="auto"/>
        </w:rPr>
      </w:pPr>
      <w:r w:rsidRPr="00CA455D">
        <w:rPr>
          <w:rFonts w:ascii="Noto Sans" w:hAnsi="Noto Sans" w:cs="Noto Sans"/>
          <w:color w:val="auto"/>
        </w:rPr>
        <w:t xml:space="preserve">This publication is protected by the </w:t>
      </w:r>
      <w:r w:rsidRPr="00CA455D">
        <w:rPr>
          <w:rFonts w:ascii="Noto Sans" w:hAnsi="Noto Sans" w:cs="Noto Sans"/>
          <w:i/>
          <w:iCs/>
          <w:color w:val="auto"/>
        </w:rPr>
        <w:t>Copyright Act 1968</w:t>
      </w:r>
      <w:r w:rsidRPr="00CA455D">
        <w:rPr>
          <w:rFonts w:ascii="Noto Sans" w:hAnsi="Noto Sans" w:cs="Noto Sans"/>
          <w:color w:val="auto"/>
        </w:rPr>
        <w:t>. © The State of Queensland, 2025.</w:t>
      </w:r>
    </w:p>
    <w:p w14:paraId="7B26A7FA" w14:textId="77777777" w:rsidR="008113E9" w:rsidRPr="00CA455D" w:rsidRDefault="008113E9" w:rsidP="008113E9">
      <w:pPr>
        <w:rPr>
          <w:rFonts w:ascii="Noto Sans" w:hAnsi="Noto Sans" w:cs="Noto Sans"/>
          <w:b/>
          <w:bCs/>
          <w:color w:val="auto"/>
        </w:rPr>
      </w:pPr>
      <w:r w:rsidRPr="00CA455D">
        <w:rPr>
          <w:rFonts w:ascii="Noto Sans" w:hAnsi="Noto Sans" w:cs="Noto Sans"/>
          <w:b/>
          <w:bCs/>
          <w:color w:val="auto"/>
        </w:rPr>
        <w:t>Disclaimer</w:t>
      </w:r>
    </w:p>
    <w:p w14:paraId="1507101E" w14:textId="77777777" w:rsidR="008113E9" w:rsidRPr="00CA455D" w:rsidRDefault="008113E9" w:rsidP="008113E9">
      <w:pPr>
        <w:rPr>
          <w:rFonts w:ascii="Noto Sans" w:hAnsi="Noto Sans" w:cs="Noto Sans"/>
          <w:color w:val="auto"/>
        </w:rPr>
        <w:sectPr w:rsidR="008113E9" w:rsidRPr="00CA455D" w:rsidSect="00CA455D">
          <w:headerReference w:type="first" r:id="rId13"/>
          <w:footerReference w:type="first" r:id="rId14"/>
          <w:pgSz w:w="11906" w:h="16838" w:code="9"/>
          <w:pgMar w:top="1135" w:right="1418" w:bottom="1843" w:left="1418" w:header="567" w:footer="567" w:gutter="0"/>
          <w:pgNumType w:fmt="lowerRoman"/>
          <w:cols w:space="708"/>
          <w:titlePg/>
          <w:docGrid w:linePitch="360"/>
        </w:sectPr>
      </w:pPr>
      <w:r w:rsidRPr="00CA455D">
        <w:rPr>
          <w:rFonts w:ascii="Noto Sans" w:hAnsi="Noto Sans" w:cs="Noto Sans"/>
          <w:color w:val="auto"/>
        </w:rPr>
        <w:t>While every care has been taken in preparing this publication, to the extent permitted by law, the State of Queensland accepts no responsibility and disclaims all liability (including without limitation, liability in negligence) for all expenses, losses (including direct and indirect loss), damages and costs incurred as a result of decisions or actions taken as a result of any data, information, statement or advice, expressed or implied, contained within. To the best of our knowledge, the content was correct at the time of publishing.</w:t>
      </w:r>
    </w:p>
    <w:sdt>
      <w:sdtPr>
        <w:rPr>
          <w:rFonts w:ascii="Noto Sans" w:eastAsiaTheme="minorHAnsi" w:hAnsi="Noto Sans" w:cs="Noto Sans"/>
          <w:color w:val="2F2F2F" w:themeColor="text1" w:themeTint="E6"/>
          <w:sz w:val="24"/>
          <w:szCs w:val="22"/>
        </w:rPr>
        <w:id w:val="-2102864559"/>
        <w:docPartObj>
          <w:docPartGallery w:val="Table of Contents"/>
          <w:docPartUnique/>
        </w:docPartObj>
      </w:sdtPr>
      <w:sdtEndPr>
        <w:rPr>
          <w:b/>
          <w:bCs/>
          <w:noProof/>
        </w:rPr>
      </w:sdtEndPr>
      <w:sdtContent>
        <w:p w14:paraId="7FC87651" w14:textId="44BA9D95" w:rsidR="00901C93" w:rsidRPr="00CA455D" w:rsidRDefault="008113E9" w:rsidP="0084760C">
          <w:pPr>
            <w:pStyle w:val="Heading1"/>
            <w:rPr>
              <w:rFonts w:ascii="Noto Sans" w:hAnsi="Noto Sans" w:cs="Noto Sans"/>
              <w:noProof/>
            </w:rPr>
          </w:pPr>
          <w:r w:rsidRPr="0084760C">
            <w:rPr>
              <w:rFonts w:ascii="Noto Sans" w:hAnsi="Noto Sans" w:cs="Noto Sans"/>
              <w:b/>
              <w:bCs/>
              <w:color w:val="005EB8"/>
            </w:rPr>
            <w:t>C</w:t>
          </w:r>
          <w:r w:rsidR="0084760C" w:rsidRPr="0084760C">
            <w:rPr>
              <w:rFonts w:ascii="Noto Sans" w:hAnsi="Noto Sans" w:cs="Noto Sans"/>
              <w:b/>
              <w:bCs/>
              <w:color w:val="005EB8"/>
            </w:rPr>
            <w:t>onten</w:t>
          </w:r>
          <w:r w:rsidR="0084760C">
            <w:rPr>
              <w:rFonts w:ascii="Noto Sans" w:hAnsi="Noto Sans" w:cs="Noto Sans"/>
              <w:b/>
              <w:bCs/>
              <w:color w:val="005EB8"/>
            </w:rPr>
            <w:t>ts</w:t>
          </w:r>
          <w:r w:rsidRPr="00CA455D">
            <w:rPr>
              <w:rFonts w:ascii="Noto Sans" w:hAnsi="Noto Sans" w:cs="Noto Sans"/>
              <w:color w:val="001224" w:themeColor="text2"/>
              <w:sz w:val="44"/>
            </w:rPr>
            <w:fldChar w:fldCharType="begin"/>
          </w:r>
          <w:r w:rsidRPr="00CA455D">
            <w:rPr>
              <w:rFonts w:ascii="Noto Sans" w:hAnsi="Noto Sans" w:cs="Noto Sans"/>
            </w:rPr>
            <w:instrText xml:space="preserve"> TOC \o "1-3" \h \z \u </w:instrText>
          </w:r>
          <w:r w:rsidRPr="00CA455D">
            <w:rPr>
              <w:rFonts w:ascii="Noto Sans" w:hAnsi="Noto Sans" w:cs="Noto Sans"/>
              <w:color w:val="001224" w:themeColor="text2"/>
              <w:sz w:val="44"/>
            </w:rPr>
            <w:fldChar w:fldCharType="separate"/>
          </w:r>
        </w:p>
        <w:p w14:paraId="0CD005AB" w14:textId="211C62DF" w:rsidR="00901C93" w:rsidRPr="00CA455D" w:rsidRDefault="00901C93">
          <w:pPr>
            <w:pStyle w:val="TOC1"/>
            <w:rPr>
              <w:rFonts w:ascii="Noto Sans" w:eastAsiaTheme="minorEastAsia" w:hAnsi="Noto Sans" w:cs="Noto Sans"/>
              <w:b w:val="0"/>
              <w:noProof/>
              <w:color w:val="000000"/>
              <w:kern w:val="2"/>
              <w:szCs w:val="24"/>
              <w:lang w:eastAsia="en-AU"/>
              <w14:ligatures w14:val="standardContextual"/>
            </w:rPr>
          </w:pPr>
          <w:hyperlink w:anchor="_Toc211522563" w:history="1">
            <w:r w:rsidRPr="00CA455D">
              <w:rPr>
                <w:rStyle w:val="Hyperlink"/>
                <w:rFonts w:ascii="Noto Sans" w:hAnsi="Noto Sans" w:cs="Noto Sans"/>
                <w:noProof/>
                <w:color w:val="000000"/>
              </w:rPr>
              <w:t>1. Introduction</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_Toc211522563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3</w:t>
            </w:r>
            <w:r w:rsidRPr="00CA455D">
              <w:rPr>
                <w:rFonts w:ascii="Noto Sans" w:hAnsi="Noto Sans" w:cs="Noto Sans"/>
                <w:noProof/>
                <w:webHidden/>
                <w:color w:val="000000"/>
              </w:rPr>
              <w:fldChar w:fldCharType="end"/>
            </w:r>
          </w:hyperlink>
        </w:p>
        <w:p w14:paraId="23762D11" w14:textId="43BC37A5" w:rsidR="00901C93" w:rsidRPr="00CA455D" w:rsidRDefault="00901C93">
          <w:pPr>
            <w:pStyle w:val="TOC1"/>
            <w:rPr>
              <w:rFonts w:ascii="Noto Sans" w:eastAsiaTheme="minorEastAsia" w:hAnsi="Noto Sans" w:cs="Noto Sans"/>
              <w:b w:val="0"/>
              <w:noProof/>
              <w:color w:val="000000"/>
              <w:kern w:val="2"/>
              <w:szCs w:val="24"/>
              <w:lang w:eastAsia="en-AU"/>
              <w14:ligatures w14:val="standardContextual"/>
            </w:rPr>
          </w:pPr>
          <w:hyperlink w:anchor="_Toc211522564" w:history="1">
            <w:r w:rsidRPr="00CA455D">
              <w:rPr>
                <w:rStyle w:val="Hyperlink"/>
                <w:rFonts w:ascii="Noto Sans" w:hAnsi="Noto Sans" w:cs="Noto Sans"/>
                <w:noProof/>
                <w:color w:val="000000"/>
              </w:rPr>
              <w:t>2. Purpose</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_Toc211522564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3</w:t>
            </w:r>
            <w:r w:rsidRPr="00CA455D">
              <w:rPr>
                <w:rFonts w:ascii="Noto Sans" w:hAnsi="Noto Sans" w:cs="Noto Sans"/>
                <w:noProof/>
                <w:webHidden/>
                <w:color w:val="000000"/>
              </w:rPr>
              <w:fldChar w:fldCharType="end"/>
            </w:r>
          </w:hyperlink>
        </w:p>
        <w:p w14:paraId="07ABA4A5" w14:textId="5A6515BF" w:rsidR="00901C93" w:rsidRPr="00CA455D" w:rsidRDefault="00901C93">
          <w:pPr>
            <w:pStyle w:val="TOC1"/>
            <w:rPr>
              <w:rFonts w:ascii="Noto Sans" w:eastAsiaTheme="minorEastAsia" w:hAnsi="Noto Sans" w:cs="Noto Sans"/>
              <w:b w:val="0"/>
              <w:noProof/>
              <w:color w:val="000000"/>
              <w:kern w:val="2"/>
              <w:szCs w:val="24"/>
              <w:lang w:eastAsia="en-AU"/>
              <w14:ligatures w14:val="standardContextual"/>
            </w:rPr>
          </w:pPr>
          <w:hyperlink w:anchor="_Toc211522565" w:history="1">
            <w:r w:rsidRPr="00CA455D">
              <w:rPr>
                <w:rStyle w:val="Hyperlink"/>
                <w:rFonts w:ascii="Noto Sans" w:hAnsi="Noto Sans" w:cs="Noto Sans"/>
                <w:noProof/>
                <w:color w:val="000000"/>
              </w:rPr>
              <w:t>3. Eligibility and performance requirements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_Toc211522565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4</w:t>
            </w:r>
            <w:r w:rsidRPr="00CA455D">
              <w:rPr>
                <w:rFonts w:ascii="Noto Sans" w:hAnsi="Noto Sans" w:cs="Noto Sans"/>
                <w:noProof/>
                <w:webHidden/>
                <w:color w:val="000000"/>
              </w:rPr>
              <w:fldChar w:fldCharType="end"/>
            </w:r>
          </w:hyperlink>
        </w:p>
        <w:p w14:paraId="5ED7FBA5" w14:textId="3E25E275"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66" w:history="1">
            <w:r w:rsidRPr="00CA455D">
              <w:rPr>
                <w:rStyle w:val="Hyperlink"/>
                <w:rFonts w:ascii="Noto Sans" w:hAnsi="Noto Sans" w:cs="Noto Sans"/>
                <w:noProof/>
                <w:color w:val="000000"/>
              </w:rPr>
              <w:t>3.1 Eligibility</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_Toc211522566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4</w:t>
            </w:r>
            <w:r w:rsidRPr="00CA455D">
              <w:rPr>
                <w:rFonts w:ascii="Noto Sans" w:hAnsi="Noto Sans" w:cs="Noto Sans"/>
                <w:noProof/>
                <w:webHidden/>
                <w:color w:val="000000"/>
              </w:rPr>
              <w:fldChar w:fldCharType="end"/>
            </w:r>
          </w:hyperlink>
        </w:p>
        <w:p w14:paraId="1EDDE181" w14:textId="129A529D"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67" w:history="1">
            <w:r w:rsidRPr="00CA455D">
              <w:rPr>
                <w:rStyle w:val="Hyperlink"/>
                <w:rFonts w:ascii="Noto Sans" w:hAnsi="Noto Sans" w:cs="Noto Sans"/>
                <w:noProof/>
                <w:color w:val="000000"/>
              </w:rPr>
              <w:t>3.2 Performance requirements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_Toc211522567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4</w:t>
            </w:r>
            <w:r w:rsidRPr="00CA455D">
              <w:rPr>
                <w:rFonts w:ascii="Noto Sans" w:hAnsi="Noto Sans" w:cs="Noto Sans"/>
                <w:noProof/>
                <w:webHidden/>
                <w:color w:val="000000"/>
              </w:rPr>
              <w:fldChar w:fldCharType="end"/>
            </w:r>
          </w:hyperlink>
        </w:p>
        <w:p w14:paraId="4120CF4E" w14:textId="7F6EE13C" w:rsidR="00901C93" w:rsidRPr="00CA455D" w:rsidRDefault="00901C93">
          <w:pPr>
            <w:pStyle w:val="TOC1"/>
            <w:rPr>
              <w:rFonts w:ascii="Noto Sans" w:eastAsiaTheme="minorEastAsia" w:hAnsi="Noto Sans" w:cs="Noto Sans"/>
              <w:b w:val="0"/>
              <w:noProof/>
              <w:color w:val="000000"/>
              <w:kern w:val="2"/>
              <w:szCs w:val="24"/>
              <w:lang w:eastAsia="en-AU"/>
              <w14:ligatures w14:val="standardContextual"/>
            </w:rPr>
          </w:pPr>
          <w:hyperlink w:anchor="_Toc211522568" w:history="1">
            <w:r w:rsidRPr="00CA455D">
              <w:rPr>
                <w:rStyle w:val="Hyperlink"/>
                <w:rFonts w:ascii="Noto Sans" w:hAnsi="Noto Sans" w:cs="Noto Sans"/>
                <w:noProof/>
                <w:color w:val="000000"/>
              </w:rPr>
              <w:t>4. On-road bicycle lanes and cycle tracks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_Toc211522568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5</w:t>
            </w:r>
            <w:r w:rsidRPr="00CA455D">
              <w:rPr>
                <w:rFonts w:ascii="Noto Sans" w:hAnsi="Noto Sans" w:cs="Noto Sans"/>
                <w:noProof/>
                <w:webHidden/>
                <w:color w:val="000000"/>
              </w:rPr>
              <w:fldChar w:fldCharType="end"/>
            </w:r>
          </w:hyperlink>
        </w:p>
        <w:p w14:paraId="22BDBB14" w14:textId="7049AA93"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69" w:history="1">
            <w:r w:rsidRPr="00CA455D">
              <w:rPr>
                <w:rStyle w:val="Hyperlink"/>
                <w:rFonts w:ascii="Noto Sans" w:hAnsi="Noto Sans" w:cs="Noto Sans"/>
                <w:noProof/>
                <w:color w:val="000000"/>
              </w:rPr>
              <w:t>4.1 Level of traffic stress (LTS) and treatment types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_Toc211522569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5</w:t>
            </w:r>
            <w:r w:rsidRPr="00CA455D">
              <w:rPr>
                <w:rFonts w:ascii="Noto Sans" w:hAnsi="Noto Sans" w:cs="Noto Sans"/>
                <w:noProof/>
                <w:webHidden/>
                <w:color w:val="000000"/>
              </w:rPr>
              <w:fldChar w:fldCharType="end"/>
            </w:r>
          </w:hyperlink>
        </w:p>
        <w:p w14:paraId="63BEBCA4" w14:textId="6A4D4BFF"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0" w:history="1">
            <w:r w:rsidRPr="00CA455D">
              <w:rPr>
                <w:rStyle w:val="Hyperlink"/>
                <w:rFonts w:ascii="Noto Sans" w:hAnsi="Noto Sans" w:cs="Noto Sans"/>
                <w:noProof/>
                <w:color w:val="000000"/>
              </w:rPr>
              <w:t>4.2 Bicycle lanes and on-street parking</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_Toc211522570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11</w:t>
            </w:r>
            <w:r w:rsidRPr="00CA455D">
              <w:rPr>
                <w:rFonts w:ascii="Noto Sans" w:hAnsi="Noto Sans" w:cs="Noto Sans"/>
                <w:noProof/>
                <w:webHidden/>
                <w:color w:val="000000"/>
              </w:rPr>
              <w:fldChar w:fldCharType="end"/>
            </w:r>
          </w:hyperlink>
        </w:p>
        <w:p w14:paraId="2757B945" w14:textId="70A521F5"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1" w:history="1">
            <w:r w:rsidRPr="00CA455D">
              <w:rPr>
                <w:rStyle w:val="Hyperlink"/>
                <w:rFonts w:ascii="Noto Sans" w:hAnsi="Noto Sans" w:cs="Noto Sans"/>
                <w:noProof/>
                <w:color w:val="000000"/>
              </w:rPr>
              <w:t>4.3 Intersections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_Toc211522571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12</w:t>
            </w:r>
            <w:r w:rsidRPr="00CA455D">
              <w:rPr>
                <w:rFonts w:ascii="Noto Sans" w:hAnsi="Noto Sans" w:cs="Noto Sans"/>
                <w:noProof/>
                <w:webHidden/>
                <w:color w:val="000000"/>
              </w:rPr>
              <w:fldChar w:fldCharType="end"/>
            </w:r>
          </w:hyperlink>
        </w:p>
        <w:p w14:paraId="6B6B4FCD" w14:textId="274F27CF"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2" w:history="1">
            <w:r w:rsidRPr="00CA455D">
              <w:rPr>
                <w:rStyle w:val="Hyperlink"/>
                <w:rFonts w:ascii="Noto Sans" w:hAnsi="Noto Sans" w:cs="Noto Sans"/>
                <w:noProof/>
                <w:color w:val="000000"/>
              </w:rPr>
              <w:t>4.4 Drainage and utilities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_Toc211522572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13</w:t>
            </w:r>
            <w:r w:rsidRPr="00CA455D">
              <w:rPr>
                <w:rFonts w:ascii="Noto Sans" w:hAnsi="Noto Sans" w:cs="Noto Sans"/>
                <w:noProof/>
                <w:webHidden/>
                <w:color w:val="000000"/>
              </w:rPr>
              <w:fldChar w:fldCharType="end"/>
            </w:r>
          </w:hyperlink>
        </w:p>
        <w:p w14:paraId="0EE14D1C" w14:textId="52AA4023" w:rsidR="00901C93" w:rsidRPr="00CA455D" w:rsidRDefault="00901C93">
          <w:pPr>
            <w:pStyle w:val="TOC1"/>
            <w:rPr>
              <w:rFonts w:ascii="Noto Sans" w:eastAsiaTheme="minorEastAsia" w:hAnsi="Noto Sans" w:cs="Noto Sans"/>
              <w:b w:val="0"/>
              <w:noProof/>
              <w:color w:val="000000"/>
              <w:kern w:val="2"/>
              <w:szCs w:val="24"/>
              <w:lang w:eastAsia="en-AU"/>
              <w14:ligatures w14:val="standardContextual"/>
            </w:rPr>
          </w:pPr>
          <w:hyperlink w:anchor="_Toc211522573" w:history="1">
            <w:r w:rsidRPr="00CA455D">
              <w:rPr>
                <w:rStyle w:val="Hyperlink"/>
                <w:rFonts w:ascii="Noto Sans" w:hAnsi="Noto Sans" w:cs="Noto Sans"/>
                <w:noProof/>
                <w:color w:val="000000"/>
              </w:rPr>
              <w:t>5. Off-road requirements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_Toc211522573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14</w:t>
            </w:r>
            <w:r w:rsidRPr="00CA455D">
              <w:rPr>
                <w:rFonts w:ascii="Noto Sans" w:hAnsi="Noto Sans" w:cs="Noto Sans"/>
                <w:noProof/>
                <w:webHidden/>
                <w:color w:val="000000"/>
              </w:rPr>
              <w:fldChar w:fldCharType="end"/>
            </w:r>
          </w:hyperlink>
        </w:p>
        <w:p w14:paraId="7457D25B" w14:textId="04E5B0F6"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4" w:history="1">
            <w:r w:rsidRPr="00CA455D">
              <w:rPr>
                <w:rStyle w:val="Hyperlink"/>
                <w:rFonts w:ascii="Noto Sans" w:hAnsi="Noto Sans" w:cs="Noto Sans"/>
                <w:noProof/>
                <w:color w:val="000000"/>
              </w:rPr>
              <w:t>5.1 Land use and path provision for walking</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_Toc211522574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14</w:t>
            </w:r>
            <w:r w:rsidRPr="00CA455D">
              <w:rPr>
                <w:rFonts w:ascii="Noto Sans" w:hAnsi="Noto Sans" w:cs="Noto Sans"/>
                <w:noProof/>
                <w:webHidden/>
                <w:color w:val="000000"/>
              </w:rPr>
              <w:fldChar w:fldCharType="end"/>
            </w:r>
          </w:hyperlink>
        </w:p>
        <w:p w14:paraId="682DED2F" w14:textId="02386073"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5" w:history="1">
            <w:r w:rsidRPr="00CA455D">
              <w:rPr>
                <w:rStyle w:val="Hyperlink"/>
                <w:rFonts w:ascii="Noto Sans" w:hAnsi="Noto Sans" w:cs="Noto Sans"/>
                <w:noProof/>
                <w:color w:val="000000"/>
              </w:rPr>
              <w:t>5.2 Path intersections and widths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_Toc211522575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14</w:t>
            </w:r>
            <w:r w:rsidRPr="00CA455D">
              <w:rPr>
                <w:rFonts w:ascii="Noto Sans" w:hAnsi="Noto Sans" w:cs="Noto Sans"/>
                <w:noProof/>
                <w:webHidden/>
                <w:color w:val="000000"/>
              </w:rPr>
              <w:fldChar w:fldCharType="end"/>
            </w:r>
          </w:hyperlink>
        </w:p>
        <w:p w14:paraId="44F1154A" w14:textId="703BBF3E" w:rsidR="00901C93" w:rsidRPr="00CA455D" w:rsidRDefault="00901C93">
          <w:pPr>
            <w:pStyle w:val="TOC3"/>
            <w:tabs>
              <w:tab w:val="right" w:leader="dot" w:pos="9060"/>
            </w:tabs>
            <w:rPr>
              <w:rFonts w:ascii="Noto Sans" w:eastAsiaTheme="minorEastAsia" w:hAnsi="Noto Sans" w:cs="Noto Sans"/>
              <w:i w:val="0"/>
              <w:noProof/>
              <w:color w:val="000000"/>
              <w:kern w:val="2"/>
              <w:szCs w:val="24"/>
              <w:lang w:eastAsia="en-AU"/>
              <w14:ligatures w14:val="standardContextual"/>
            </w:rPr>
          </w:pPr>
          <w:hyperlink w:anchor="_Toc211522576" w:history="1">
            <w:r w:rsidRPr="00CA455D">
              <w:rPr>
                <w:rStyle w:val="Hyperlink"/>
                <w:rFonts w:ascii="Noto Sans" w:hAnsi="Noto Sans" w:cs="Noto Sans"/>
                <w:noProof/>
                <w:color w:val="000000"/>
              </w:rPr>
              <w:t>5.2.1 Bike infrastructure path widths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_Toc211522576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15</w:t>
            </w:r>
            <w:r w:rsidRPr="00CA455D">
              <w:rPr>
                <w:rFonts w:ascii="Noto Sans" w:hAnsi="Noto Sans" w:cs="Noto Sans"/>
                <w:noProof/>
                <w:webHidden/>
                <w:color w:val="000000"/>
              </w:rPr>
              <w:fldChar w:fldCharType="end"/>
            </w:r>
          </w:hyperlink>
        </w:p>
        <w:p w14:paraId="6FCAA354" w14:textId="78AB9454" w:rsidR="00901C93" w:rsidRPr="00CA455D" w:rsidRDefault="00901C93">
          <w:pPr>
            <w:pStyle w:val="TOC3"/>
            <w:tabs>
              <w:tab w:val="right" w:leader="dot" w:pos="9060"/>
            </w:tabs>
            <w:rPr>
              <w:rFonts w:ascii="Noto Sans" w:eastAsiaTheme="minorEastAsia" w:hAnsi="Noto Sans" w:cs="Noto Sans"/>
              <w:i w:val="0"/>
              <w:noProof/>
              <w:color w:val="000000"/>
              <w:kern w:val="2"/>
              <w:szCs w:val="24"/>
              <w:lang w:eastAsia="en-AU"/>
              <w14:ligatures w14:val="standardContextual"/>
            </w:rPr>
          </w:pPr>
          <w:hyperlink w:anchor="_Toc211522577" w:history="1">
            <w:r w:rsidRPr="00CA455D">
              <w:rPr>
                <w:rStyle w:val="Hyperlink"/>
                <w:rFonts w:ascii="Noto Sans" w:hAnsi="Noto Sans" w:cs="Noto Sans"/>
                <w:noProof/>
                <w:color w:val="000000"/>
              </w:rPr>
              <w:t>5.2.2 Walking infrastructure path widths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_Toc211522577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16</w:t>
            </w:r>
            <w:r w:rsidRPr="00CA455D">
              <w:rPr>
                <w:rFonts w:ascii="Noto Sans" w:hAnsi="Noto Sans" w:cs="Noto Sans"/>
                <w:noProof/>
                <w:webHidden/>
                <w:color w:val="000000"/>
              </w:rPr>
              <w:fldChar w:fldCharType="end"/>
            </w:r>
          </w:hyperlink>
        </w:p>
        <w:p w14:paraId="4BE8B97D" w14:textId="57E9C990"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8" w:history="1">
            <w:r w:rsidRPr="00CA455D">
              <w:rPr>
                <w:rStyle w:val="Hyperlink"/>
                <w:rFonts w:ascii="Noto Sans" w:hAnsi="Noto Sans" w:cs="Noto Sans"/>
                <w:noProof/>
                <w:color w:val="000000"/>
              </w:rPr>
              <w:t>5.3 Path sight lines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_Toc211522578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17</w:t>
            </w:r>
            <w:r w:rsidRPr="00CA455D">
              <w:rPr>
                <w:rFonts w:ascii="Noto Sans" w:hAnsi="Noto Sans" w:cs="Noto Sans"/>
                <w:noProof/>
                <w:webHidden/>
                <w:color w:val="000000"/>
              </w:rPr>
              <w:fldChar w:fldCharType="end"/>
            </w:r>
          </w:hyperlink>
        </w:p>
        <w:p w14:paraId="3A20C082" w14:textId="768CFC56"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79" w:history="1">
            <w:r w:rsidRPr="00CA455D">
              <w:rPr>
                <w:rStyle w:val="Hyperlink"/>
                <w:rFonts w:ascii="Noto Sans" w:hAnsi="Noto Sans" w:cs="Noto Sans"/>
                <w:noProof/>
                <w:color w:val="000000"/>
              </w:rPr>
              <w:t>5.4 Path joints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_Toc211522579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18</w:t>
            </w:r>
            <w:r w:rsidRPr="00CA455D">
              <w:rPr>
                <w:rFonts w:ascii="Noto Sans" w:hAnsi="Noto Sans" w:cs="Noto Sans"/>
                <w:noProof/>
                <w:webHidden/>
                <w:color w:val="000000"/>
              </w:rPr>
              <w:fldChar w:fldCharType="end"/>
            </w:r>
          </w:hyperlink>
        </w:p>
        <w:p w14:paraId="15861BBD" w14:textId="57157825"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0" w:history="1">
            <w:r w:rsidRPr="00CA455D">
              <w:rPr>
                <w:rStyle w:val="Hyperlink"/>
                <w:rFonts w:ascii="Noto Sans" w:hAnsi="Noto Sans" w:cs="Noto Sans"/>
                <w:noProof/>
                <w:color w:val="000000"/>
              </w:rPr>
              <w:t>5.5 Path pavement marking and signs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_Toc211522580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18</w:t>
            </w:r>
            <w:r w:rsidRPr="00CA455D">
              <w:rPr>
                <w:rFonts w:ascii="Noto Sans" w:hAnsi="Noto Sans" w:cs="Noto Sans"/>
                <w:noProof/>
                <w:webHidden/>
                <w:color w:val="000000"/>
              </w:rPr>
              <w:fldChar w:fldCharType="end"/>
            </w:r>
          </w:hyperlink>
        </w:p>
        <w:p w14:paraId="54E2D356" w14:textId="61B9FDD2"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1" w:history="1">
            <w:r w:rsidRPr="00CA455D">
              <w:rPr>
                <w:rStyle w:val="Hyperlink"/>
                <w:rFonts w:ascii="Noto Sans" w:hAnsi="Noto Sans" w:cs="Noto Sans"/>
                <w:noProof/>
                <w:color w:val="000000"/>
              </w:rPr>
              <w:t>5.6 Path and driveway conflict/s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_Toc211522581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19</w:t>
            </w:r>
            <w:r w:rsidRPr="00CA455D">
              <w:rPr>
                <w:rFonts w:ascii="Noto Sans" w:hAnsi="Noto Sans" w:cs="Noto Sans"/>
                <w:noProof/>
                <w:webHidden/>
                <w:color w:val="000000"/>
              </w:rPr>
              <w:fldChar w:fldCharType="end"/>
            </w:r>
          </w:hyperlink>
        </w:p>
        <w:p w14:paraId="1CD2747E" w14:textId="30C50D5E"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2" w:history="1">
            <w:r w:rsidRPr="00CA455D">
              <w:rPr>
                <w:rStyle w:val="Hyperlink"/>
                <w:rFonts w:ascii="Noto Sans" w:hAnsi="Noto Sans" w:cs="Noto Sans"/>
                <w:noProof/>
                <w:color w:val="000000"/>
              </w:rPr>
              <w:t>5.7 Objects adjacent to paths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_Toc211522582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19</w:t>
            </w:r>
            <w:r w:rsidRPr="00CA455D">
              <w:rPr>
                <w:rFonts w:ascii="Noto Sans" w:hAnsi="Noto Sans" w:cs="Noto Sans"/>
                <w:noProof/>
                <w:webHidden/>
                <w:color w:val="000000"/>
              </w:rPr>
              <w:fldChar w:fldCharType="end"/>
            </w:r>
          </w:hyperlink>
        </w:p>
        <w:p w14:paraId="50CBCEFA" w14:textId="7218C467"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3" w:history="1">
            <w:r w:rsidRPr="00CA455D">
              <w:rPr>
                <w:rStyle w:val="Hyperlink"/>
                <w:rFonts w:ascii="Noto Sans" w:hAnsi="Noto Sans" w:cs="Noto Sans"/>
                <w:noProof/>
                <w:color w:val="000000"/>
              </w:rPr>
              <w:t>5.8 Shade provision</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_Toc211522583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21</w:t>
            </w:r>
            <w:r w:rsidRPr="00CA455D">
              <w:rPr>
                <w:rFonts w:ascii="Noto Sans" w:hAnsi="Noto Sans" w:cs="Noto Sans"/>
                <w:noProof/>
                <w:webHidden/>
                <w:color w:val="000000"/>
              </w:rPr>
              <w:fldChar w:fldCharType="end"/>
            </w:r>
          </w:hyperlink>
        </w:p>
        <w:p w14:paraId="35D0386B" w14:textId="14AD80ED"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4" w:history="1">
            <w:r w:rsidRPr="00CA455D">
              <w:rPr>
                <w:rStyle w:val="Hyperlink"/>
                <w:rFonts w:ascii="Noto Sans" w:hAnsi="Noto Sans" w:cs="Noto Sans"/>
                <w:noProof/>
                <w:color w:val="000000"/>
              </w:rPr>
              <w:t>5.9 Access management</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_Toc211522584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21</w:t>
            </w:r>
            <w:r w:rsidRPr="00CA455D">
              <w:rPr>
                <w:rFonts w:ascii="Noto Sans" w:hAnsi="Noto Sans" w:cs="Noto Sans"/>
                <w:noProof/>
                <w:webHidden/>
                <w:color w:val="000000"/>
              </w:rPr>
              <w:fldChar w:fldCharType="end"/>
            </w:r>
          </w:hyperlink>
        </w:p>
        <w:p w14:paraId="1011346B" w14:textId="25C9A4B8"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5" w:history="1">
            <w:r w:rsidRPr="00CA455D">
              <w:rPr>
                <w:rStyle w:val="Hyperlink"/>
                <w:rFonts w:ascii="Noto Sans" w:hAnsi="Noto Sans" w:cs="Noto Sans"/>
                <w:noProof/>
                <w:color w:val="000000"/>
              </w:rPr>
              <w:t>5.10 Shared path longitudinal grade</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_Toc211522585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22</w:t>
            </w:r>
            <w:r w:rsidRPr="00CA455D">
              <w:rPr>
                <w:rFonts w:ascii="Noto Sans" w:hAnsi="Noto Sans" w:cs="Noto Sans"/>
                <w:noProof/>
                <w:webHidden/>
                <w:color w:val="000000"/>
              </w:rPr>
              <w:fldChar w:fldCharType="end"/>
            </w:r>
          </w:hyperlink>
        </w:p>
        <w:p w14:paraId="7F14B4A6" w14:textId="007DF489" w:rsidR="00901C93" w:rsidRPr="00CA455D" w:rsidRDefault="00901C93">
          <w:pPr>
            <w:pStyle w:val="TOC2"/>
            <w:tabs>
              <w:tab w:val="right" w:leader="dot" w:pos="9060"/>
            </w:tabs>
            <w:rPr>
              <w:rFonts w:ascii="Noto Sans" w:eastAsiaTheme="minorEastAsia" w:hAnsi="Noto Sans" w:cs="Noto Sans"/>
              <w:noProof/>
              <w:color w:val="000000"/>
              <w:kern w:val="2"/>
              <w:szCs w:val="24"/>
              <w:lang w:eastAsia="en-AU"/>
              <w14:ligatures w14:val="standardContextual"/>
            </w:rPr>
          </w:pPr>
          <w:hyperlink w:anchor="_Toc211522586" w:history="1">
            <w:r w:rsidRPr="00CA455D">
              <w:rPr>
                <w:rStyle w:val="Hyperlink"/>
                <w:rFonts w:ascii="Noto Sans" w:hAnsi="Noto Sans" w:cs="Noto Sans"/>
                <w:noProof/>
                <w:color w:val="000000"/>
              </w:rPr>
              <w:t>5.11 Transitions between on-road and off-road facilities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_Toc211522586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23</w:t>
            </w:r>
            <w:r w:rsidRPr="00CA455D">
              <w:rPr>
                <w:rFonts w:ascii="Noto Sans" w:hAnsi="Noto Sans" w:cs="Noto Sans"/>
                <w:noProof/>
                <w:webHidden/>
                <w:color w:val="000000"/>
              </w:rPr>
              <w:fldChar w:fldCharType="end"/>
            </w:r>
          </w:hyperlink>
        </w:p>
        <w:p w14:paraId="73594032" w14:textId="55F996DD" w:rsidR="00901C93" w:rsidRPr="00CA455D" w:rsidRDefault="00901C93">
          <w:pPr>
            <w:pStyle w:val="TOC1"/>
            <w:rPr>
              <w:rFonts w:ascii="Noto Sans" w:eastAsiaTheme="minorEastAsia" w:hAnsi="Noto Sans" w:cs="Noto Sans"/>
              <w:b w:val="0"/>
              <w:noProof/>
              <w:color w:val="000000"/>
              <w:kern w:val="2"/>
              <w:szCs w:val="24"/>
              <w:lang w:eastAsia="en-AU"/>
              <w14:ligatures w14:val="standardContextual"/>
            </w:rPr>
          </w:pPr>
          <w:hyperlink w:anchor="_Toc211522587" w:history="1">
            <w:r w:rsidRPr="00CA455D">
              <w:rPr>
                <w:rStyle w:val="Hyperlink"/>
                <w:rFonts w:ascii="Noto Sans" w:hAnsi="Noto Sans" w:cs="Noto Sans"/>
                <w:noProof/>
                <w:color w:val="000000"/>
              </w:rPr>
              <w:t>6. References</w:t>
            </w:r>
            <w:r w:rsidRPr="00CA455D">
              <w:rPr>
                <w:rFonts w:ascii="Noto Sans" w:hAnsi="Noto Sans" w:cs="Noto Sans"/>
                <w:noProof/>
                <w:webHidden/>
                <w:color w:val="000000"/>
              </w:rPr>
              <w:tab/>
            </w:r>
            <w:r w:rsidRPr="00CA455D">
              <w:rPr>
                <w:rFonts w:ascii="Noto Sans" w:hAnsi="Noto Sans" w:cs="Noto Sans"/>
                <w:noProof/>
                <w:webHidden/>
                <w:color w:val="000000"/>
              </w:rPr>
              <w:fldChar w:fldCharType="begin"/>
            </w:r>
            <w:r w:rsidRPr="00CA455D">
              <w:rPr>
                <w:rFonts w:ascii="Noto Sans" w:hAnsi="Noto Sans" w:cs="Noto Sans"/>
                <w:noProof/>
                <w:webHidden/>
                <w:color w:val="000000"/>
              </w:rPr>
              <w:instrText xml:space="preserve"> PAGEREF _Toc211522587 \h </w:instrText>
            </w:r>
            <w:r w:rsidRPr="00CA455D">
              <w:rPr>
                <w:rFonts w:ascii="Noto Sans" w:hAnsi="Noto Sans" w:cs="Noto Sans"/>
                <w:noProof/>
                <w:webHidden/>
                <w:color w:val="000000"/>
              </w:rPr>
            </w:r>
            <w:r w:rsidRPr="00CA455D">
              <w:rPr>
                <w:rFonts w:ascii="Noto Sans" w:hAnsi="Noto Sans" w:cs="Noto Sans"/>
                <w:noProof/>
                <w:webHidden/>
                <w:color w:val="000000"/>
              </w:rPr>
              <w:fldChar w:fldCharType="separate"/>
            </w:r>
            <w:r w:rsidR="00C622B1">
              <w:rPr>
                <w:rFonts w:ascii="Noto Sans" w:hAnsi="Noto Sans" w:cs="Noto Sans"/>
                <w:noProof/>
                <w:webHidden/>
                <w:color w:val="000000"/>
              </w:rPr>
              <w:t>24</w:t>
            </w:r>
            <w:r w:rsidRPr="00CA455D">
              <w:rPr>
                <w:rFonts w:ascii="Noto Sans" w:hAnsi="Noto Sans" w:cs="Noto Sans"/>
                <w:noProof/>
                <w:webHidden/>
                <w:color w:val="000000"/>
              </w:rPr>
              <w:fldChar w:fldCharType="end"/>
            </w:r>
          </w:hyperlink>
        </w:p>
        <w:p w14:paraId="11E8D5EB" w14:textId="66755ABA" w:rsidR="008113E9" w:rsidRPr="00CA455D" w:rsidRDefault="008113E9">
          <w:pPr>
            <w:rPr>
              <w:rFonts w:ascii="Noto Sans" w:hAnsi="Noto Sans" w:cs="Noto Sans"/>
            </w:rPr>
          </w:pPr>
          <w:r w:rsidRPr="00CA455D">
            <w:rPr>
              <w:rFonts w:ascii="Noto Sans" w:hAnsi="Noto Sans" w:cs="Noto Sans"/>
              <w:b/>
              <w:bCs/>
              <w:noProof/>
            </w:rPr>
            <w:fldChar w:fldCharType="end"/>
          </w:r>
        </w:p>
      </w:sdtContent>
    </w:sdt>
    <w:p w14:paraId="2C636147" w14:textId="77777777" w:rsidR="008113E9" w:rsidRPr="00CA455D" w:rsidRDefault="008113E9" w:rsidP="008113E9">
      <w:pPr>
        <w:pStyle w:val="Heading1"/>
        <w:rPr>
          <w:rFonts w:ascii="Noto Sans" w:hAnsi="Noto Sans" w:cs="Noto Sans"/>
        </w:rPr>
        <w:sectPr w:rsidR="008113E9" w:rsidRPr="00CA455D" w:rsidSect="008113E9">
          <w:headerReference w:type="first" r:id="rId15"/>
          <w:pgSz w:w="11906" w:h="16838" w:code="9"/>
          <w:pgMar w:top="1135" w:right="1418" w:bottom="1843" w:left="1418" w:header="567" w:footer="567" w:gutter="0"/>
          <w:cols w:space="708"/>
          <w:titlePg/>
          <w:docGrid w:linePitch="360"/>
        </w:sectPr>
      </w:pPr>
    </w:p>
    <w:p w14:paraId="6B213F01" w14:textId="7A55AEB6" w:rsidR="008113E9" w:rsidRPr="0084760C" w:rsidRDefault="00F26233" w:rsidP="00F26233">
      <w:pPr>
        <w:pStyle w:val="Heading1"/>
        <w:rPr>
          <w:rFonts w:ascii="Noto Sans" w:hAnsi="Noto Sans" w:cs="Noto Sans"/>
          <w:b/>
          <w:bCs/>
          <w:color w:val="005EB8"/>
        </w:rPr>
      </w:pPr>
      <w:bookmarkStart w:id="5" w:name="_Toc211522563"/>
      <w:r w:rsidRPr="0084760C">
        <w:rPr>
          <w:rFonts w:ascii="Noto Sans" w:hAnsi="Noto Sans" w:cs="Noto Sans"/>
          <w:b/>
          <w:bCs/>
          <w:color w:val="005EB8"/>
        </w:rPr>
        <w:lastRenderedPageBreak/>
        <w:t xml:space="preserve">1. </w:t>
      </w:r>
      <w:r w:rsidR="00692703" w:rsidRPr="0084760C">
        <w:rPr>
          <w:rFonts w:ascii="Noto Sans" w:hAnsi="Noto Sans" w:cs="Noto Sans"/>
          <w:b/>
          <w:bCs/>
          <w:color w:val="005EB8"/>
        </w:rPr>
        <w:t>Introduction</w:t>
      </w:r>
      <w:bookmarkEnd w:id="5"/>
    </w:p>
    <w:p w14:paraId="738BEEEE" w14:textId="63196232" w:rsidR="00692703" w:rsidRPr="00CA455D" w:rsidRDefault="00692703" w:rsidP="00692703">
      <w:pPr>
        <w:rPr>
          <w:rFonts w:ascii="Noto Sans" w:hAnsi="Noto Sans" w:cs="Noto Sans"/>
          <w:color w:val="000000"/>
        </w:rPr>
      </w:pPr>
      <w:r w:rsidRPr="00CA455D">
        <w:rPr>
          <w:rFonts w:ascii="Noto Sans" w:hAnsi="Noto Sans" w:cs="Noto Sans"/>
          <w:color w:val="000000"/>
        </w:rPr>
        <w:t xml:space="preserve">The Department of Transport and Main Roads (TMR) Active Transport Investment Program (ATIP) was established in 2006, and provides funding for bike riding infrastructure, planning and programs, and walking initiatives, to encourage more people to ride bikes and walk more often in line with the visions of the </w:t>
      </w:r>
      <w:r w:rsidRPr="00CA455D">
        <w:rPr>
          <w:rFonts w:ascii="Noto Sans" w:hAnsi="Noto Sans" w:cs="Noto Sans"/>
          <w:i/>
          <w:iCs/>
          <w:color w:val="000000"/>
        </w:rPr>
        <w:t xml:space="preserve">Queensland Cycling Strategy 2017-2027 </w:t>
      </w:r>
      <w:r w:rsidRPr="00CA455D">
        <w:rPr>
          <w:rFonts w:ascii="Noto Sans" w:hAnsi="Noto Sans" w:cs="Noto Sans"/>
          <w:color w:val="000000"/>
        </w:rPr>
        <w:t xml:space="preserve">and </w:t>
      </w:r>
      <w:r w:rsidRPr="00CA455D">
        <w:rPr>
          <w:rFonts w:ascii="Noto Sans" w:hAnsi="Noto Sans" w:cs="Noto Sans"/>
          <w:i/>
          <w:iCs/>
          <w:color w:val="000000"/>
        </w:rPr>
        <w:t>Queensland Walking Strategy 2019-2029</w:t>
      </w:r>
      <w:r w:rsidRPr="00CA455D">
        <w:rPr>
          <w:rFonts w:ascii="Noto Sans" w:hAnsi="Noto Sans" w:cs="Noto Sans"/>
          <w:color w:val="000000"/>
        </w:rPr>
        <w:t>.</w:t>
      </w:r>
    </w:p>
    <w:p w14:paraId="4AEC763C" w14:textId="443BBC18" w:rsidR="00692703" w:rsidRPr="00CA455D" w:rsidRDefault="00692703" w:rsidP="00452DBC">
      <w:pPr>
        <w:rPr>
          <w:rFonts w:ascii="Noto Sans" w:hAnsi="Noto Sans" w:cs="Noto Sans"/>
          <w:color w:val="000000"/>
        </w:rPr>
      </w:pPr>
      <w:r w:rsidRPr="00CA455D">
        <w:rPr>
          <w:rFonts w:ascii="Noto Sans" w:hAnsi="Noto Sans" w:cs="Noto Sans"/>
          <w:color w:val="000000"/>
        </w:rPr>
        <w:t>The ATIP funds active transport (AT) infrastructure for transport and utility trips that connect to major attractors, such as schools, universities, shopping complexes, public transport and workplaces.</w:t>
      </w:r>
    </w:p>
    <w:p w14:paraId="3DE1BBDD" w14:textId="1596F69D" w:rsidR="00692703" w:rsidRPr="00CA455D" w:rsidRDefault="00692703" w:rsidP="00692703">
      <w:pPr>
        <w:rPr>
          <w:rFonts w:ascii="Noto Sans" w:hAnsi="Noto Sans" w:cs="Noto Sans"/>
          <w:color w:val="000000"/>
        </w:rPr>
      </w:pPr>
      <w:r w:rsidRPr="00CA455D">
        <w:rPr>
          <w:rFonts w:ascii="Noto Sans" w:hAnsi="Noto Sans" w:cs="Noto Sans"/>
          <w:color w:val="000000"/>
        </w:rPr>
        <w:t xml:space="preserve">The ATIP funds projects which provide AT facilities on the state network delivered directly by TMR, </w:t>
      </w:r>
      <w:proofErr w:type="gramStart"/>
      <w:r w:rsidRPr="00CA455D">
        <w:rPr>
          <w:rFonts w:ascii="Noto Sans" w:hAnsi="Noto Sans" w:cs="Noto Sans"/>
          <w:color w:val="000000"/>
        </w:rPr>
        <w:t>and also</w:t>
      </w:r>
      <w:proofErr w:type="gramEnd"/>
      <w:r w:rsidRPr="00CA455D">
        <w:rPr>
          <w:rFonts w:ascii="Noto Sans" w:hAnsi="Noto Sans" w:cs="Noto Sans"/>
          <w:color w:val="000000"/>
        </w:rPr>
        <w:t xml:space="preserve"> projects on the local network delivered by Queensland local government areas through funding grants provided by TMR’s </w:t>
      </w:r>
      <w:r w:rsidR="005A3D7D" w:rsidRPr="00CA455D">
        <w:rPr>
          <w:rFonts w:ascii="Noto Sans" w:hAnsi="Noto Sans" w:cs="Noto Sans"/>
          <w:color w:val="000000"/>
        </w:rPr>
        <w:t>Active Transport Grants Program (ATGP)</w:t>
      </w:r>
      <w:r w:rsidRPr="00CA455D">
        <w:rPr>
          <w:rFonts w:ascii="Noto Sans" w:hAnsi="Noto Sans" w:cs="Noto Sans"/>
          <w:color w:val="000000"/>
        </w:rPr>
        <w:t xml:space="preserve">. The </w:t>
      </w:r>
      <w:r w:rsidR="005A3D7D" w:rsidRPr="00CA455D">
        <w:rPr>
          <w:rFonts w:ascii="Noto Sans" w:hAnsi="Noto Sans" w:cs="Noto Sans"/>
          <w:color w:val="000000"/>
        </w:rPr>
        <w:t>ATGP is</w:t>
      </w:r>
      <w:r w:rsidRPr="00CA455D">
        <w:rPr>
          <w:rFonts w:ascii="Noto Sans" w:hAnsi="Noto Sans" w:cs="Noto Sans"/>
          <w:color w:val="000000"/>
        </w:rPr>
        <w:t xml:space="preserve"> </w:t>
      </w:r>
      <w:r w:rsidR="005A3D7D" w:rsidRPr="00CA455D">
        <w:rPr>
          <w:rFonts w:ascii="Noto Sans" w:hAnsi="Noto Sans" w:cs="Noto Sans"/>
          <w:color w:val="000000"/>
        </w:rPr>
        <w:t xml:space="preserve">a </w:t>
      </w:r>
      <w:r w:rsidRPr="00CA455D">
        <w:rPr>
          <w:rFonts w:ascii="Noto Sans" w:hAnsi="Noto Sans" w:cs="Noto Sans"/>
          <w:color w:val="000000"/>
        </w:rPr>
        <w:t>sub-program of the ATIP.</w:t>
      </w:r>
    </w:p>
    <w:p w14:paraId="2CC0AA25" w14:textId="48121052" w:rsidR="00692703" w:rsidRPr="0084760C" w:rsidRDefault="00F26233" w:rsidP="00F26233">
      <w:pPr>
        <w:pStyle w:val="Heading1"/>
        <w:rPr>
          <w:rFonts w:ascii="Noto Sans" w:hAnsi="Noto Sans" w:cs="Noto Sans"/>
          <w:b/>
          <w:bCs/>
          <w:color w:val="005EB8"/>
        </w:rPr>
      </w:pPr>
      <w:bookmarkStart w:id="6" w:name="_Toc211522564"/>
      <w:r w:rsidRPr="0084760C">
        <w:rPr>
          <w:rFonts w:ascii="Noto Sans" w:hAnsi="Noto Sans" w:cs="Noto Sans"/>
          <w:b/>
          <w:bCs/>
          <w:color w:val="005EB8"/>
        </w:rPr>
        <w:t xml:space="preserve">2. </w:t>
      </w:r>
      <w:r w:rsidR="00692703" w:rsidRPr="0084760C">
        <w:rPr>
          <w:rFonts w:ascii="Noto Sans" w:hAnsi="Noto Sans" w:cs="Noto Sans"/>
          <w:b/>
          <w:bCs/>
          <w:color w:val="005EB8"/>
        </w:rPr>
        <w:t>Purpose</w:t>
      </w:r>
      <w:bookmarkEnd w:id="6"/>
    </w:p>
    <w:p w14:paraId="4886ECD7" w14:textId="77777777"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The purpose of this document is to outline the relevant existing technical standards and treatments for AT infrastructure in Queensland and provide guidance on how the ATIP will consider these in prioritisation and development of the AT network through projects funded by the ATIP. </w:t>
      </w:r>
    </w:p>
    <w:p w14:paraId="7B38DB21" w14:textId="77777777"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p>
    <w:p w14:paraId="4F3B77D3" w14:textId="77777777"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This document seeks to provide guidance around technical considerations when:</w:t>
      </w:r>
    </w:p>
    <w:p w14:paraId="3770B6CA" w14:textId="77777777" w:rsidR="00692703" w:rsidRPr="00CA455D" w:rsidRDefault="00692703" w:rsidP="006D1AE9">
      <w:pPr>
        <w:pStyle w:val="BodyText"/>
        <w:numPr>
          <w:ilvl w:val="0"/>
          <w:numId w:val="5"/>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undertaking planning for projects that might be funded by the ATIP in the future</w:t>
      </w:r>
    </w:p>
    <w:p w14:paraId="7A2134C0" w14:textId="77777777" w:rsidR="00692703" w:rsidRPr="00CA455D" w:rsidRDefault="00692703" w:rsidP="006D1AE9">
      <w:pPr>
        <w:pStyle w:val="BodyText"/>
        <w:numPr>
          <w:ilvl w:val="0"/>
          <w:numId w:val="5"/>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developing funding applications for the ATIP</w:t>
      </w:r>
    </w:p>
    <w:p w14:paraId="66F1B3FE" w14:textId="77777777" w:rsidR="00692703" w:rsidRPr="00CA455D" w:rsidRDefault="00692703" w:rsidP="006D1AE9">
      <w:pPr>
        <w:pStyle w:val="BodyText"/>
        <w:numPr>
          <w:ilvl w:val="0"/>
          <w:numId w:val="5"/>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developing designs for ATIP projects. </w:t>
      </w:r>
    </w:p>
    <w:p w14:paraId="6192F60E" w14:textId="77777777"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p>
    <w:p w14:paraId="5DF66EAC" w14:textId="77777777"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For clarity, this document does not present new technical standards or treatments.</w:t>
      </w:r>
    </w:p>
    <w:p w14:paraId="5200926D" w14:textId="77777777"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p>
    <w:p w14:paraId="7AFE468C" w14:textId="6B7DAAB5" w:rsidR="00692703" w:rsidRPr="00CA455D" w:rsidRDefault="00692703" w:rsidP="00692703">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This latest version (</w:t>
      </w:r>
      <w:r w:rsidR="00452DBC">
        <w:rPr>
          <w:rFonts w:ascii="Noto Sans" w:eastAsiaTheme="minorHAnsi" w:hAnsi="Noto Sans" w:cs="Noto Sans"/>
          <w:color w:val="000000"/>
          <w:sz w:val="24"/>
          <w:szCs w:val="22"/>
          <w:lang w:eastAsia="en-US"/>
        </w:rPr>
        <w:t xml:space="preserve">November </w:t>
      </w:r>
      <w:r w:rsidRPr="00CA455D">
        <w:rPr>
          <w:rFonts w:ascii="Noto Sans" w:eastAsiaTheme="minorHAnsi" w:hAnsi="Noto Sans" w:cs="Noto Sans"/>
          <w:color w:val="000000"/>
          <w:sz w:val="24"/>
          <w:szCs w:val="22"/>
          <w:lang w:eastAsia="en-US"/>
        </w:rPr>
        <w:t>2025) incorporates learnings and clarifications resulting from previous relevant ATIP funded infrastructure projects.</w:t>
      </w:r>
    </w:p>
    <w:p w14:paraId="02F66EC2" w14:textId="77777777" w:rsidR="00692703" w:rsidRPr="00CA455D" w:rsidRDefault="00692703" w:rsidP="00692703">
      <w:pPr>
        <w:pStyle w:val="BodyText"/>
        <w:spacing w:before="0" w:after="0" w:line="320" w:lineRule="atLeast"/>
        <w:rPr>
          <w:rFonts w:ascii="Noto Sans" w:eastAsiaTheme="minorHAnsi" w:hAnsi="Noto Sans" w:cs="Noto Sans"/>
          <w:sz w:val="24"/>
          <w:szCs w:val="22"/>
          <w:lang w:eastAsia="en-US"/>
        </w:rPr>
      </w:pPr>
    </w:p>
    <w:p w14:paraId="3CB2266F" w14:textId="7510681F" w:rsidR="00692703" w:rsidRPr="0084760C" w:rsidRDefault="00F26233" w:rsidP="00F26233">
      <w:pPr>
        <w:pStyle w:val="Heading1"/>
        <w:rPr>
          <w:rFonts w:ascii="Noto Sans" w:hAnsi="Noto Sans" w:cs="Noto Sans"/>
          <w:b/>
          <w:bCs/>
          <w:color w:val="005EB8"/>
        </w:rPr>
      </w:pPr>
      <w:bookmarkStart w:id="7" w:name="_Toc211522565"/>
      <w:r w:rsidRPr="0084760C">
        <w:rPr>
          <w:rFonts w:ascii="Noto Sans" w:hAnsi="Noto Sans" w:cs="Noto Sans"/>
          <w:b/>
          <w:bCs/>
          <w:color w:val="005EB8"/>
        </w:rPr>
        <w:lastRenderedPageBreak/>
        <w:t xml:space="preserve">3. </w:t>
      </w:r>
      <w:r w:rsidR="00692703" w:rsidRPr="0084760C">
        <w:rPr>
          <w:rFonts w:ascii="Noto Sans" w:hAnsi="Noto Sans" w:cs="Noto Sans"/>
          <w:b/>
          <w:bCs/>
          <w:color w:val="005EB8"/>
        </w:rPr>
        <w:t>Eligibility and performance requirements</w:t>
      </w:r>
      <w:bookmarkEnd w:id="7"/>
    </w:p>
    <w:p w14:paraId="77296405" w14:textId="00E2A4AD" w:rsidR="00692703" w:rsidRPr="0084760C" w:rsidRDefault="00692703" w:rsidP="00692703">
      <w:pPr>
        <w:pStyle w:val="Heading2"/>
        <w:rPr>
          <w:rFonts w:ascii="Noto Sans" w:hAnsi="Noto Sans" w:cs="Noto Sans"/>
          <w:b/>
          <w:bCs/>
        </w:rPr>
      </w:pPr>
      <w:bookmarkStart w:id="8" w:name="_Toc211522566"/>
      <w:r w:rsidRPr="0084760C">
        <w:rPr>
          <w:rFonts w:ascii="Noto Sans" w:hAnsi="Noto Sans" w:cs="Noto Sans"/>
          <w:b/>
          <w:bCs/>
        </w:rPr>
        <w:t>3.1 Eligibility</w:t>
      </w:r>
      <w:bookmarkEnd w:id="8"/>
    </w:p>
    <w:p w14:paraId="11444776" w14:textId="49E8014E" w:rsidR="00692703" w:rsidRPr="00CA455D" w:rsidRDefault="005A3D7D" w:rsidP="00692703">
      <w:pPr>
        <w:rPr>
          <w:rFonts w:ascii="Noto Sans" w:hAnsi="Noto Sans" w:cs="Noto Sans"/>
          <w:color w:val="000000"/>
        </w:rPr>
      </w:pPr>
      <w:r w:rsidRPr="00CA455D">
        <w:rPr>
          <w:rFonts w:ascii="Noto Sans" w:hAnsi="Noto Sans" w:cs="Noto Sans"/>
          <w:color w:val="000000"/>
        </w:rPr>
        <w:t xml:space="preserve">The ATGP </w:t>
      </w:r>
      <w:r w:rsidR="00692703" w:rsidRPr="00CA455D">
        <w:rPr>
          <w:rFonts w:ascii="Noto Sans" w:hAnsi="Noto Sans" w:cs="Noto Sans"/>
          <w:color w:val="000000"/>
        </w:rPr>
        <w:t>guidelines will outline the project eligibility requirements specific to those programs including alignment and, where required, compliance with relative network plans.</w:t>
      </w:r>
    </w:p>
    <w:p w14:paraId="6FA9A937" w14:textId="074516D4" w:rsidR="008E64C0" w:rsidRPr="0084760C" w:rsidRDefault="008E64C0" w:rsidP="008E64C0">
      <w:pPr>
        <w:pStyle w:val="Heading2"/>
        <w:rPr>
          <w:rFonts w:ascii="Noto Sans" w:hAnsi="Noto Sans" w:cs="Noto Sans"/>
          <w:b/>
          <w:bCs/>
        </w:rPr>
      </w:pPr>
      <w:bookmarkStart w:id="9" w:name="_Toc211522567"/>
      <w:r w:rsidRPr="0084760C">
        <w:rPr>
          <w:rFonts w:ascii="Noto Sans" w:hAnsi="Noto Sans" w:cs="Noto Sans"/>
          <w:b/>
          <w:bCs/>
        </w:rPr>
        <w:t>3.2 Performance requirements</w:t>
      </w:r>
      <w:bookmarkEnd w:id="9"/>
    </w:p>
    <w:p w14:paraId="52804FC9"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Evidence suggests that high quality AT facilities which are comfortable, low-stress, accessible, convenient, direct, safe and competitive with other modes of travel encourages more people to ride bikes and walk more often.</w:t>
      </w:r>
      <w:r w:rsidRPr="00CA455D" w:rsidDel="000C4F27">
        <w:rPr>
          <w:rFonts w:ascii="Noto Sans" w:eastAsiaTheme="minorHAnsi" w:hAnsi="Noto Sans" w:cs="Noto Sans"/>
          <w:color w:val="000000"/>
          <w:sz w:val="24"/>
          <w:szCs w:val="22"/>
          <w:lang w:eastAsia="en-US"/>
        </w:rPr>
        <w:t xml:space="preserve"> </w:t>
      </w:r>
    </w:p>
    <w:p w14:paraId="1F81A711"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4BF2F0DF"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Further to this, and consistent with the Safe System approach adopted in TMR’s Road Safety Policy</w:t>
      </w:r>
      <w:r w:rsidRPr="00CA455D">
        <w:rPr>
          <w:rFonts w:ascii="Noto Sans" w:eastAsiaTheme="minorHAnsi" w:hAnsi="Noto Sans" w:cs="Noto Sans"/>
          <w:color w:val="000000"/>
          <w:sz w:val="24"/>
          <w:szCs w:val="22"/>
          <w:vertAlign w:val="superscript"/>
          <w:lang w:eastAsia="en-US"/>
        </w:rPr>
        <w:footnoteReference w:id="1"/>
      </w:r>
      <w:r w:rsidRPr="00CA455D">
        <w:rPr>
          <w:rFonts w:ascii="Noto Sans" w:eastAsiaTheme="minorHAnsi" w:hAnsi="Noto Sans" w:cs="Noto Sans"/>
          <w:color w:val="000000"/>
          <w:sz w:val="24"/>
          <w:szCs w:val="22"/>
          <w:lang w:eastAsia="en-US"/>
        </w:rPr>
        <w:t>, the ATIP is focused on supporting facilities and treatments that do not expose active transport users to crash forces that could lead to fatal and/or serious injury outcomes. The ATIP also prioritises the separation of modes, where feasible and appropriate for project and location context</w:t>
      </w:r>
      <w:r w:rsidRPr="00CA455D">
        <w:rPr>
          <w:rFonts w:ascii="Noto Sans" w:eastAsiaTheme="minorHAnsi" w:hAnsi="Noto Sans" w:cs="Noto Sans"/>
          <w:color w:val="000000"/>
          <w:sz w:val="24"/>
          <w:szCs w:val="22"/>
          <w:vertAlign w:val="superscript"/>
          <w:lang w:eastAsia="en-US"/>
        </w:rPr>
        <w:footnoteReference w:id="2"/>
      </w:r>
      <w:r w:rsidRPr="00CA455D">
        <w:rPr>
          <w:rFonts w:ascii="Noto Sans" w:eastAsiaTheme="minorHAnsi" w:hAnsi="Noto Sans" w:cs="Noto Sans"/>
          <w:color w:val="000000"/>
          <w:sz w:val="24"/>
          <w:szCs w:val="22"/>
          <w:lang w:eastAsia="en-US"/>
        </w:rPr>
        <w:t>.</w:t>
      </w:r>
    </w:p>
    <w:p w14:paraId="420F6F9B"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653969EB"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Taking these key matters into consideration, the ATIP prioritises the adoption of desirable treatments over minimum treatments to support delivery of infrastructure that:</w:t>
      </w:r>
    </w:p>
    <w:p w14:paraId="66A149B0" w14:textId="77777777" w:rsidR="008E64C0" w:rsidRPr="00CA455D" w:rsidRDefault="008E64C0" w:rsidP="006D1AE9">
      <w:pPr>
        <w:pStyle w:val="BodyText"/>
        <w:numPr>
          <w:ilvl w:val="0"/>
          <w:numId w:val="6"/>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meets best practice design and construction standards</w:t>
      </w:r>
      <w:r w:rsidRPr="00CA455D">
        <w:rPr>
          <w:rFonts w:ascii="Noto Sans" w:eastAsiaTheme="minorHAnsi" w:hAnsi="Noto Sans" w:cs="Noto Sans"/>
          <w:color w:val="000000"/>
          <w:sz w:val="24"/>
          <w:szCs w:val="22"/>
          <w:vertAlign w:val="superscript"/>
          <w:lang w:eastAsia="en-US"/>
        </w:rPr>
        <w:footnoteReference w:id="3"/>
      </w:r>
      <w:r w:rsidRPr="00CA455D">
        <w:rPr>
          <w:rFonts w:ascii="Noto Sans" w:eastAsiaTheme="minorHAnsi" w:hAnsi="Noto Sans" w:cs="Noto Sans"/>
          <w:color w:val="000000"/>
          <w:sz w:val="24"/>
          <w:szCs w:val="22"/>
          <w:lang w:eastAsia="en-US"/>
        </w:rPr>
        <w:t xml:space="preserve">; </w:t>
      </w:r>
    </w:p>
    <w:p w14:paraId="5494E5AA" w14:textId="77777777" w:rsidR="008E64C0" w:rsidRPr="00CA455D" w:rsidRDefault="008E64C0" w:rsidP="006D1AE9">
      <w:pPr>
        <w:pStyle w:val="BodyText"/>
        <w:numPr>
          <w:ilvl w:val="0"/>
          <w:numId w:val="6"/>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completes missing links and/or removes barriers that present significant obstacles to bike riding or walking;</w:t>
      </w:r>
    </w:p>
    <w:p w14:paraId="6F3B86D8" w14:textId="6486DC4F" w:rsidR="008E64C0" w:rsidRPr="00CA455D" w:rsidRDefault="008E64C0" w:rsidP="006D1AE9">
      <w:pPr>
        <w:pStyle w:val="BodyText"/>
        <w:numPr>
          <w:ilvl w:val="0"/>
          <w:numId w:val="6"/>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improves access to key destinations;</w:t>
      </w:r>
    </w:p>
    <w:p w14:paraId="59B0EF5F" w14:textId="24BEADC6" w:rsidR="008E64C0" w:rsidRPr="00CA455D" w:rsidRDefault="008E64C0" w:rsidP="006D1AE9">
      <w:pPr>
        <w:pStyle w:val="BodyText"/>
        <w:numPr>
          <w:ilvl w:val="0"/>
          <w:numId w:val="6"/>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lastRenderedPageBreak/>
        <w:t>contributes to the delivery of priority network outlined in a Principal Cycle Network Plan (PCNP) and/or Walking Network Plan (WNP); and</w:t>
      </w:r>
    </w:p>
    <w:p w14:paraId="73DC06B8" w14:textId="77777777" w:rsidR="008E64C0" w:rsidRPr="00CA455D" w:rsidRDefault="008E64C0" w:rsidP="006D1AE9">
      <w:pPr>
        <w:pStyle w:val="BodyText"/>
        <w:numPr>
          <w:ilvl w:val="0"/>
          <w:numId w:val="6"/>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anticipates and supports future demand and use.</w:t>
      </w:r>
    </w:p>
    <w:p w14:paraId="5AFAC0AC"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60BE5BD3"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To help projects achieve this, this document: </w:t>
      </w:r>
    </w:p>
    <w:p w14:paraId="01D5A996" w14:textId="421D4E0F" w:rsidR="008E64C0" w:rsidRPr="00CA455D" w:rsidRDefault="008E64C0" w:rsidP="006D1AE9">
      <w:pPr>
        <w:pStyle w:val="BodyText"/>
        <w:numPr>
          <w:ilvl w:val="0"/>
          <w:numId w:val="7"/>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outlines the desirable treatments prioritised by the ATIP;</w:t>
      </w:r>
    </w:p>
    <w:p w14:paraId="7CD7A399" w14:textId="77777777" w:rsidR="008E64C0" w:rsidRPr="00CA455D" w:rsidRDefault="008E64C0" w:rsidP="006D1AE9">
      <w:pPr>
        <w:pStyle w:val="BodyText"/>
        <w:numPr>
          <w:ilvl w:val="0"/>
          <w:numId w:val="7"/>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references (and is consistent with) the relevant Austroads’ guidelines and the accompanying Queensland-specific documents, and other relevant stand-alone TMR standards, guidelines and associated specifications; and</w:t>
      </w:r>
    </w:p>
    <w:p w14:paraId="77AC290E" w14:textId="77777777" w:rsidR="008E64C0" w:rsidRPr="00CA455D" w:rsidRDefault="008E64C0" w:rsidP="006D1AE9">
      <w:pPr>
        <w:pStyle w:val="BodyText"/>
        <w:numPr>
          <w:ilvl w:val="0"/>
          <w:numId w:val="7"/>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flags certain treatments and designs that are unlikely to support ATIP objectives.</w:t>
      </w:r>
    </w:p>
    <w:p w14:paraId="4BEA8143" w14:textId="4999600F" w:rsidR="008E64C0" w:rsidRPr="0084760C" w:rsidRDefault="00F26233" w:rsidP="00F26233">
      <w:pPr>
        <w:pStyle w:val="Heading1"/>
        <w:rPr>
          <w:rFonts w:ascii="Noto Sans" w:hAnsi="Noto Sans" w:cs="Noto Sans"/>
          <w:b/>
          <w:bCs/>
          <w:color w:val="005EB8"/>
        </w:rPr>
      </w:pPr>
      <w:bookmarkStart w:id="11" w:name="_Toc211522568"/>
      <w:r w:rsidRPr="0084760C">
        <w:rPr>
          <w:rFonts w:ascii="Noto Sans" w:hAnsi="Noto Sans" w:cs="Noto Sans"/>
          <w:b/>
          <w:bCs/>
          <w:color w:val="005EB8"/>
        </w:rPr>
        <w:t xml:space="preserve">4. </w:t>
      </w:r>
      <w:r w:rsidR="008E64C0" w:rsidRPr="0084760C">
        <w:rPr>
          <w:rFonts w:ascii="Noto Sans" w:hAnsi="Noto Sans" w:cs="Noto Sans"/>
          <w:b/>
          <w:bCs/>
          <w:color w:val="005EB8"/>
        </w:rPr>
        <w:t>On-road bicycle lanes and cycle tracks</w:t>
      </w:r>
      <w:bookmarkEnd w:id="11"/>
    </w:p>
    <w:p w14:paraId="7E6DBEA1" w14:textId="15F1E86D" w:rsidR="008E64C0" w:rsidRPr="0084760C" w:rsidRDefault="008E64C0" w:rsidP="008E64C0">
      <w:pPr>
        <w:pStyle w:val="Heading2"/>
        <w:rPr>
          <w:rFonts w:ascii="Noto Sans" w:hAnsi="Noto Sans" w:cs="Noto Sans"/>
          <w:b/>
          <w:bCs/>
        </w:rPr>
      </w:pPr>
      <w:bookmarkStart w:id="12" w:name="_Toc211522569"/>
      <w:r w:rsidRPr="0084760C">
        <w:rPr>
          <w:rFonts w:ascii="Noto Sans" w:hAnsi="Noto Sans" w:cs="Noto Sans"/>
          <w:b/>
          <w:bCs/>
        </w:rPr>
        <w:t>4.1 Level of traffic stress (LTS) and treatment types</w:t>
      </w:r>
      <w:bookmarkEnd w:id="12"/>
    </w:p>
    <w:p w14:paraId="2375D20C"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With respect to comfortable and low-stress travel by bicycle, ATIP funding is prioritised towards projects that incorporate physical separation from motorised traffic. This means supporting treatments which aim to achieve at least level of traffic stress(LTS)2 and preferably LTS1 – refer Figure 1.</w:t>
      </w:r>
    </w:p>
    <w:p w14:paraId="7A07D466" w14:textId="77777777" w:rsidR="008E64C0" w:rsidRPr="00CA455D" w:rsidRDefault="008E64C0" w:rsidP="008E64C0">
      <w:pPr>
        <w:pStyle w:val="BodyText"/>
        <w:spacing w:before="0" w:after="0" w:line="320" w:lineRule="atLeast"/>
        <w:rPr>
          <w:rFonts w:ascii="Noto Sans" w:hAnsi="Noto Sans" w:cs="Noto Sans"/>
          <w:b/>
          <w:i/>
          <w:iCs/>
          <w:color w:val="000000"/>
          <w:sz w:val="24"/>
        </w:rPr>
      </w:pPr>
    </w:p>
    <w:p w14:paraId="4F99DAA3" w14:textId="77777777" w:rsidR="00452DBC" w:rsidRDefault="00452DBC">
      <w:pPr>
        <w:suppressAutoHyphens w:val="0"/>
        <w:spacing w:before="0" w:after="160" w:line="259" w:lineRule="auto"/>
        <w:rPr>
          <w:rFonts w:ascii="Noto Sans" w:eastAsia="Times New Roman" w:hAnsi="Noto Sans" w:cs="Noto Sans"/>
          <w:b/>
          <w:color w:val="000000"/>
          <w:szCs w:val="24"/>
          <w:lang w:eastAsia="en-AU"/>
        </w:rPr>
      </w:pPr>
      <w:r>
        <w:rPr>
          <w:rFonts w:ascii="Noto Sans" w:hAnsi="Noto Sans" w:cs="Noto Sans"/>
          <w:b/>
          <w:color w:val="000000"/>
        </w:rPr>
        <w:br w:type="page"/>
      </w:r>
    </w:p>
    <w:p w14:paraId="3EB6F56D" w14:textId="557942D8" w:rsidR="00452DBC" w:rsidRPr="00452DBC" w:rsidRDefault="008E64C0" w:rsidP="008E64C0">
      <w:pPr>
        <w:pStyle w:val="BodyText"/>
        <w:spacing w:after="0"/>
        <w:rPr>
          <w:rFonts w:ascii="Noto Sans" w:hAnsi="Noto Sans" w:cs="Noto Sans"/>
          <w:b/>
          <w:color w:val="000000"/>
          <w:sz w:val="24"/>
        </w:rPr>
      </w:pPr>
      <w:r w:rsidRPr="00452DBC">
        <w:rPr>
          <w:rFonts w:ascii="Noto Sans" w:hAnsi="Noto Sans" w:cs="Noto Sans"/>
          <w:b/>
          <w:color w:val="000000"/>
          <w:sz w:val="24"/>
        </w:rPr>
        <w:lastRenderedPageBreak/>
        <w:t>Figure 1 – Level of Traffic Stress (LTS) categories</w:t>
      </w:r>
      <w:r w:rsidRPr="00452DBC">
        <w:rPr>
          <w:rStyle w:val="FootnoteReference"/>
          <w:rFonts w:ascii="Noto Sans" w:hAnsi="Noto Sans" w:cs="Noto Sans"/>
          <w:b/>
          <w:color w:val="000000"/>
          <w:sz w:val="24"/>
        </w:rPr>
        <w:footnoteReference w:id="4"/>
      </w:r>
    </w:p>
    <w:p w14:paraId="7FD22A6A" w14:textId="2BE84285" w:rsidR="00692703" w:rsidRPr="00CA455D" w:rsidRDefault="00692703" w:rsidP="009C6CFA">
      <w:pPr>
        <w:spacing w:before="0" w:after="0"/>
        <w:rPr>
          <w:rFonts w:ascii="Noto Sans" w:hAnsi="Noto Sans" w:cs="Noto Sans"/>
          <w:color w:val="000000"/>
        </w:rPr>
      </w:pPr>
    </w:p>
    <w:p w14:paraId="5317C7AC" w14:textId="084CA5E9" w:rsidR="00452DBC" w:rsidRDefault="00452DBC"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hAnsi="Noto Sans" w:cs="Noto Sans"/>
          <w:noProof/>
          <w:color w:val="000000"/>
        </w:rPr>
        <w:drawing>
          <wp:inline distT="0" distB="0" distL="0" distR="0" wp14:anchorId="7F859AF5" wp14:editId="52484D4F">
            <wp:extent cx="5497033" cy="3889146"/>
            <wp:effectExtent l="0" t="0" r="8890" b="0"/>
            <wp:docPr id="7" name="Picture 7" descr="Level of Traffic Stress (LTS) categories: LTS1 in bright green, LTS2 in light green, LTS3 in yellow and LTS4 in red.">
              <a:extLst xmlns:a="http://schemas.openxmlformats.org/drawingml/2006/main">
                <a:ext uri="{FF2B5EF4-FFF2-40B4-BE49-F238E27FC236}">
                  <a16:creationId xmlns:a16="http://schemas.microsoft.com/office/drawing/2014/main" id="{279BC828-5782-448B-9437-E702275D60DD}"/>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Level of Traffic Stress (LTS) categories: LTS1 in bright green, LTS2 in light green, LTS3 in yellow and LTS4 in red.">
                      <a:extLst>
                        <a:ext uri="{FF2B5EF4-FFF2-40B4-BE49-F238E27FC236}">
                          <a16:creationId xmlns:a16="http://schemas.microsoft.com/office/drawing/2014/main" id="{279BC828-5782-448B-9437-E702275D60DD}"/>
                        </a:ext>
                        <a:ext uri="{C183D7F6-B498-43B3-948B-1728B52AA6E4}">
                          <adec:decorative xmlns:adec="http://schemas.microsoft.com/office/drawing/2017/decorative" val="0"/>
                        </a:ext>
                      </a:extLst>
                    </pic:cNvPr>
                    <pic:cNvPicPr>
                      <a:picLocks noChangeAspect="1"/>
                    </pic:cNvPicPr>
                  </pic:nvPicPr>
                  <pic:blipFill>
                    <a:blip r:embed="rId16">
                      <a:extLst>
                        <a:ext uri="{BEBA8EAE-BF5A-486C-A8C5-ECC9F3942E4B}">
                          <a14:imgProps xmlns:a14="http://schemas.microsoft.com/office/drawing/2010/main">
                            <a14:imgLayer r:embed="rId17">
                              <a14:imgEffect>
                                <a14:colorTemperature colorTemp="5300"/>
                              </a14:imgEffect>
                              <a14:imgEffect>
                                <a14:saturation sat="400000"/>
                              </a14:imgEffect>
                            </a14:imgLayer>
                          </a14:imgProps>
                        </a:ext>
                      </a:extLst>
                    </a:blip>
                    <a:stretch>
                      <a:fillRect/>
                    </a:stretch>
                  </pic:blipFill>
                  <pic:spPr>
                    <a:xfrm>
                      <a:off x="0" y="0"/>
                      <a:ext cx="5516921" cy="3903216"/>
                    </a:xfrm>
                    <a:prstGeom prst="rect">
                      <a:avLst/>
                    </a:prstGeom>
                  </pic:spPr>
                </pic:pic>
              </a:graphicData>
            </a:graphic>
          </wp:inline>
        </w:drawing>
      </w:r>
    </w:p>
    <w:p w14:paraId="0D0A76F8" w14:textId="77777777" w:rsidR="00452DBC" w:rsidRDefault="00452DBC" w:rsidP="008E64C0">
      <w:pPr>
        <w:pStyle w:val="BodyText"/>
        <w:spacing w:before="0" w:after="0" w:line="320" w:lineRule="atLeast"/>
        <w:rPr>
          <w:rFonts w:ascii="Noto Sans" w:eastAsiaTheme="minorHAnsi" w:hAnsi="Noto Sans" w:cs="Noto Sans"/>
          <w:color w:val="000000"/>
          <w:sz w:val="24"/>
          <w:szCs w:val="22"/>
          <w:lang w:eastAsia="en-US"/>
        </w:rPr>
      </w:pPr>
    </w:p>
    <w:p w14:paraId="6639E0FD" w14:textId="77777777" w:rsidR="00452DBC"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Facilities that are consistent with a Safe System approach are more attractive and address perceived safety concerns and therefore encourage a larger proportion of the population to ride or walk more regularly for more trip purposes. </w:t>
      </w:r>
    </w:p>
    <w:p w14:paraId="33D72CAB" w14:textId="6582CE86"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This does not generally include on-road bicycle lanes (e.g. line marking only), as separation of vulnerable road users (such as bike riders and pedestrians) from motor vehicles is preferred in most cases and is required for roads that carry higher traffic volumes – refer Figure 2.</w:t>
      </w:r>
    </w:p>
    <w:p w14:paraId="78F33B43" w14:textId="77777777" w:rsidR="00452DBC" w:rsidRDefault="00452DBC">
      <w:pPr>
        <w:suppressAutoHyphens w:val="0"/>
        <w:spacing w:before="0" w:after="160" w:line="259" w:lineRule="auto"/>
        <w:rPr>
          <w:rFonts w:ascii="Noto Sans" w:hAnsi="Noto Sans" w:cs="Noto Sans"/>
          <w:b/>
          <w:i/>
          <w:color w:val="000000"/>
          <w:szCs w:val="24"/>
        </w:rPr>
      </w:pPr>
      <w:r>
        <w:rPr>
          <w:rFonts w:ascii="Noto Sans" w:hAnsi="Noto Sans" w:cs="Noto Sans"/>
          <w:b/>
          <w:i/>
          <w:color w:val="000000"/>
          <w:szCs w:val="24"/>
        </w:rPr>
        <w:br w:type="page"/>
      </w:r>
    </w:p>
    <w:p w14:paraId="3E9E8703" w14:textId="5253EE8B" w:rsidR="008E64C0" w:rsidRDefault="008E64C0" w:rsidP="008E64C0">
      <w:pPr>
        <w:spacing w:before="80" w:after="80"/>
        <w:rPr>
          <w:rFonts w:ascii="Noto Sans" w:hAnsi="Noto Sans" w:cs="Noto Sans"/>
          <w:b/>
          <w:iCs/>
          <w:color w:val="000000"/>
          <w:szCs w:val="24"/>
        </w:rPr>
      </w:pPr>
      <w:r w:rsidRPr="00452DBC">
        <w:rPr>
          <w:rFonts w:ascii="Noto Sans" w:hAnsi="Noto Sans" w:cs="Noto Sans"/>
          <w:b/>
          <w:iCs/>
          <w:color w:val="000000"/>
          <w:szCs w:val="24"/>
        </w:rPr>
        <w:lastRenderedPageBreak/>
        <w:t>Figure 2 – Separation of bike riders and motor vehicles along preferred bicycle routes</w:t>
      </w:r>
      <w:r w:rsidRPr="00452DBC">
        <w:rPr>
          <w:rStyle w:val="FootnoteReference"/>
          <w:rFonts w:ascii="Noto Sans" w:hAnsi="Noto Sans" w:cs="Noto Sans"/>
          <w:b/>
          <w:iCs/>
          <w:color w:val="000000"/>
          <w:szCs w:val="24"/>
        </w:rPr>
        <w:footnoteReference w:id="5"/>
      </w:r>
      <w:r w:rsidRPr="00452DBC">
        <w:rPr>
          <w:rFonts w:ascii="Noto Sans" w:hAnsi="Noto Sans" w:cs="Noto Sans"/>
          <w:b/>
          <w:iCs/>
          <w:color w:val="000000"/>
          <w:szCs w:val="24"/>
        </w:rPr>
        <w:t xml:space="preserve"> </w:t>
      </w:r>
    </w:p>
    <w:p w14:paraId="332C52B0" w14:textId="77777777" w:rsidR="00452DBC" w:rsidRPr="00452DBC" w:rsidRDefault="00452DBC" w:rsidP="008E64C0">
      <w:pPr>
        <w:spacing w:before="80" w:after="80"/>
        <w:rPr>
          <w:rFonts w:ascii="Noto Sans" w:eastAsia="Times New Roman" w:hAnsi="Noto Sans" w:cs="Noto Sans"/>
          <w:b/>
          <w:iCs/>
          <w:color w:val="000000"/>
          <w:szCs w:val="24"/>
          <w:lang w:eastAsia="en-AU"/>
        </w:rPr>
      </w:pPr>
    </w:p>
    <w:p w14:paraId="62AE5202" w14:textId="77777777" w:rsidR="008E64C0" w:rsidRPr="00CA455D" w:rsidRDefault="008E64C0" w:rsidP="008E64C0">
      <w:pPr>
        <w:pStyle w:val="BodyText"/>
        <w:rPr>
          <w:rFonts w:ascii="Noto Sans" w:hAnsi="Noto Sans" w:cs="Noto Sans"/>
          <w:color w:val="000000"/>
        </w:rPr>
      </w:pPr>
      <w:r w:rsidRPr="00CA455D">
        <w:rPr>
          <w:rFonts w:ascii="Noto Sans" w:hAnsi="Noto Sans" w:cs="Noto Sans"/>
          <w:noProof/>
          <w:color w:val="000000"/>
        </w:rPr>
        <w:drawing>
          <wp:inline distT="0" distB="0" distL="0" distR="0" wp14:anchorId="1B8B7EBC" wp14:editId="30CD97D1">
            <wp:extent cx="5683051" cy="3657600"/>
            <wp:effectExtent l="0" t="0" r="0" b="0"/>
            <wp:docPr id="5" name="Picture 5" descr="Separation of bike riders and motor vehicles along preferred bicycle routes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eparation of bike riders and motor vehicles along preferred bicycle routes graph.">
                      <a:extLst>
                        <a:ext uri="{C183D7F6-B498-43B3-948B-1728B52AA6E4}">
                          <adec:decorative xmlns:adec="http://schemas.microsoft.com/office/drawing/2017/decorative" val="0"/>
                        </a:ext>
                      </a:extLst>
                    </pic:cNvPr>
                    <pic:cNvPicPr/>
                  </pic:nvPicPr>
                  <pic:blipFill>
                    <a:blip r:embed="rId18"/>
                    <a:stretch>
                      <a:fillRect/>
                    </a:stretch>
                  </pic:blipFill>
                  <pic:spPr>
                    <a:xfrm>
                      <a:off x="0" y="0"/>
                      <a:ext cx="5763809" cy="3709576"/>
                    </a:xfrm>
                    <a:prstGeom prst="rect">
                      <a:avLst/>
                    </a:prstGeom>
                  </pic:spPr>
                </pic:pic>
              </a:graphicData>
            </a:graphic>
          </wp:inline>
        </w:drawing>
      </w:r>
    </w:p>
    <w:p w14:paraId="548D0159" w14:textId="77777777" w:rsidR="008E64C0" w:rsidRPr="00CA455D" w:rsidRDefault="008E64C0" w:rsidP="008E64C0">
      <w:pPr>
        <w:pStyle w:val="BodyText"/>
        <w:rPr>
          <w:rFonts w:ascii="Noto Sans" w:hAnsi="Noto Sans" w:cs="Noto Sans"/>
          <w:color w:val="000000"/>
        </w:rPr>
      </w:pPr>
    </w:p>
    <w:p w14:paraId="40799F61"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If separation isn’t practicable (e.g. at road crossings and/or property accesses) then the target operating speed of the motor vehicle within the conflict area should not be greater than 30 km/h – refer Figure 3 (preferably 20 km/h – refer Figure 4).</w:t>
      </w:r>
    </w:p>
    <w:p w14:paraId="14E4233C"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48BDBF92" w14:textId="77777777" w:rsidR="008E64C0" w:rsidRPr="00CA455D" w:rsidRDefault="008E64C0">
      <w:pPr>
        <w:suppressAutoHyphens w:val="0"/>
        <w:spacing w:before="0" w:after="160" w:line="259" w:lineRule="auto"/>
        <w:rPr>
          <w:rFonts w:ascii="Noto Sans" w:eastAsia="Times New Roman" w:hAnsi="Noto Sans" w:cs="Noto Sans"/>
          <w:b/>
          <w:i/>
          <w:iCs/>
          <w:color w:val="000000"/>
          <w:szCs w:val="18"/>
          <w:lang w:eastAsia="en-AU"/>
        </w:rPr>
      </w:pPr>
      <w:r w:rsidRPr="00CA455D">
        <w:rPr>
          <w:rFonts w:ascii="Noto Sans" w:hAnsi="Noto Sans" w:cs="Noto Sans"/>
          <w:b/>
          <w:i/>
          <w:iCs/>
          <w:color w:val="000000"/>
          <w:szCs w:val="18"/>
        </w:rPr>
        <w:br w:type="page"/>
      </w:r>
    </w:p>
    <w:p w14:paraId="0F2863DB" w14:textId="227A4BE1" w:rsidR="008E64C0" w:rsidRDefault="008E64C0" w:rsidP="008E64C0">
      <w:pPr>
        <w:pStyle w:val="BodyText"/>
        <w:rPr>
          <w:rFonts w:ascii="Noto Sans" w:hAnsi="Noto Sans" w:cs="Noto Sans"/>
          <w:b/>
          <w:color w:val="000000"/>
          <w:sz w:val="24"/>
          <w:szCs w:val="18"/>
        </w:rPr>
      </w:pPr>
      <w:r w:rsidRPr="00452DBC">
        <w:rPr>
          <w:rFonts w:ascii="Noto Sans" w:hAnsi="Noto Sans" w:cs="Noto Sans"/>
          <w:b/>
          <w:color w:val="000000"/>
          <w:sz w:val="24"/>
          <w:szCs w:val="18"/>
        </w:rPr>
        <w:lastRenderedPageBreak/>
        <w:t>Figure 3 – Relationships between a motorised vehicle collision speed and probability of a fatality for different crash configurations</w:t>
      </w:r>
      <w:r w:rsidRPr="00452DBC">
        <w:rPr>
          <w:rStyle w:val="FootnoteReference"/>
          <w:rFonts w:ascii="Noto Sans" w:hAnsi="Noto Sans" w:cs="Noto Sans"/>
          <w:b/>
          <w:color w:val="000000"/>
          <w:sz w:val="24"/>
          <w:szCs w:val="18"/>
        </w:rPr>
        <w:footnoteReference w:id="6"/>
      </w:r>
    </w:p>
    <w:p w14:paraId="56992243" w14:textId="77777777" w:rsidR="00452DBC" w:rsidRPr="00452DBC" w:rsidRDefault="00452DBC" w:rsidP="008E64C0">
      <w:pPr>
        <w:pStyle w:val="BodyText"/>
        <w:rPr>
          <w:rFonts w:ascii="Noto Sans" w:hAnsi="Noto Sans" w:cs="Noto Sans"/>
          <w:b/>
          <w:color w:val="000000"/>
          <w:sz w:val="24"/>
          <w:szCs w:val="18"/>
        </w:rPr>
      </w:pPr>
    </w:p>
    <w:p w14:paraId="7A98872E" w14:textId="5291ADE2" w:rsidR="00692703" w:rsidRPr="00CA455D" w:rsidRDefault="008E64C0" w:rsidP="00692703">
      <w:pPr>
        <w:rPr>
          <w:rFonts w:ascii="Noto Sans" w:hAnsi="Noto Sans" w:cs="Noto Sans"/>
          <w:color w:val="000000"/>
        </w:rPr>
      </w:pPr>
      <w:r w:rsidRPr="00CA455D">
        <w:rPr>
          <w:rFonts w:ascii="Noto Sans" w:hAnsi="Noto Sans" w:cs="Noto Sans"/>
          <w:noProof/>
          <w:color w:val="000000"/>
        </w:rPr>
        <w:drawing>
          <wp:inline distT="0" distB="0" distL="0" distR="0" wp14:anchorId="39C889C0" wp14:editId="7BC24206">
            <wp:extent cx="5550503" cy="4051004"/>
            <wp:effectExtent l="0" t="0" r="0" b="6985"/>
            <wp:docPr id="4" name="Picture 4" descr="Relationship between collision speed and the probability of a fatality grap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Relationship between collision speed and the probability of a fatality graph.">
                      <a:extLst>
                        <a:ext uri="{C183D7F6-B498-43B3-948B-1728B52AA6E4}">
                          <adec:decorative xmlns:adec="http://schemas.microsoft.com/office/drawing/2017/decorative" val="0"/>
                        </a:ext>
                      </a:extLst>
                    </pic:cNvPr>
                    <pic:cNvPicPr/>
                  </pic:nvPicPr>
                  <pic:blipFill rotWithShape="1">
                    <a:blip r:embed="rId19"/>
                    <a:srcRect t="5071"/>
                    <a:stretch/>
                  </pic:blipFill>
                  <pic:spPr bwMode="auto">
                    <a:xfrm>
                      <a:off x="0" y="0"/>
                      <a:ext cx="5557244" cy="4055924"/>
                    </a:xfrm>
                    <a:prstGeom prst="rect">
                      <a:avLst/>
                    </a:prstGeom>
                    <a:ln>
                      <a:noFill/>
                    </a:ln>
                    <a:extLst>
                      <a:ext uri="{53640926-AAD7-44D8-BBD7-CCE9431645EC}">
                        <a14:shadowObscured xmlns:a14="http://schemas.microsoft.com/office/drawing/2010/main"/>
                      </a:ext>
                    </a:extLst>
                  </pic:spPr>
                </pic:pic>
              </a:graphicData>
            </a:graphic>
          </wp:inline>
        </w:drawing>
      </w:r>
    </w:p>
    <w:p w14:paraId="03F13E37" w14:textId="77777777" w:rsidR="00452DBC" w:rsidRDefault="00452DBC">
      <w:pPr>
        <w:suppressAutoHyphens w:val="0"/>
        <w:spacing w:before="0" w:after="160" w:line="259" w:lineRule="auto"/>
        <w:rPr>
          <w:rFonts w:ascii="Noto Sans" w:eastAsia="Times New Roman" w:hAnsi="Noto Sans" w:cs="Noto Sans"/>
          <w:b/>
          <w:color w:val="000000"/>
          <w:szCs w:val="18"/>
          <w:lang w:eastAsia="en-AU"/>
        </w:rPr>
      </w:pPr>
      <w:r>
        <w:rPr>
          <w:rFonts w:ascii="Noto Sans" w:hAnsi="Noto Sans" w:cs="Noto Sans"/>
          <w:b/>
          <w:color w:val="000000"/>
          <w:szCs w:val="18"/>
        </w:rPr>
        <w:br w:type="page"/>
      </w:r>
    </w:p>
    <w:p w14:paraId="7610EFDC" w14:textId="08F396EA" w:rsidR="008E64C0" w:rsidRPr="00452DBC" w:rsidRDefault="008E64C0" w:rsidP="008E64C0">
      <w:pPr>
        <w:pStyle w:val="BodyText"/>
        <w:rPr>
          <w:rFonts w:ascii="Noto Sans" w:hAnsi="Noto Sans" w:cs="Noto Sans"/>
          <w:b/>
          <w:color w:val="000000"/>
          <w:sz w:val="24"/>
          <w:szCs w:val="18"/>
        </w:rPr>
      </w:pPr>
      <w:r w:rsidRPr="00452DBC">
        <w:rPr>
          <w:rFonts w:ascii="Noto Sans" w:hAnsi="Noto Sans" w:cs="Noto Sans"/>
          <w:b/>
          <w:color w:val="000000"/>
          <w:sz w:val="24"/>
          <w:szCs w:val="18"/>
        </w:rPr>
        <w:lastRenderedPageBreak/>
        <w:t>Figure 4 – Probability of serious injury versus bullet vehicle impact speed in different crash types</w:t>
      </w:r>
      <w:r w:rsidRPr="00452DBC">
        <w:rPr>
          <w:rStyle w:val="FootnoteReference"/>
          <w:rFonts w:ascii="Noto Sans" w:hAnsi="Noto Sans" w:cs="Noto Sans"/>
          <w:b/>
          <w:color w:val="000000"/>
          <w:sz w:val="24"/>
          <w:szCs w:val="18"/>
        </w:rPr>
        <w:footnoteReference w:id="7"/>
      </w:r>
    </w:p>
    <w:p w14:paraId="02CECDC0" w14:textId="77777777" w:rsidR="008E64C0" w:rsidRPr="00CA455D" w:rsidRDefault="008E64C0" w:rsidP="008E64C0">
      <w:pPr>
        <w:pStyle w:val="BodyText"/>
        <w:rPr>
          <w:rFonts w:ascii="Noto Sans" w:hAnsi="Noto Sans" w:cs="Noto Sans"/>
          <w:color w:val="000000"/>
        </w:rPr>
      </w:pPr>
      <w:r w:rsidRPr="00CA455D">
        <w:rPr>
          <w:rFonts w:ascii="Noto Sans" w:hAnsi="Noto Sans" w:cs="Noto Sans"/>
          <w:noProof/>
          <w:color w:val="000000"/>
        </w:rPr>
        <w:drawing>
          <wp:inline distT="0" distB="0" distL="0" distR="0" wp14:anchorId="52B7F7EB" wp14:editId="7799E708">
            <wp:extent cx="5667154" cy="4340040"/>
            <wp:effectExtent l="0" t="0" r="0" b="3810"/>
            <wp:docPr id="1614333689" name="Picture 1" descr="A graph of a graph showing the probability of serious injury versus bullet vehicle impact speed in different crash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4333689" name="Picture 1" descr="A graph of a graph showing the probability of serious injury versus bullet vehicle impact speed in different crash types."/>
                    <pic:cNvPicPr/>
                  </pic:nvPicPr>
                  <pic:blipFill>
                    <a:blip r:embed="rId20"/>
                    <a:stretch>
                      <a:fillRect/>
                    </a:stretch>
                  </pic:blipFill>
                  <pic:spPr>
                    <a:xfrm>
                      <a:off x="0" y="0"/>
                      <a:ext cx="5678851" cy="4348998"/>
                    </a:xfrm>
                    <a:prstGeom prst="rect">
                      <a:avLst/>
                    </a:prstGeom>
                  </pic:spPr>
                </pic:pic>
              </a:graphicData>
            </a:graphic>
          </wp:inline>
        </w:drawing>
      </w:r>
      <w:r w:rsidRPr="00CA455D">
        <w:rPr>
          <w:rFonts w:ascii="Noto Sans" w:hAnsi="Noto Sans" w:cs="Noto Sans"/>
          <w:color w:val="000000"/>
        </w:rPr>
        <w:t xml:space="preserve"> </w:t>
      </w:r>
    </w:p>
    <w:p w14:paraId="14932C46"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Achieving comfortable, low-stress and safe travel by bike is typically achieved through adoption of the following facilities:</w:t>
      </w:r>
    </w:p>
    <w:p w14:paraId="6D163166"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Stand-alone bikeway/cycleway – physically separated by wide verge, grade separation and/or independent of adjacent infrastructure;</w:t>
      </w:r>
    </w:p>
    <w:p w14:paraId="07720A33"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Separated path (cycle track)/s – physically separated by verge and/or kerb (bicycle path alongside footpath);</w:t>
      </w:r>
    </w:p>
    <w:p w14:paraId="3CFDE89F"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Protected on-road bicycle lane/s – separated/delineated by separation devices and provision of conflict protection through turning movement speed management/restrictions at intersections/accesses;</w:t>
      </w:r>
    </w:p>
    <w:p w14:paraId="73D1E809"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Cycle street – low volume local access roads with speed management devices;</w:t>
      </w:r>
    </w:p>
    <w:p w14:paraId="56BF9E06"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Raised priority crossing/s; </w:t>
      </w:r>
    </w:p>
    <w:p w14:paraId="101E36A8"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Shared path/s (with low pedestrian volume) – preferably at least 3.0 m wide.</w:t>
      </w:r>
    </w:p>
    <w:p w14:paraId="722382C6" w14:textId="77777777" w:rsidR="008E64C0" w:rsidRPr="00CA455D" w:rsidRDefault="008E64C0" w:rsidP="008E64C0">
      <w:pPr>
        <w:pStyle w:val="BodyText"/>
        <w:spacing w:before="0" w:after="0" w:line="320" w:lineRule="atLeast"/>
        <w:ind w:left="720"/>
        <w:rPr>
          <w:rFonts w:ascii="Noto Sans" w:eastAsiaTheme="minorHAnsi" w:hAnsi="Noto Sans" w:cs="Noto Sans"/>
          <w:color w:val="000000"/>
          <w:sz w:val="24"/>
          <w:szCs w:val="22"/>
          <w:lang w:eastAsia="en-US"/>
        </w:rPr>
      </w:pPr>
    </w:p>
    <w:p w14:paraId="575CEB87"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lastRenderedPageBreak/>
        <w:t>Whilst not an exhaustive list, applicable reference documents related to the above bicycle facilities are summarised in the references at the end of this document. Alternative standards, guidelines and innovative treatments not covered by the reference documents will be assessed by ATIP on a case-by-case basis in consultation with TMR’s Engineering and Technology Branch.</w:t>
      </w:r>
    </w:p>
    <w:p w14:paraId="22C46ECA"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64DAFF91"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The following treatments for bicycle infrastructure are not typically supported by the ATIP:</w:t>
      </w:r>
    </w:p>
    <w:p w14:paraId="408B42C1"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Bicycle Awareness Zone/s;</w:t>
      </w:r>
    </w:p>
    <w:p w14:paraId="398CC13A"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Part-time bicycle lanes; </w:t>
      </w:r>
    </w:p>
    <w:p w14:paraId="67DDA31D"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On-road bicycle lanes without separation devices (unless the exclusion of separation devices is supported by relevant guideline/s and justifiable on engineering grounds); and</w:t>
      </w:r>
    </w:p>
    <w:p w14:paraId="3CC76F98"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Shared path/s less than 3.0 m wide (without justification).</w:t>
      </w:r>
    </w:p>
    <w:p w14:paraId="4A10EED0"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06A67E2D"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Physical separation from motorised traffic assists in improving perceived and actual safety issues in road environments with higher traffic speeds and volumes. Physical separation can be achieved by:</w:t>
      </w:r>
    </w:p>
    <w:p w14:paraId="3C434B4E" w14:textId="79487A13"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“hardening” a bicycle lane with a physical device, refer </w:t>
      </w:r>
      <w:bookmarkStart w:id="15" w:name="_Hlk196291998"/>
      <w:r w:rsidRPr="00CA455D">
        <w:rPr>
          <w:rFonts w:ascii="Noto Sans" w:eastAsiaTheme="minorHAnsi" w:hAnsi="Noto Sans" w:cs="Noto Sans"/>
          <w:i/>
          <w:iCs/>
          <w:color w:val="000000"/>
          <w:sz w:val="24"/>
          <w:szCs w:val="22"/>
          <w:lang w:eastAsia="en-US"/>
        </w:rPr>
        <w:t>Queensland Guide to Traffic Management (QGTM) Part 10 – Physical separation devices for protected bicycle lanes and cycle tracks guideline (Jul 2025)</w:t>
      </w:r>
      <w:bookmarkEnd w:id="15"/>
      <w:r w:rsidRPr="00CA455D">
        <w:rPr>
          <w:rFonts w:ascii="Noto Sans" w:eastAsiaTheme="minorHAnsi" w:hAnsi="Noto Sans" w:cs="Noto Sans"/>
          <w:color w:val="000000"/>
          <w:sz w:val="24"/>
          <w:szCs w:val="22"/>
          <w:lang w:eastAsia="en-US"/>
        </w:rPr>
        <w:t>;</w:t>
      </w:r>
    </w:p>
    <w:p w14:paraId="7CACC9B2" w14:textId="6C8028EE"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establishing a Cycle Track, refer </w:t>
      </w:r>
      <w:bookmarkStart w:id="16" w:name="_Hlk196292012"/>
      <w:r w:rsidRPr="00CA455D">
        <w:rPr>
          <w:rFonts w:ascii="Noto Sans" w:eastAsiaTheme="minorHAnsi" w:hAnsi="Noto Sans" w:cs="Noto Sans"/>
          <w:i/>
          <w:iCs/>
          <w:color w:val="000000"/>
          <w:sz w:val="24"/>
          <w:szCs w:val="22"/>
          <w:lang w:eastAsia="en-US"/>
        </w:rPr>
        <w:t>TMR’s Selection and design of cycle tracks</w:t>
      </w:r>
      <w:r w:rsidRPr="00CA455D">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i/>
          <w:iCs/>
          <w:color w:val="000000"/>
          <w:sz w:val="24"/>
          <w:szCs w:val="22"/>
          <w:lang w:eastAsia="en-US"/>
        </w:rPr>
        <w:t>guideline</w:t>
      </w:r>
      <w:r w:rsidRPr="00CA455D">
        <w:rPr>
          <w:rFonts w:ascii="Noto Sans" w:eastAsiaTheme="minorHAnsi" w:hAnsi="Noto Sans" w:cs="Noto Sans"/>
          <w:color w:val="000000"/>
          <w:sz w:val="24"/>
          <w:szCs w:val="22"/>
          <w:lang w:eastAsia="en-US"/>
        </w:rPr>
        <w:t xml:space="preserve"> (Jul 2025)</w:t>
      </w:r>
      <w:bookmarkEnd w:id="16"/>
      <w:r w:rsidRPr="00CA455D">
        <w:rPr>
          <w:rFonts w:ascii="Noto Sans" w:eastAsiaTheme="minorHAnsi" w:hAnsi="Noto Sans" w:cs="Noto Sans"/>
          <w:color w:val="000000"/>
          <w:sz w:val="24"/>
          <w:szCs w:val="22"/>
          <w:lang w:eastAsia="en-US"/>
        </w:rPr>
        <w:t>; or</w:t>
      </w:r>
    </w:p>
    <w:p w14:paraId="0BC2B41E" w14:textId="77777777" w:rsidR="008E64C0" w:rsidRPr="00CA455D" w:rsidRDefault="008E64C0" w:rsidP="006D1AE9">
      <w:pPr>
        <w:pStyle w:val="BodyText"/>
        <w:numPr>
          <w:ilvl w:val="0"/>
          <w:numId w:val="8"/>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establishing a bicycle path (incorporating priority crossing/s to maintain safety and directness).</w:t>
      </w:r>
    </w:p>
    <w:p w14:paraId="47849F84" w14:textId="77777777" w:rsidR="008E64C0" w:rsidRPr="00CA455D" w:rsidRDefault="008E64C0" w:rsidP="008E64C0">
      <w:pPr>
        <w:pStyle w:val="BodyText"/>
        <w:spacing w:before="0" w:after="0" w:line="320" w:lineRule="atLeast"/>
        <w:ind w:left="720"/>
        <w:rPr>
          <w:rFonts w:ascii="Noto Sans" w:eastAsiaTheme="minorHAnsi" w:hAnsi="Noto Sans" w:cs="Noto Sans"/>
          <w:color w:val="000000"/>
          <w:sz w:val="24"/>
          <w:szCs w:val="22"/>
          <w:lang w:eastAsia="en-US"/>
        </w:rPr>
      </w:pPr>
    </w:p>
    <w:p w14:paraId="45E862C5"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Recommended bicycle lane widths for the ATIP are outlined in Table 1. Minimum width bicycle lanes should only be considered at localised constrictions such as drainage grates or where significant constraints restrict relocation of the kerb line.</w:t>
      </w:r>
    </w:p>
    <w:p w14:paraId="7F21F4E8"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54BD6436"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Bicycle lane set out shall be based on the alignment of the adjacent traffic lane, not the kerb alignment. </w:t>
      </w:r>
    </w:p>
    <w:p w14:paraId="00BA563F"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p>
    <w:p w14:paraId="078B4E36"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Urban traffic lanes may need to be marked less than 3.5 m wide in order to establish a bicycle lane. There is limited evidence to support wide traffic lanes in urban areas. Refer to </w:t>
      </w:r>
      <w:bookmarkStart w:id="17" w:name="_Hlk196293002"/>
      <w:r w:rsidRPr="00CA455D">
        <w:rPr>
          <w:rFonts w:ascii="Noto Sans" w:eastAsiaTheme="minorHAnsi" w:hAnsi="Noto Sans" w:cs="Noto Sans"/>
          <w:color w:val="000000"/>
          <w:sz w:val="24"/>
          <w:szCs w:val="22"/>
          <w:lang w:eastAsia="en-US"/>
        </w:rPr>
        <w:t xml:space="preserve">TMR’s RPDM Edition 2 Volume 3 </w:t>
      </w:r>
      <w:r w:rsidRPr="00CA455D">
        <w:rPr>
          <w:rFonts w:ascii="Noto Sans" w:eastAsiaTheme="minorHAnsi" w:hAnsi="Noto Sans" w:cs="Noto Sans"/>
          <w:i/>
          <w:iCs/>
          <w:color w:val="000000"/>
          <w:sz w:val="24"/>
          <w:szCs w:val="22"/>
          <w:lang w:eastAsia="en-US"/>
        </w:rPr>
        <w:t xml:space="preserve">Supplements to Austroads Guide to Road Design Parts 1, 3 </w:t>
      </w:r>
      <w:r w:rsidRPr="00CA455D">
        <w:rPr>
          <w:rFonts w:ascii="Noto Sans" w:eastAsiaTheme="minorHAnsi" w:hAnsi="Noto Sans" w:cs="Noto Sans"/>
          <w:color w:val="000000"/>
          <w:sz w:val="24"/>
          <w:szCs w:val="22"/>
          <w:lang w:eastAsia="en-US"/>
        </w:rPr>
        <w:t xml:space="preserve">and </w:t>
      </w:r>
      <w:r w:rsidRPr="00CA455D">
        <w:rPr>
          <w:rFonts w:ascii="Noto Sans" w:eastAsiaTheme="minorHAnsi" w:hAnsi="Noto Sans" w:cs="Noto Sans"/>
          <w:i/>
          <w:iCs/>
          <w:color w:val="000000"/>
          <w:sz w:val="24"/>
          <w:szCs w:val="22"/>
          <w:lang w:eastAsia="en-US"/>
        </w:rPr>
        <w:t>4A</w:t>
      </w:r>
      <w:r w:rsidRPr="00CA455D">
        <w:rPr>
          <w:rFonts w:ascii="Noto Sans" w:eastAsiaTheme="minorHAnsi" w:hAnsi="Noto Sans" w:cs="Noto Sans"/>
          <w:color w:val="000000"/>
          <w:sz w:val="24"/>
          <w:szCs w:val="22"/>
          <w:lang w:eastAsia="en-US"/>
        </w:rPr>
        <w:t xml:space="preserve"> (formerly </w:t>
      </w:r>
      <w:r w:rsidRPr="00CA455D">
        <w:rPr>
          <w:rFonts w:ascii="Noto Sans" w:eastAsiaTheme="minorHAnsi" w:hAnsi="Noto Sans" w:cs="Noto Sans"/>
          <w:i/>
          <w:iCs/>
          <w:color w:val="000000"/>
          <w:sz w:val="24"/>
          <w:szCs w:val="22"/>
          <w:lang w:eastAsia="en-US"/>
        </w:rPr>
        <w:t>RPDM</w:t>
      </w:r>
      <w:r w:rsidRPr="00CA455D">
        <w:rPr>
          <w:rFonts w:ascii="Noto Sans" w:eastAsiaTheme="minorHAnsi" w:hAnsi="Noto Sans" w:cs="Noto Sans"/>
          <w:color w:val="000000"/>
          <w:sz w:val="24"/>
          <w:szCs w:val="22"/>
          <w:lang w:eastAsia="en-US"/>
        </w:rPr>
        <w:t xml:space="preserve"> and </w:t>
      </w:r>
      <w:r w:rsidRPr="00CA455D">
        <w:rPr>
          <w:rFonts w:ascii="Noto Sans" w:eastAsiaTheme="minorHAnsi" w:hAnsi="Noto Sans" w:cs="Noto Sans"/>
          <w:i/>
          <w:iCs/>
          <w:color w:val="000000"/>
          <w:sz w:val="24"/>
          <w:szCs w:val="22"/>
          <w:lang w:eastAsia="en-US"/>
        </w:rPr>
        <w:t>Guidelines for road design on brownfield sites</w:t>
      </w:r>
      <w:r w:rsidRPr="00CA455D">
        <w:rPr>
          <w:rFonts w:ascii="Noto Sans" w:eastAsiaTheme="minorHAnsi" w:hAnsi="Noto Sans" w:cs="Noto Sans"/>
          <w:color w:val="000000"/>
          <w:sz w:val="24"/>
          <w:szCs w:val="22"/>
          <w:lang w:eastAsia="en-US"/>
        </w:rPr>
        <w:t>)</w:t>
      </w:r>
      <w:bookmarkEnd w:id="17"/>
      <w:r w:rsidRPr="00CA455D">
        <w:rPr>
          <w:rFonts w:ascii="Noto Sans" w:eastAsiaTheme="minorHAnsi" w:hAnsi="Noto Sans" w:cs="Noto Sans"/>
          <w:color w:val="000000"/>
          <w:sz w:val="24"/>
          <w:szCs w:val="22"/>
          <w:lang w:eastAsia="en-US"/>
        </w:rPr>
        <w:t xml:space="preserve"> for further detail.</w:t>
      </w:r>
    </w:p>
    <w:p w14:paraId="6AC28EC7" w14:textId="77777777" w:rsidR="00452DBC" w:rsidRDefault="00452DBC">
      <w:pPr>
        <w:suppressAutoHyphens w:val="0"/>
        <w:spacing w:before="0" w:after="160" w:line="259" w:lineRule="auto"/>
        <w:rPr>
          <w:rFonts w:ascii="Noto Sans" w:eastAsia="Times New Roman" w:hAnsi="Noto Sans" w:cs="Noto Sans"/>
          <w:b/>
          <w:i/>
          <w:iCs/>
          <w:color w:val="000000"/>
          <w:szCs w:val="18"/>
          <w:lang w:eastAsia="en-AU"/>
        </w:rPr>
      </w:pPr>
      <w:r>
        <w:rPr>
          <w:rFonts w:ascii="Noto Sans" w:hAnsi="Noto Sans" w:cs="Noto Sans"/>
          <w:b/>
          <w:i/>
          <w:iCs/>
          <w:color w:val="000000"/>
          <w:szCs w:val="18"/>
        </w:rPr>
        <w:br w:type="page"/>
      </w:r>
    </w:p>
    <w:p w14:paraId="06441E40" w14:textId="66411B56" w:rsidR="008E64C0" w:rsidRPr="00452DBC" w:rsidRDefault="008E64C0" w:rsidP="008E64C0">
      <w:pPr>
        <w:pStyle w:val="BodyText"/>
        <w:rPr>
          <w:rFonts w:ascii="Noto Sans" w:hAnsi="Noto Sans" w:cs="Noto Sans"/>
          <w:b/>
          <w:color w:val="000000"/>
          <w:sz w:val="24"/>
          <w:szCs w:val="18"/>
        </w:rPr>
      </w:pPr>
      <w:r w:rsidRPr="00452DBC">
        <w:rPr>
          <w:rFonts w:ascii="Noto Sans" w:hAnsi="Noto Sans" w:cs="Noto Sans"/>
          <w:b/>
          <w:color w:val="000000"/>
          <w:sz w:val="24"/>
          <w:szCs w:val="18"/>
        </w:rPr>
        <w:lastRenderedPageBreak/>
        <w:t xml:space="preserve">Table 1: </w:t>
      </w:r>
      <w:r w:rsidRPr="00452DBC">
        <w:rPr>
          <w:rFonts w:ascii="Noto Sans" w:hAnsi="Noto Sans" w:cs="Noto Sans"/>
          <w:b/>
          <w:color w:val="000000"/>
          <w:sz w:val="24"/>
          <w:szCs w:val="18"/>
        </w:rPr>
        <w:tab/>
      </w:r>
      <w:proofErr w:type="gramStart"/>
      <w:r w:rsidRPr="00452DBC">
        <w:rPr>
          <w:rFonts w:ascii="Noto Sans" w:hAnsi="Noto Sans" w:cs="Noto Sans"/>
          <w:b/>
          <w:color w:val="000000"/>
          <w:sz w:val="24"/>
          <w:szCs w:val="18"/>
        </w:rPr>
        <w:t>Recommended Bicycle lane</w:t>
      </w:r>
      <w:proofErr w:type="gramEnd"/>
      <w:r w:rsidRPr="00452DBC">
        <w:rPr>
          <w:rFonts w:ascii="Noto Sans" w:hAnsi="Noto Sans" w:cs="Noto Sans"/>
          <w:b/>
          <w:color w:val="000000"/>
          <w:sz w:val="24"/>
          <w:szCs w:val="18"/>
        </w:rPr>
        <w:t xml:space="preserve"> widths for ATIP projects (Based on </w:t>
      </w:r>
      <w:bookmarkStart w:id="18" w:name="_Hlk196293248"/>
      <w:r w:rsidRPr="00452DBC">
        <w:rPr>
          <w:rFonts w:ascii="Noto Sans" w:hAnsi="Noto Sans" w:cs="Noto Sans"/>
          <w:b/>
          <w:color w:val="000000"/>
          <w:sz w:val="24"/>
          <w:szCs w:val="18"/>
        </w:rPr>
        <w:t>AGRD Part 3, Table 4.18, Feb 2021</w:t>
      </w:r>
      <w:bookmarkEnd w:id="18"/>
      <w:r w:rsidRPr="00452DBC">
        <w:rPr>
          <w:rFonts w:ascii="Noto Sans" w:hAnsi="Noto Sans" w:cs="Noto Sans"/>
          <w:b/>
          <w:color w:val="000000"/>
          <w:sz w:val="24"/>
          <w:szCs w:val="18"/>
        </w:rPr>
        <w:t>)</w:t>
      </w:r>
    </w:p>
    <w:tbl>
      <w:tblPr>
        <w:tblStyle w:val="ListTable3-Accent3"/>
        <w:tblW w:w="9628" w:type="dxa"/>
        <w:tblLook w:val="04A0" w:firstRow="1" w:lastRow="0" w:firstColumn="1" w:lastColumn="0" w:noHBand="0" w:noVBand="1"/>
      </w:tblPr>
      <w:tblGrid>
        <w:gridCol w:w="1980"/>
        <w:gridCol w:w="4111"/>
        <w:gridCol w:w="3537"/>
      </w:tblGrid>
      <w:tr w:rsidR="006B4C1E" w:rsidRPr="00CA455D" w14:paraId="4909B92D" w14:textId="77777777" w:rsidTr="00452DB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0" w:type="dxa"/>
          </w:tcPr>
          <w:p w14:paraId="422E3ACE" w14:textId="77777777" w:rsidR="008E64C0" w:rsidRPr="00CA455D" w:rsidRDefault="008E64C0" w:rsidP="005B5C87">
            <w:pPr>
              <w:pStyle w:val="TableHeading"/>
              <w:rPr>
                <w:rFonts w:ascii="Noto Sans" w:hAnsi="Noto Sans" w:cs="Noto Sans"/>
                <w:b/>
                <w:bCs w:val="0"/>
                <w:color w:val="FFFFFF" w:themeColor="background1"/>
                <w:sz w:val="24"/>
                <w:szCs w:val="24"/>
              </w:rPr>
            </w:pPr>
            <w:r w:rsidRPr="00CA455D">
              <w:rPr>
                <w:rFonts w:ascii="Noto Sans" w:hAnsi="Noto Sans" w:cs="Noto Sans"/>
                <w:b/>
                <w:bCs w:val="0"/>
                <w:color w:val="FFFFFF" w:themeColor="background1"/>
                <w:sz w:val="24"/>
                <w:szCs w:val="24"/>
              </w:rPr>
              <w:t>Posted speed limit</w:t>
            </w:r>
          </w:p>
        </w:tc>
        <w:tc>
          <w:tcPr>
            <w:tcW w:w="4111" w:type="dxa"/>
          </w:tcPr>
          <w:p w14:paraId="0292C6EF" w14:textId="77777777" w:rsidR="008E64C0" w:rsidRPr="00CA455D" w:rsidRDefault="008E64C0" w:rsidP="005B5C87">
            <w:pPr>
              <w:pStyle w:val="TableHeading"/>
              <w:cnfStyle w:val="100000000000" w:firstRow="1" w:lastRow="0" w:firstColumn="0" w:lastColumn="0" w:oddVBand="0" w:evenVBand="0" w:oddHBand="0" w:evenHBand="0" w:firstRowFirstColumn="0" w:firstRowLastColumn="0" w:lastRowFirstColumn="0" w:lastRowLastColumn="0"/>
              <w:rPr>
                <w:rFonts w:ascii="Noto Sans" w:hAnsi="Noto Sans" w:cs="Noto Sans"/>
                <w:b/>
                <w:bCs w:val="0"/>
                <w:color w:val="FFFFFF" w:themeColor="background1"/>
                <w:sz w:val="24"/>
                <w:szCs w:val="24"/>
              </w:rPr>
            </w:pPr>
            <w:r w:rsidRPr="00CA455D">
              <w:rPr>
                <w:rFonts w:ascii="Noto Sans" w:hAnsi="Noto Sans" w:cs="Noto Sans"/>
                <w:b/>
                <w:bCs w:val="0"/>
                <w:color w:val="FFFFFF" w:themeColor="background1"/>
                <w:sz w:val="24"/>
                <w:szCs w:val="24"/>
              </w:rPr>
              <w:t>Recommended Width for ATIP projects</w:t>
            </w:r>
            <w:r w:rsidRPr="00CA455D">
              <w:rPr>
                <w:rFonts w:ascii="Noto Sans" w:hAnsi="Noto Sans" w:cs="Noto Sans"/>
                <w:b/>
                <w:bCs w:val="0"/>
                <w:i/>
                <w:color w:val="FFFFFF" w:themeColor="background1"/>
                <w:sz w:val="24"/>
                <w:szCs w:val="24"/>
                <w:vertAlign w:val="superscript"/>
              </w:rPr>
              <w:t>Note1</w:t>
            </w:r>
          </w:p>
        </w:tc>
        <w:tc>
          <w:tcPr>
            <w:tcW w:w="3537" w:type="dxa"/>
          </w:tcPr>
          <w:p w14:paraId="53E666FC" w14:textId="77777777" w:rsidR="008E64C0" w:rsidRPr="00CA455D" w:rsidRDefault="008E64C0" w:rsidP="005B5C87">
            <w:pPr>
              <w:pStyle w:val="TableHeading"/>
              <w:cnfStyle w:val="100000000000" w:firstRow="1" w:lastRow="0" w:firstColumn="0" w:lastColumn="0" w:oddVBand="0" w:evenVBand="0" w:oddHBand="0" w:evenHBand="0" w:firstRowFirstColumn="0" w:firstRowLastColumn="0" w:lastRowFirstColumn="0" w:lastRowLastColumn="0"/>
              <w:rPr>
                <w:rFonts w:ascii="Noto Sans" w:hAnsi="Noto Sans" w:cs="Noto Sans"/>
                <w:b/>
                <w:bCs w:val="0"/>
                <w:color w:val="FFFFFF" w:themeColor="background1"/>
                <w:sz w:val="24"/>
                <w:szCs w:val="24"/>
              </w:rPr>
            </w:pPr>
            <w:r w:rsidRPr="00CA455D">
              <w:rPr>
                <w:rFonts w:ascii="Noto Sans" w:hAnsi="Noto Sans" w:cs="Noto Sans"/>
                <w:b/>
                <w:bCs w:val="0"/>
                <w:color w:val="FFFFFF" w:themeColor="background1"/>
                <w:sz w:val="24"/>
                <w:szCs w:val="24"/>
              </w:rPr>
              <w:t>Reference</w:t>
            </w:r>
          </w:p>
        </w:tc>
      </w:tr>
      <w:tr w:rsidR="006B4C1E" w:rsidRPr="00CA455D" w14:paraId="432D09AB" w14:textId="77777777" w:rsidTr="0045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11C5D9" w14:textId="77777777" w:rsidR="008E64C0" w:rsidRPr="00CA455D" w:rsidRDefault="008E64C0" w:rsidP="005B5C87">
            <w:pPr>
              <w:pStyle w:val="TableText"/>
              <w:rPr>
                <w:rFonts w:ascii="Noto Sans" w:hAnsi="Noto Sans" w:cs="Noto Sans"/>
                <w:color w:val="000000"/>
                <w:sz w:val="24"/>
                <w:szCs w:val="24"/>
              </w:rPr>
            </w:pPr>
            <w:r w:rsidRPr="00CA455D">
              <w:rPr>
                <w:rFonts w:ascii="Noto Sans" w:hAnsi="Noto Sans" w:cs="Noto Sans"/>
                <w:color w:val="000000"/>
                <w:sz w:val="24"/>
                <w:szCs w:val="24"/>
              </w:rPr>
              <w:t>30 km/h or less</w:t>
            </w:r>
          </w:p>
        </w:tc>
        <w:tc>
          <w:tcPr>
            <w:tcW w:w="4111" w:type="dxa"/>
          </w:tcPr>
          <w:p w14:paraId="65DFC8C8" w14:textId="77777777" w:rsidR="008E64C0" w:rsidRPr="00CA455D" w:rsidRDefault="008E64C0" w:rsidP="005B5C87">
            <w:pPr>
              <w:pStyle w:val="TableTex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Consider active street priority, such as a Cycle Street</w:t>
            </w:r>
          </w:p>
        </w:tc>
        <w:tc>
          <w:tcPr>
            <w:tcW w:w="3537" w:type="dxa"/>
          </w:tcPr>
          <w:p w14:paraId="55268E46" w14:textId="77777777" w:rsidR="008E64C0" w:rsidRPr="00CA455D" w:rsidRDefault="008E64C0" w:rsidP="005B5C87">
            <w:pPr>
              <w:pStyle w:val="TableTex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4"/>
                <w:szCs w:val="24"/>
                <w:highlight w:val="cyan"/>
              </w:rPr>
            </w:pPr>
            <w:bookmarkStart w:id="19" w:name="_Hlk196293305"/>
            <w:r w:rsidRPr="00CA455D">
              <w:rPr>
                <w:rFonts w:ascii="Noto Sans" w:hAnsi="Noto Sans" w:cs="Noto Sans"/>
                <w:color w:val="000000"/>
                <w:sz w:val="24"/>
                <w:szCs w:val="24"/>
              </w:rPr>
              <w:t>TRUM Volume 1 Part 8</w:t>
            </w:r>
            <w:bookmarkEnd w:id="19"/>
          </w:p>
        </w:tc>
      </w:tr>
      <w:tr w:rsidR="006B4C1E" w:rsidRPr="00CA455D" w14:paraId="1EB79FE2" w14:textId="77777777" w:rsidTr="00452DBC">
        <w:tc>
          <w:tcPr>
            <w:cnfStyle w:val="001000000000" w:firstRow="0" w:lastRow="0" w:firstColumn="1" w:lastColumn="0" w:oddVBand="0" w:evenVBand="0" w:oddHBand="0" w:evenHBand="0" w:firstRowFirstColumn="0" w:firstRowLastColumn="0" w:lastRowFirstColumn="0" w:lastRowLastColumn="0"/>
            <w:tcW w:w="1980" w:type="dxa"/>
          </w:tcPr>
          <w:p w14:paraId="31D8B0BA" w14:textId="77777777" w:rsidR="008E64C0" w:rsidRPr="00CA455D" w:rsidRDefault="008E64C0" w:rsidP="005B5C87">
            <w:pPr>
              <w:pStyle w:val="TableText"/>
              <w:rPr>
                <w:rFonts w:ascii="Noto Sans" w:hAnsi="Noto Sans" w:cs="Noto Sans"/>
                <w:color w:val="000000"/>
                <w:sz w:val="24"/>
                <w:szCs w:val="24"/>
              </w:rPr>
            </w:pPr>
            <w:r w:rsidRPr="00CA455D">
              <w:rPr>
                <w:rFonts w:ascii="Noto Sans" w:hAnsi="Noto Sans" w:cs="Noto Sans"/>
                <w:color w:val="000000"/>
                <w:sz w:val="24"/>
                <w:szCs w:val="24"/>
              </w:rPr>
              <w:t>50 km/h</w:t>
            </w:r>
          </w:p>
        </w:tc>
        <w:tc>
          <w:tcPr>
            <w:tcW w:w="4111" w:type="dxa"/>
          </w:tcPr>
          <w:p w14:paraId="61008D9C" w14:textId="77777777" w:rsidR="008E64C0" w:rsidRPr="00CA455D" w:rsidRDefault="008E64C0" w:rsidP="005B5C87">
            <w:pPr>
              <w:pStyle w:val="TableTex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 xml:space="preserve">2.0 m (physical </w:t>
            </w:r>
            <w:proofErr w:type="spellStart"/>
            <w:r w:rsidRPr="00CA455D">
              <w:rPr>
                <w:rFonts w:ascii="Noto Sans" w:hAnsi="Noto Sans" w:cs="Noto Sans"/>
                <w:color w:val="000000"/>
                <w:sz w:val="24"/>
                <w:szCs w:val="24"/>
              </w:rPr>
              <w:t>separation</w:t>
            </w:r>
            <w:r w:rsidRPr="00CA455D">
              <w:rPr>
                <w:rFonts w:ascii="Noto Sans" w:hAnsi="Noto Sans" w:cs="Noto Sans"/>
                <w:i/>
                <w:color w:val="000000"/>
                <w:sz w:val="24"/>
                <w:szCs w:val="24"/>
                <w:vertAlign w:val="superscript"/>
              </w:rPr>
              <w:t>Note</w:t>
            </w:r>
            <w:proofErr w:type="spellEnd"/>
            <w:r w:rsidRPr="00CA455D">
              <w:rPr>
                <w:rFonts w:ascii="Noto Sans" w:hAnsi="Noto Sans" w:cs="Noto Sans"/>
                <w:i/>
                <w:color w:val="000000"/>
                <w:sz w:val="24"/>
                <w:szCs w:val="24"/>
                <w:vertAlign w:val="superscript"/>
              </w:rPr>
              <w:t xml:space="preserve"> 2</w:t>
            </w:r>
            <w:r w:rsidRPr="00CA455D">
              <w:rPr>
                <w:rFonts w:ascii="Noto Sans" w:hAnsi="Noto Sans" w:cs="Noto Sans"/>
                <w:color w:val="000000"/>
                <w:sz w:val="24"/>
                <w:szCs w:val="24"/>
              </w:rPr>
              <w:t xml:space="preserve"> possible)</w:t>
            </w:r>
          </w:p>
        </w:tc>
        <w:tc>
          <w:tcPr>
            <w:tcW w:w="3537" w:type="dxa"/>
          </w:tcPr>
          <w:p w14:paraId="6D4582CB" w14:textId="77777777" w:rsidR="008E64C0" w:rsidRPr="00CA455D" w:rsidRDefault="008E64C0" w:rsidP="005B5C87">
            <w:pPr>
              <w:pStyle w:val="TableTex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 xml:space="preserve">QGTM Part 10 – </w:t>
            </w:r>
            <w:r w:rsidRPr="00CA455D">
              <w:rPr>
                <w:rFonts w:ascii="Noto Sans" w:hAnsi="Noto Sans" w:cs="Noto Sans"/>
                <w:i/>
                <w:iCs/>
                <w:color w:val="000000"/>
                <w:sz w:val="24"/>
              </w:rPr>
              <w:t>Physical separation devices for protected bicycle lanes and cycle tracks guideline</w:t>
            </w:r>
          </w:p>
        </w:tc>
      </w:tr>
      <w:tr w:rsidR="006B4C1E" w:rsidRPr="00CA455D" w14:paraId="059C0A9B" w14:textId="77777777" w:rsidTr="00452DB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057D5794" w14:textId="77777777" w:rsidR="008E64C0" w:rsidRPr="00CA455D" w:rsidRDefault="008E64C0" w:rsidP="005B5C87">
            <w:pPr>
              <w:pStyle w:val="TableText"/>
              <w:rPr>
                <w:rFonts w:ascii="Noto Sans" w:hAnsi="Noto Sans" w:cs="Noto Sans"/>
                <w:color w:val="000000"/>
                <w:sz w:val="24"/>
                <w:szCs w:val="24"/>
              </w:rPr>
            </w:pPr>
            <w:r w:rsidRPr="00CA455D">
              <w:rPr>
                <w:rFonts w:ascii="Noto Sans" w:hAnsi="Noto Sans" w:cs="Noto Sans"/>
                <w:color w:val="000000"/>
                <w:sz w:val="24"/>
                <w:szCs w:val="24"/>
              </w:rPr>
              <w:t>60 km/h or 70 km/h</w:t>
            </w:r>
          </w:p>
        </w:tc>
        <w:tc>
          <w:tcPr>
            <w:tcW w:w="4111" w:type="dxa"/>
          </w:tcPr>
          <w:p w14:paraId="34957E44" w14:textId="77777777" w:rsidR="008E64C0" w:rsidRPr="00CA455D" w:rsidRDefault="008E64C0" w:rsidP="005B5C87">
            <w:pPr>
              <w:pStyle w:val="TableTex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2.0 m with physical separation</w:t>
            </w:r>
          </w:p>
        </w:tc>
        <w:tc>
          <w:tcPr>
            <w:tcW w:w="3537" w:type="dxa"/>
          </w:tcPr>
          <w:p w14:paraId="6619C4B4" w14:textId="77777777" w:rsidR="008E64C0" w:rsidRPr="00CA455D" w:rsidRDefault="008E64C0" w:rsidP="005B5C87">
            <w:pPr>
              <w:pStyle w:val="TableText"/>
              <w:cnfStyle w:val="000000100000" w:firstRow="0" w:lastRow="0" w:firstColumn="0" w:lastColumn="0" w:oddVBand="0" w:evenVBand="0" w:oddHBand="1"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 xml:space="preserve">QGTM Part 10 – </w:t>
            </w:r>
            <w:r w:rsidRPr="00CA455D">
              <w:rPr>
                <w:rFonts w:ascii="Noto Sans" w:hAnsi="Noto Sans" w:cs="Noto Sans"/>
                <w:i/>
                <w:iCs/>
                <w:color w:val="000000"/>
                <w:sz w:val="24"/>
              </w:rPr>
              <w:t>Physical separation devices for protected bicycle lanes and cycle tracks guideline</w:t>
            </w:r>
          </w:p>
        </w:tc>
      </w:tr>
      <w:tr w:rsidR="006B4C1E" w:rsidRPr="00CA455D" w14:paraId="32C4CE79" w14:textId="77777777" w:rsidTr="00452DBC">
        <w:tc>
          <w:tcPr>
            <w:cnfStyle w:val="001000000000" w:firstRow="0" w:lastRow="0" w:firstColumn="1" w:lastColumn="0" w:oddVBand="0" w:evenVBand="0" w:oddHBand="0" w:evenHBand="0" w:firstRowFirstColumn="0" w:firstRowLastColumn="0" w:lastRowFirstColumn="0" w:lastRowLastColumn="0"/>
            <w:tcW w:w="1980" w:type="dxa"/>
          </w:tcPr>
          <w:p w14:paraId="4E4F8E49" w14:textId="77777777" w:rsidR="008E64C0" w:rsidRPr="00CA455D" w:rsidRDefault="008E64C0" w:rsidP="005B5C87">
            <w:pPr>
              <w:pStyle w:val="TableText"/>
              <w:rPr>
                <w:rFonts w:ascii="Noto Sans" w:hAnsi="Noto Sans" w:cs="Noto Sans"/>
                <w:color w:val="000000"/>
                <w:sz w:val="24"/>
                <w:szCs w:val="24"/>
              </w:rPr>
            </w:pPr>
            <w:r w:rsidRPr="00CA455D">
              <w:rPr>
                <w:rFonts w:ascii="Noto Sans" w:hAnsi="Noto Sans" w:cs="Noto Sans"/>
                <w:color w:val="000000"/>
                <w:sz w:val="24"/>
                <w:szCs w:val="24"/>
              </w:rPr>
              <w:t>80 km/h or higher</w:t>
            </w:r>
          </w:p>
        </w:tc>
        <w:tc>
          <w:tcPr>
            <w:tcW w:w="4111" w:type="dxa"/>
          </w:tcPr>
          <w:p w14:paraId="5D126647" w14:textId="77777777" w:rsidR="008E64C0" w:rsidRPr="00CA455D" w:rsidRDefault="008E64C0" w:rsidP="005B5C87">
            <w:pPr>
              <w:pStyle w:val="TableTex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2.0 m with physical separation, or bike path (separated bikeway)</w:t>
            </w:r>
          </w:p>
        </w:tc>
        <w:tc>
          <w:tcPr>
            <w:tcW w:w="3537" w:type="dxa"/>
          </w:tcPr>
          <w:p w14:paraId="25EA90E1" w14:textId="77777777" w:rsidR="008E64C0" w:rsidRPr="00CA455D" w:rsidRDefault="008E64C0" w:rsidP="005B5C87">
            <w:pPr>
              <w:pStyle w:val="TableText"/>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4"/>
                <w:szCs w:val="24"/>
              </w:rPr>
            </w:pPr>
            <w:r w:rsidRPr="00CA455D">
              <w:rPr>
                <w:rFonts w:ascii="Noto Sans" w:hAnsi="Noto Sans" w:cs="Noto Sans"/>
                <w:color w:val="000000"/>
                <w:sz w:val="24"/>
                <w:szCs w:val="24"/>
              </w:rPr>
              <w:t xml:space="preserve">QGTM Part 10 – </w:t>
            </w:r>
            <w:r w:rsidRPr="00CA455D">
              <w:rPr>
                <w:rFonts w:ascii="Noto Sans" w:hAnsi="Noto Sans" w:cs="Noto Sans"/>
                <w:i/>
                <w:iCs/>
                <w:color w:val="000000"/>
                <w:sz w:val="24"/>
              </w:rPr>
              <w:t>Physical separation devices for protected bicycle lanes and cycle tracks guideline</w:t>
            </w:r>
          </w:p>
        </w:tc>
      </w:tr>
    </w:tbl>
    <w:p w14:paraId="67D7574E"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452DBC">
        <w:rPr>
          <w:rFonts w:ascii="Noto Sans" w:eastAsiaTheme="minorHAnsi" w:hAnsi="Noto Sans" w:cs="Noto Sans"/>
          <w:b/>
          <w:bCs/>
          <w:color w:val="000000"/>
          <w:sz w:val="24"/>
          <w:szCs w:val="22"/>
          <w:lang w:eastAsia="en-US"/>
        </w:rPr>
        <w:t>Note 1:</w:t>
      </w:r>
      <w:r w:rsidRPr="00CA455D">
        <w:rPr>
          <w:rFonts w:ascii="Noto Sans" w:eastAsiaTheme="minorHAnsi" w:hAnsi="Noto Sans" w:cs="Noto Sans"/>
          <w:color w:val="000000"/>
          <w:sz w:val="24"/>
          <w:szCs w:val="22"/>
          <w:lang w:eastAsia="en-US"/>
        </w:rPr>
        <w:t xml:space="preserve"> At localised constrictions/constraints, or </w:t>
      </w:r>
      <w:proofErr w:type="gramStart"/>
      <w:r w:rsidRPr="00CA455D">
        <w:rPr>
          <w:rFonts w:ascii="Noto Sans" w:eastAsiaTheme="minorHAnsi" w:hAnsi="Noto Sans" w:cs="Noto Sans"/>
          <w:color w:val="000000"/>
          <w:sz w:val="24"/>
          <w:szCs w:val="22"/>
          <w:lang w:eastAsia="en-US"/>
        </w:rPr>
        <w:t>where</w:t>
      </w:r>
      <w:proofErr w:type="gramEnd"/>
      <w:r w:rsidRPr="00CA455D">
        <w:rPr>
          <w:rFonts w:ascii="Noto Sans" w:eastAsiaTheme="minorHAnsi" w:hAnsi="Noto Sans" w:cs="Noto Sans"/>
          <w:color w:val="000000"/>
          <w:sz w:val="24"/>
          <w:szCs w:val="22"/>
          <w:lang w:eastAsia="en-US"/>
        </w:rPr>
        <w:t xml:space="preserve"> justified in constrained areas, narrower facility width/s are to be determined in accordance with TMR’s </w:t>
      </w:r>
      <w:r w:rsidRPr="00CA455D">
        <w:rPr>
          <w:rFonts w:ascii="Noto Sans" w:eastAsiaTheme="minorHAnsi" w:hAnsi="Noto Sans" w:cs="Noto Sans"/>
          <w:i/>
          <w:iCs/>
          <w:color w:val="000000"/>
          <w:sz w:val="24"/>
          <w:szCs w:val="22"/>
          <w:lang w:eastAsia="en-US"/>
        </w:rPr>
        <w:t xml:space="preserve">Selection and design of cycle tracks </w:t>
      </w:r>
      <w:r w:rsidRPr="00CA455D">
        <w:rPr>
          <w:rFonts w:ascii="Noto Sans" w:eastAsiaTheme="minorHAnsi" w:hAnsi="Noto Sans" w:cs="Noto Sans"/>
          <w:color w:val="000000"/>
          <w:sz w:val="24"/>
          <w:szCs w:val="22"/>
          <w:lang w:eastAsia="en-US"/>
        </w:rPr>
        <w:t>guideline.</w:t>
      </w:r>
    </w:p>
    <w:p w14:paraId="4B3D282C" w14:textId="77777777" w:rsidR="008E64C0" w:rsidRPr="00CA455D" w:rsidRDefault="008E64C0" w:rsidP="008E64C0">
      <w:pPr>
        <w:pStyle w:val="BodyText"/>
        <w:spacing w:before="0" w:after="0" w:line="320" w:lineRule="atLeast"/>
        <w:rPr>
          <w:rFonts w:ascii="Noto Sans" w:eastAsiaTheme="minorHAnsi" w:hAnsi="Noto Sans" w:cs="Noto Sans"/>
          <w:color w:val="000000"/>
          <w:sz w:val="24"/>
          <w:szCs w:val="22"/>
          <w:lang w:eastAsia="en-US"/>
        </w:rPr>
      </w:pPr>
      <w:r w:rsidRPr="00452DBC">
        <w:rPr>
          <w:rFonts w:ascii="Noto Sans" w:eastAsiaTheme="minorHAnsi" w:hAnsi="Noto Sans" w:cs="Noto Sans"/>
          <w:b/>
          <w:bCs/>
          <w:color w:val="000000"/>
          <w:sz w:val="24"/>
          <w:szCs w:val="22"/>
          <w:lang w:eastAsia="en-US"/>
        </w:rPr>
        <w:t>Note 2:</w:t>
      </w:r>
      <w:r w:rsidRPr="00CA455D">
        <w:rPr>
          <w:rFonts w:ascii="Noto Sans" w:eastAsiaTheme="minorHAnsi" w:hAnsi="Noto Sans" w:cs="Noto Sans"/>
          <w:color w:val="000000"/>
          <w:sz w:val="24"/>
          <w:szCs w:val="22"/>
          <w:lang w:eastAsia="en-US"/>
        </w:rPr>
        <w:t xml:space="preserve"> Along very low volume and constrained streets without on-street parking, physical separation may not be required. </w:t>
      </w:r>
    </w:p>
    <w:p w14:paraId="5E10274D" w14:textId="35530510" w:rsidR="00692703" w:rsidRPr="00452DBC" w:rsidRDefault="000134FE" w:rsidP="00EF6437">
      <w:pPr>
        <w:pStyle w:val="Heading2"/>
        <w:rPr>
          <w:rFonts w:ascii="Noto Sans" w:hAnsi="Noto Sans" w:cs="Noto Sans"/>
          <w:b/>
          <w:bCs/>
        </w:rPr>
      </w:pPr>
      <w:bookmarkStart w:id="20" w:name="_Toc211522570"/>
      <w:r w:rsidRPr="00452DBC">
        <w:rPr>
          <w:rFonts w:ascii="Noto Sans" w:hAnsi="Noto Sans" w:cs="Noto Sans"/>
          <w:b/>
          <w:bCs/>
        </w:rPr>
        <w:t>4.2</w:t>
      </w:r>
      <w:r w:rsidR="0046251B" w:rsidRPr="00452DBC">
        <w:rPr>
          <w:rFonts w:ascii="Noto Sans" w:hAnsi="Noto Sans" w:cs="Noto Sans"/>
          <w:b/>
          <w:bCs/>
        </w:rPr>
        <w:t xml:space="preserve"> </w:t>
      </w:r>
      <w:r w:rsidRPr="00452DBC">
        <w:rPr>
          <w:rFonts w:ascii="Noto Sans" w:hAnsi="Noto Sans" w:cs="Noto Sans"/>
          <w:b/>
          <w:bCs/>
        </w:rPr>
        <w:t>Bicycle lanes and on-street parking</w:t>
      </w:r>
      <w:bookmarkEnd w:id="20"/>
    </w:p>
    <w:p w14:paraId="6CB476CD"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bookmarkStart w:id="21" w:name="_Hlk167450673"/>
      <w:r w:rsidRPr="00CA455D">
        <w:rPr>
          <w:rFonts w:ascii="Noto Sans" w:eastAsiaTheme="minorHAnsi" w:hAnsi="Noto Sans" w:cs="Noto Sans"/>
          <w:color w:val="000000"/>
          <w:sz w:val="24"/>
          <w:szCs w:val="22"/>
          <w:lang w:eastAsia="en-US"/>
        </w:rPr>
        <w:t>When on-</w:t>
      </w:r>
      <w:proofErr w:type="gramStart"/>
      <w:r w:rsidRPr="00CA455D">
        <w:rPr>
          <w:rFonts w:ascii="Noto Sans" w:eastAsiaTheme="minorHAnsi" w:hAnsi="Noto Sans" w:cs="Noto Sans"/>
          <w:color w:val="000000"/>
          <w:sz w:val="24"/>
          <w:szCs w:val="22"/>
          <w:lang w:eastAsia="en-US"/>
        </w:rPr>
        <w:t>street car</w:t>
      </w:r>
      <w:proofErr w:type="gramEnd"/>
      <w:r w:rsidRPr="00CA455D">
        <w:rPr>
          <w:rFonts w:ascii="Noto Sans" w:eastAsiaTheme="minorHAnsi" w:hAnsi="Noto Sans" w:cs="Noto Sans"/>
          <w:color w:val="000000"/>
          <w:sz w:val="24"/>
          <w:szCs w:val="22"/>
          <w:lang w:eastAsia="en-US"/>
        </w:rPr>
        <w:t xml:space="preserve"> parking is reduced, arterial roads have improved safety and reduced motor vehicle congestion, and generally allow room for the separation of moving vehicular traffic from people riding.</w:t>
      </w:r>
      <w:bookmarkEnd w:id="21"/>
      <w:r w:rsidRPr="00CA455D">
        <w:rPr>
          <w:rFonts w:ascii="Noto Sans" w:eastAsiaTheme="minorHAnsi" w:hAnsi="Noto Sans" w:cs="Noto Sans"/>
          <w:color w:val="000000"/>
          <w:sz w:val="24"/>
          <w:szCs w:val="22"/>
          <w:lang w:eastAsia="en-US"/>
        </w:rPr>
        <w:t xml:space="preserve"> Furthermore, provision of additional paths and crossings enables parking in side roads and safe walking access to destinations.</w:t>
      </w:r>
    </w:p>
    <w:p w14:paraId="623E8CC8"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14ABCDAB"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Alternatively locating a separated bicycle lane kerbside with vehicle parking adjacent is an efficient method to protect people riding bikes from moving vehicular traffic. This lane configuration provides a safe full-time facility for people riding bikes, as well as enabling clearway operation and off-peak parking to provide for motor vehicle capacity when needed. For more detail refer TMR's </w:t>
      </w:r>
      <w:r w:rsidRPr="00CA455D">
        <w:rPr>
          <w:rFonts w:ascii="Noto Sans" w:eastAsiaTheme="minorHAnsi" w:hAnsi="Noto Sans" w:cs="Noto Sans"/>
          <w:i/>
          <w:iCs/>
          <w:color w:val="000000"/>
          <w:sz w:val="24"/>
          <w:szCs w:val="22"/>
          <w:lang w:eastAsia="en-US"/>
        </w:rPr>
        <w:t>Selection and design of cycle tracks</w:t>
      </w:r>
      <w:r w:rsidRPr="00CA455D">
        <w:rPr>
          <w:rFonts w:ascii="Noto Sans" w:eastAsiaTheme="minorHAnsi" w:hAnsi="Noto Sans" w:cs="Noto Sans"/>
          <w:color w:val="000000"/>
          <w:sz w:val="24"/>
          <w:szCs w:val="22"/>
          <w:lang w:eastAsia="en-US"/>
        </w:rPr>
        <w:t xml:space="preserve"> (Jul 2025) guideline and </w:t>
      </w:r>
      <w:r w:rsidRPr="00CA455D">
        <w:rPr>
          <w:rFonts w:ascii="Noto Sans" w:eastAsiaTheme="minorHAnsi" w:hAnsi="Noto Sans" w:cs="Noto Sans"/>
          <w:i/>
          <w:iCs/>
          <w:color w:val="000000"/>
          <w:sz w:val="24"/>
          <w:szCs w:val="22"/>
          <w:lang w:eastAsia="en-US"/>
        </w:rPr>
        <w:t xml:space="preserve">Figure 4.41 </w:t>
      </w:r>
      <w:r w:rsidRPr="00CA455D">
        <w:rPr>
          <w:rFonts w:ascii="Noto Sans" w:eastAsiaTheme="minorHAnsi" w:hAnsi="Noto Sans" w:cs="Noto Sans"/>
          <w:color w:val="000000"/>
          <w:sz w:val="24"/>
          <w:szCs w:val="22"/>
          <w:lang w:eastAsia="en-US"/>
        </w:rPr>
        <w:t xml:space="preserve">in Austroads' </w:t>
      </w:r>
      <w:r w:rsidRPr="00CA455D">
        <w:rPr>
          <w:rFonts w:ascii="Noto Sans" w:eastAsiaTheme="minorHAnsi" w:hAnsi="Noto Sans" w:cs="Noto Sans"/>
          <w:i/>
          <w:iCs/>
          <w:color w:val="000000"/>
          <w:sz w:val="24"/>
          <w:szCs w:val="22"/>
          <w:lang w:eastAsia="en-US"/>
        </w:rPr>
        <w:t xml:space="preserve">Guide to Road Design Part 3: Geometric Design </w:t>
      </w:r>
      <w:r w:rsidRPr="00CA455D">
        <w:rPr>
          <w:rFonts w:ascii="Noto Sans" w:eastAsiaTheme="minorHAnsi" w:hAnsi="Noto Sans" w:cs="Noto Sans"/>
          <w:color w:val="000000"/>
          <w:sz w:val="24"/>
          <w:szCs w:val="22"/>
          <w:lang w:eastAsia="en-US"/>
        </w:rPr>
        <w:t>(Feb 2021).</w:t>
      </w:r>
    </w:p>
    <w:p w14:paraId="559AD55A" w14:textId="16992BF7" w:rsidR="000134FE" w:rsidRPr="00452DBC" w:rsidRDefault="000134FE" w:rsidP="00EF6437">
      <w:pPr>
        <w:pStyle w:val="Heading2"/>
        <w:rPr>
          <w:rFonts w:ascii="Noto Sans" w:hAnsi="Noto Sans" w:cs="Noto Sans"/>
          <w:b/>
          <w:bCs/>
        </w:rPr>
      </w:pPr>
      <w:bookmarkStart w:id="22" w:name="_Toc198897203"/>
      <w:bookmarkStart w:id="23" w:name="_Toc211522571"/>
      <w:r w:rsidRPr="00452DBC">
        <w:rPr>
          <w:rFonts w:ascii="Noto Sans" w:hAnsi="Noto Sans" w:cs="Noto Sans"/>
          <w:b/>
          <w:bCs/>
        </w:rPr>
        <w:lastRenderedPageBreak/>
        <w:t>4.3</w:t>
      </w:r>
      <w:r w:rsidR="0046251B" w:rsidRPr="00452DBC">
        <w:rPr>
          <w:rFonts w:ascii="Noto Sans" w:hAnsi="Noto Sans" w:cs="Noto Sans"/>
          <w:b/>
          <w:bCs/>
        </w:rPr>
        <w:t xml:space="preserve"> </w:t>
      </w:r>
      <w:r w:rsidRPr="00452DBC">
        <w:rPr>
          <w:rFonts w:ascii="Noto Sans" w:hAnsi="Noto Sans" w:cs="Noto Sans"/>
          <w:b/>
          <w:bCs/>
        </w:rPr>
        <w:t>Intersections</w:t>
      </w:r>
      <w:bookmarkEnd w:id="22"/>
      <w:bookmarkEnd w:id="23"/>
    </w:p>
    <w:p w14:paraId="3191F852" w14:textId="0BAF2062"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ATIP priorities for providing for </w:t>
      </w:r>
      <w:r w:rsidR="00CA4F8B" w:rsidRPr="00CA455D">
        <w:rPr>
          <w:rFonts w:ascii="Noto Sans" w:eastAsiaTheme="minorHAnsi" w:hAnsi="Noto Sans" w:cs="Noto Sans"/>
          <w:color w:val="000000"/>
          <w:sz w:val="24"/>
          <w:szCs w:val="22"/>
          <w:lang w:eastAsia="en-US"/>
        </w:rPr>
        <w:t xml:space="preserve">pedestrians and </w:t>
      </w:r>
      <w:r w:rsidRPr="00CA455D">
        <w:rPr>
          <w:rFonts w:ascii="Noto Sans" w:eastAsiaTheme="minorHAnsi" w:hAnsi="Noto Sans" w:cs="Noto Sans"/>
          <w:color w:val="000000"/>
          <w:sz w:val="24"/>
          <w:szCs w:val="22"/>
          <w:lang w:eastAsia="en-US"/>
        </w:rPr>
        <w:t xml:space="preserve">bike riders at intersections are safety, directness and comfort. This is often addressed by providing priority for </w:t>
      </w:r>
      <w:r w:rsidR="00CA4F8B" w:rsidRPr="00CA455D">
        <w:rPr>
          <w:rFonts w:ascii="Noto Sans" w:eastAsiaTheme="minorHAnsi" w:hAnsi="Noto Sans" w:cs="Noto Sans"/>
          <w:color w:val="000000"/>
          <w:sz w:val="24"/>
          <w:szCs w:val="22"/>
          <w:lang w:eastAsia="en-US"/>
        </w:rPr>
        <w:t xml:space="preserve">people riding </w:t>
      </w:r>
      <w:r w:rsidRPr="00CA455D">
        <w:rPr>
          <w:rFonts w:ascii="Noto Sans" w:eastAsiaTheme="minorHAnsi" w:hAnsi="Noto Sans" w:cs="Noto Sans"/>
          <w:color w:val="000000"/>
          <w:sz w:val="24"/>
          <w:szCs w:val="22"/>
          <w:lang w:eastAsia="en-US"/>
        </w:rPr>
        <w:t>bi</w:t>
      </w:r>
      <w:r w:rsidR="00CA4F8B" w:rsidRPr="00CA455D">
        <w:rPr>
          <w:rFonts w:ascii="Noto Sans" w:eastAsiaTheme="minorHAnsi" w:hAnsi="Noto Sans" w:cs="Noto Sans"/>
          <w:color w:val="000000"/>
          <w:sz w:val="24"/>
          <w:szCs w:val="22"/>
          <w:lang w:eastAsia="en-US"/>
        </w:rPr>
        <w:t>kes</w:t>
      </w:r>
      <w:r w:rsidRPr="00CA455D">
        <w:rPr>
          <w:rFonts w:ascii="Noto Sans" w:eastAsiaTheme="minorHAnsi" w:hAnsi="Noto Sans" w:cs="Noto Sans"/>
          <w:color w:val="000000"/>
          <w:sz w:val="24"/>
          <w:szCs w:val="22"/>
          <w:lang w:eastAsia="en-US"/>
        </w:rPr>
        <w:t xml:space="preserve"> riders and pedestrians at intersections. </w:t>
      </w:r>
    </w:p>
    <w:p w14:paraId="47F03DF3" w14:textId="7FADF510"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66857D26" w14:textId="30D53DBB"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Designing to ensure appropriate vehicle speeds so that people are not exposed to crash forces that would lead to fatal and serious injury outcomes is very important and is consistent with the Safe System approach. </w:t>
      </w:r>
    </w:p>
    <w:p w14:paraId="2A1F0DE5"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0464E409"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The following TMR guidelines should be referred to for further information:</w:t>
      </w:r>
    </w:p>
    <w:p w14:paraId="2D8CD894" w14:textId="77777777" w:rsidR="000134FE" w:rsidRPr="00CA455D" w:rsidRDefault="000134FE" w:rsidP="006D1AE9">
      <w:pPr>
        <w:pStyle w:val="BodyText"/>
        <w:numPr>
          <w:ilvl w:val="0"/>
          <w:numId w:val="9"/>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i/>
          <w:iCs/>
          <w:color w:val="000000"/>
          <w:sz w:val="24"/>
          <w:szCs w:val="22"/>
          <w:lang w:eastAsia="en-US"/>
        </w:rPr>
        <w:t xml:space="preserve">Selection and design of cycle tracks </w:t>
      </w:r>
      <w:r w:rsidRPr="00CA455D">
        <w:rPr>
          <w:rFonts w:ascii="Noto Sans" w:eastAsiaTheme="minorHAnsi" w:hAnsi="Noto Sans" w:cs="Noto Sans"/>
          <w:color w:val="000000"/>
          <w:sz w:val="24"/>
          <w:szCs w:val="22"/>
          <w:lang w:eastAsia="en-US"/>
        </w:rPr>
        <w:t xml:space="preserve">(Jul 2025), Section 4 provides comprehensive guidance on a variety of intersection treatments. </w:t>
      </w:r>
    </w:p>
    <w:p w14:paraId="0F5D7F29" w14:textId="77777777" w:rsidR="000134FE" w:rsidRPr="00CA455D" w:rsidRDefault="000134FE" w:rsidP="006D1AE9">
      <w:pPr>
        <w:pStyle w:val="BodyText"/>
        <w:numPr>
          <w:ilvl w:val="0"/>
          <w:numId w:val="9"/>
        </w:numPr>
        <w:spacing w:before="0" w:after="0" w:line="320" w:lineRule="atLeast"/>
        <w:rPr>
          <w:rFonts w:ascii="Noto Sans" w:eastAsiaTheme="minorHAnsi" w:hAnsi="Noto Sans" w:cs="Noto Sans"/>
          <w:color w:val="000000"/>
          <w:sz w:val="24"/>
          <w:szCs w:val="22"/>
          <w:lang w:eastAsia="en-US"/>
        </w:rPr>
      </w:pPr>
      <w:bookmarkStart w:id="24" w:name="_Hlk196294307"/>
      <w:r w:rsidRPr="00CA455D">
        <w:rPr>
          <w:rFonts w:ascii="Noto Sans" w:eastAsiaTheme="minorHAnsi" w:hAnsi="Noto Sans" w:cs="Noto Sans"/>
          <w:i/>
          <w:iCs/>
          <w:color w:val="000000"/>
          <w:sz w:val="24"/>
          <w:szCs w:val="22"/>
          <w:lang w:eastAsia="en-US"/>
        </w:rPr>
        <w:t>Raised priority crossings for pedestrians and cycle paths</w:t>
      </w:r>
      <w:r w:rsidRPr="00CA455D">
        <w:rPr>
          <w:rFonts w:ascii="Noto Sans" w:eastAsiaTheme="minorHAnsi" w:hAnsi="Noto Sans" w:cs="Noto Sans"/>
          <w:color w:val="000000"/>
          <w:sz w:val="24"/>
          <w:szCs w:val="22"/>
          <w:lang w:eastAsia="en-US"/>
        </w:rPr>
        <w:t xml:space="preserve"> (Sep 2025)</w:t>
      </w:r>
      <w:bookmarkEnd w:id="24"/>
      <w:r w:rsidRPr="00CA455D">
        <w:rPr>
          <w:rFonts w:ascii="Noto Sans" w:eastAsiaTheme="minorHAnsi" w:hAnsi="Noto Sans" w:cs="Noto Sans"/>
          <w:color w:val="000000"/>
          <w:sz w:val="24"/>
          <w:szCs w:val="22"/>
          <w:lang w:eastAsia="en-US"/>
        </w:rPr>
        <w:t xml:space="preserve"> provides guidance for shared path crossings at side roads, roundabouts, and slip lanes. Furthermore, in locations of high demand, near key destinations or with a </w:t>
      </w:r>
      <w:proofErr w:type="gramStart"/>
      <w:r w:rsidRPr="00CA455D">
        <w:rPr>
          <w:rFonts w:ascii="Noto Sans" w:eastAsiaTheme="minorHAnsi" w:hAnsi="Noto Sans" w:cs="Noto Sans"/>
          <w:color w:val="000000"/>
          <w:sz w:val="24"/>
          <w:szCs w:val="22"/>
          <w:lang w:eastAsia="en-US"/>
        </w:rPr>
        <w:t>high-proportion</w:t>
      </w:r>
      <w:proofErr w:type="gramEnd"/>
      <w:r w:rsidRPr="00CA455D">
        <w:rPr>
          <w:rFonts w:ascii="Noto Sans" w:eastAsiaTheme="minorHAnsi" w:hAnsi="Noto Sans" w:cs="Noto Sans"/>
          <w:color w:val="000000"/>
          <w:sz w:val="24"/>
          <w:szCs w:val="22"/>
          <w:lang w:eastAsia="en-US"/>
        </w:rPr>
        <w:t xml:space="preserve"> of vulnerable users (such as children), raised priority crossings should be considered to maintain priority for those walking and riding.</w:t>
      </w:r>
    </w:p>
    <w:p w14:paraId="10E3EFC2" w14:textId="77777777" w:rsidR="000134FE" w:rsidRPr="00CA455D" w:rsidRDefault="000134FE" w:rsidP="006D1AE9">
      <w:pPr>
        <w:pStyle w:val="BodyText"/>
        <w:numPr>
          <w:ilvl w:val="0"/>
          <w:numId w:val="9"/>
        </w:numPr>
        <w:spacing w:before="0" w:after="0" w:line="320" w:lineRule="atLeast"/>
        <w:rPr>
          <w:rFonts w:ascii="Noto Sans" w:eastAsiaTheme="minorHAnsi" w:hAnsi="Noto Sans" w:cs="Noto Sans"/>
          <w:color w:val="000000"/>
          <w:sz w:val="24"/>
          <w:szCs w:val="22"/>
          <w:lang w:eastAsia="en-US"/>
        </w:rPr>
      </w:pPr>
      <w:bookmarkStart w:id="25" w:name="_Hlk196294395"/>
      <w:r w:rsidRPr="00CA455D">
        <w:rPr>
          <w:rFonts w:ascii="Noto Sans" w:eastAsiaTheme="minorHAnsi" w:hAnsi="Noto Sans" w:cs="Noto Sans"/>
          <w:color w:val="000000"/>
          <w:sz w:val="24"/>
          <w:szCs w:val="22"/>
          <w:lang w:eastAsia="en-US"/>
        </w:rPr>
        <w:t xml:space="preserve">RPDM Edition 2 Volume 3 </w:t>
      </w:r>
      <w:r w:rsidRPr="00CA455D">
        <w:rPr>
          <w:rFonts w:ascii="Noto Sans" w:eastAsiaTheme="minorHAnsi" w:hAnsi="Noto Sans" w:cs="Noto Sans"/>
          <w:i/>
          <w:iCs/>
          <w:color w:val="000000"/>
          <w:sz w:val="24"/>
          <w:szCs w:val="22"/>
          <w:lang w:eastAsia="en-US"/>
        </w:rPr>
        <w:t>Supplement to Austroads Guide to Road Design Part 4B: Roundabouts (Jul 2025)</w:t>
      </w:r>
      <w:bookmarkEnd w:id="25"/>
      <w:r w:rsidRPr="00CA455D">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i/>
          <w:iCs/>
          <w:color w:val="000000"/>
          <w:sz w:val="24"/>
          <w:szCs w:val="22"/>
          <w:lang w:eastAsia="en-US"/>
        </w:rPr>
        <w:t>Section 5</w:t>
      </w:r>
      <w:r w:rsidRPr="00CA455D">
        <w:rPr>
          <w:rFonts w:ascii="Noto Sans" w:eastAsiaTheme="minorHAnsi" w:hAnsi="Noto Sans" w:cs="Noto Sans"/>
          <w:color w:val="000000"/>
          <w:sz w:val="24"/>
          <w:szCs w:val="22"/>
          <w:lang w:eastAsia="en-US"/>
        </w:rPr>
        <w:t xml:space="preserve"> provides further guidance for treatment/s at roundabouts (as does the </w:t>
      </w:r>
      <w:bookmarkStart w:id="26" w:name="_Hlk196294508"/>
      <w:r w:rsidRPr="00CA455D">
        <w:rPr>
          <w:rFonts w:ascii="Noto Sans" w:eastAsiaTheme="minorHAnsi" w:hAnsi="Noto Sans" w:cs="Noto Sans"/>
          <w:i/>
          <w:iCs/>
          <w:color w:val="000000"/>
          <w:sz w:val="24"/>
          <w:szCs w:val="22"/>
          <w:lang w:eastAsia="en-US"/>
        </w:rPr>
        <w:t>Providing for People Walking and Riding at Roundabouts guideline</w:t>
      </w:r>
      <w:r w:rsidRPr="00CA455D">
        <w:rPr>
          <w:rFonts w:ascii="Noto Sans" w:eastAsiaTheme="minorHAnsi" w:hAnsi="Noto Sans" w:cs="Noto Sans"/>
          <w:color w:val="000000"/>
          <w:sz w:val="24"/>
          <w:szCs w:val="22"/>
          <w:lang w:eastAsia="en-US"/>
        </w:rPr>
        <w:t>, Aug 2020</w:t>
      </w:r>
      <w:bookmarkEnd w:id="26"/>
      <w:r w:rsidRPr="00CA455D">
        <w:rPr>
          <w:rFonts w:ascii="Noto Sans" w:eastAsiaTheme="minorHAnsi" w:hAnsi="Noto Sans" w:cs="Noto Sans"/>
          <w:color w:val="000000"/>
          <w:sz w:val="24"/>
          <w:szCs w:val="22"/>
          <w:lang w:eastAsia="en-US"/>
        </w:rPr>
        <w:t>).</w:t>
      </w:r>
    </w:p>
    <w:p w14:paraId="1371B13B" w14:textId="77777777" w:rsidR="000134FE" w:rsidRPr="00CA455D" w:rsidRDefault="000134FE" w:rsidP="006D1AE9">
      <w:pPr>
        <w:pStyle w:val="BodyText"/>
        <w:numPr>
          <w:ilvl w:val="0"/>
          <w:numId w:val="9"/>
        </w:numPr>
        <w:spacing w:before="0" w:after="0" w:line="320" w:lineRule="atLeast"/>
        <w:rPr>
          <w:rFonts w:ascii="Noto Sans" w:eastAsiaTheme="minorHAnsi" w:hAnsi="Noto Sans" w:cs="Noto Sans"/>
          <w:color w:val="000000"/>
          <w:sz w:val="24"/>
          <w:szCs w:val="22"/>
          <w:lang w:eastAsia="en-US"/>
        </w:rPr>
      </w:pPr>
      <w:hyperlink r:id="rId21" w:history="1">
        <w:r w:rsidRPr="00CA455D">
          <w:rPr>
            <w:rStyle w:val="Hyperlink"/>
            <w:rFonts w:ascii="Noto Sans" w:hAnsi="Noto Sans" w:cs="Noto Sans"/>
            <w:sz w:val="24"/>
          </w:rPr>
          <w:t>https://www.tmr.qld.gov.au/Safety/Road-safety/Road-Safety-Policy</w:t>
        </w:r>
      </w:hyperlink>
      <w:r w:rsidRPr="00CA455D">
        <w:rPr>
          <w:rFonts w:ascii="Noto Sans" w:eastAsiaTheme="minorHAnsi" w:hAnsi="Noto Sans" w:cs="Noto Sans"/>
          <w:sz w:val="24"/>
          <w:szCs w:val="22"/>
          <w:lang w:eastAsia="en-US"/>
        </w:rPr>
        <w:t>.</w:t>
      </w:r>
      <w:r w:rsidRPr="00CA455D">
        <w:rPr>
          <w:rFonts w:ascii="Noto Sans" w:eastAsiaTheme="minorHAnsi" w:hAnsi="Noto Sans" w:cs="Noto Sans"/>
          <w:szCs w:val="22"/>
          <w:lang w:eastAsia="en-US"/>
        </w:rPr>
        <w:t xml:space="preserve"> </w:t>
      </w:r>
      <w:r w:rsidRPr="00CA455D">
        <w:rPr>
          <w:rFonts w:ascii="Noto Sans" w:eastAsiaTheme="minorHAnsi" w:hAnsi="Noto Sans" w:cs="Noto Sans"/>
          <w:color w:val="000000"/>
          <w:sz w:val="24"/>
          <w:szCs w:val="22"/>
          <w:lang w:eastAsia="en-US"/>
        </w:rPr>
        <w:t>Where slip lanes must be retained (removal preferred), wombat (raised zebra) crossings are expected to be installed, refer Section 2.6.3 in Raised priority crossings for pedestrians and cycle paths</w:t>
      </w:r>
      <w:r w:rsidRPr="00CA455D" w:rsidDel="00F61A57">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color w:val="000000"/>
          <w:sz w:val="24"/>
          <w:szCs w:val="22"/>
          <w:lang w:eastAsia="en-US"/>
        </w:rPr>
        <w:t xml:space="preserve">(Sept 2025) and </w:t>
      </w:r>
      <w:bookmarkStart w:id="27" w:name="_Hlk196294600"/>
      <w:r w:rsidRPr="00CA455D">
        <w:rPr>
          <w:rFonts w:ascii="Noto Sans" w:eastAsiaTheme="minorHAnsi" w:hAnsi="Noto Sans" w:cs="Noto Sans"/>
          <w:color w:val="000000"/>
          <w:sz w:val="24"/>
          <w:szCs w:val="22"/>
          <w:lang w:eastAsia="en-US"/>
        </w:rPr>
        <w:t xml:space="preserve">TMR's RPDM Edition 2 Volume 3 </w:t>
      </w:r>
      <w:r w:rsidRPr="00CA455D">
        <w:rPr>
          <w:rFonts w:ascii="Noto Sans" w:eastAsiaTheme="minorHAnsi" w:hAnsi="Noto Sans" w:cs="Noto Sans"/>
          <w:i/>
          <w:iCs/>
          <w:color w:val="000000"/>
          <w:sz w:val="24"/>
          <w:szCs w:val="22"/>
          <w:lang w:eastAsia="en-US"/>
        </w:rPr>
        <w:t>Supplement to AGRD Part 4</w:t>
      </w:r>
      <w:r w:rsidRPr="00CA455D">
        <w:rPr>
          <w:rFonts w:ascii="Noto Sans" w:eastAsiaTheme="minorHAnsi" w:hAnsi="Noto Sans" w:cs="Noto Sans"/>
          <w:color w:val="000000"/>
          <w:sz w:val="24"/>
          <w:szCs w:val="22"/>
          <w:lang w:eastAsia="en-US"/>
        </w:rPr>
        <w:t xml:space="preserve"> (Jul 2025)</w:t>
      </w:r>
      <w:bookmarkEnd w:id="27"/>
      <w:r w:rsidRPr="00CA455D">
        <w:rPr>
          <w:rFonts w:ascii="Noto Sans" w:eastAsiaTheme="minorHAnsi" w:hAnsi="Noto Sans" w:cs="Noto Sans"/>
          <w:color w:val="000000"/>
          <w:sz w:val="24"/>
          <w:szCs w:val="22"/>
          <w:lang w:eastAsia="en-US"/>
        </w:rPr>
        <w:t>. Treatments other than a wombat crossing which are proposed for ATIP funded projects will only be considered in exceptional circumstances with appropriate engineering justification.</w:t>
      </w:r>
    </w:p>
    <w:p w14:paraId="0BA8F06A"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6B1BCD06" w14:textId="587A150F"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Minimising changes in grade from verge/island level to road level and vice versa benefits all active transport users, including people with disabilities. Crossing solutions that remove the need for people to navigate kerb ramps (whilst providing an appropriate tactile cue, e.g. TGSI) are desirable for ATIP funded projects.</w:t>
      </w:r>
    </w:p>
    <w:p w14:paraId="393CCDEB" w14:textId="454A412F" w:rsidR="000134FE" w:rsidRPr="00452DBC" w:rsidRDefault="000134FE" w:rsidP="00EF6437">
      <w:pPr>
        <w:pStyle w:val="Heading2"/>
        <w:rPr>
          <w:rFonts w:ascii="Noto Sans" w:hAnsi="Noto Sans" w:cs="Noto Sans"/>
          <w:b/>
          <w:bCs/>
        </w:rPr>
      </w:pPr>
      <w:bookmarkStart w:id="28" w:name="_Toc211522572"/>
      <w:r w:rsidRPr="00452DBC">
        <w:rPr>
          <w:rFonts w:ascii="Noto Sans" w:hAnsi="Noto Sans" w:cs="Noto Sans"/>
          <w:b/>
          <w:bCs/>
        </w:rPr>
        <w:lastRenderedPageBreak/>
        <w:t>4.4</w:t>
      </w:r>
      <w:r w:rsidR="0046251B" w:rsidRPr="00452DBC">
        <w:rPr>
          <w:rFonts w:ascii="Noto Sans" w:hAnsi="Noto Sans" w:cs="Noto Sans"/>
          <w:b/>
          <w:bCs/>
        </w:rPr>
        <w:t xml:space="preserve"> </w:t>
      </w:r>
      <w:r w:rsidRPr="00452DBC">
        <w:rPr>
          <w:rFonts w:ascii="Noto Sans" w:hAnsi="Noto Sans" w:cs="Noto Sans"/>
          <w:b/>
          <w:bCs/>
        </w:rPr>
        <w:t>Drainage and utilities</w:t>
      </w:r>
      <w:bookmarkEnd w:id="28"/>
    </w:p>
    <w:p w14:paraId="29279A99"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Drainage is an essential design component to ensure road and path longevity and safety. Guidance relating to drainage design is covered in </w:t>
      </w:r>
      <w:bookmarkStart w:id="29" w:name="_Hlk196295627"/>
      <w:r w:rsidRPr="00CA455D">
        <w:rPr>
          <w:rFonts w:ascii="Noto Sans" w:eastAsiaTheme="minorHAnsi" w:hAnsi="Noto Sans" w:cs="Noto Sans"/>
          <w:color w:val="000000"/>
          <w:sz w:val="24"/>
          <w:szCs w:val="22"/>
          <w:lang w:eastAsia="en-US"/>
        </w:rPr>
        <w:t xml:space="preserve">TMR’s RPDM Edition 2 Volume 3 </w:t>
      </w:r>
      <w:r w:rsidRPr="00CA455D">
        <w:rPr>
          <w:rFonts w:ascii="Noto Sans" w:eastAsiaTheme="minorHAnsi" w:hAnsi="Noto Sans" w:cs="Noto Sans"/>
          <w:i/>
          <w:iCs/>
          <w:color w:val="000000"/>
          <w:sz w:val="24"/>
          <w:szCs w:val="22"/>
          <w:lang w:eastAsia="en-US"/>
        </w:rPr>
        <w:t>Supplement to AGRD Part 5</w:t>
      </w:r>
      <w:r w:rsidRPr="00CA455D">
        <w:rPr>
          <w:rFonts w:ascii="Noto Sans" w:eastAsiaTheme="minorHAnsi" w:hAnsi="Noto Sans" w:cs="Noto Sans"/>
          <w:color w:val="000000"/>
          <w:sz w:val="24"/>
          <w:szCs w:val="22"/>
          <w:lang w:eastAsia="en-US"/>
        </w:rPr>
        <w:t xml:space="preserve"> (Jan 2024), </w:t>
      </w:r>
      <w:r w:rsidRPr="00CA455D">
        <w:rPr>
          <w:rFonts w:ascii="Noto Sans" w:eastAsiaTheme="minorHAnsi" w:hAnsi="Noto Sans" w:cs="Noto Sans"/>
          <w:i/>
          <w:iCs/>
          <w:color w:val="000000"/>
          <w:sz w:val="24"/>
          <w:szCs w:val="22"/>
          <w:lang w:eastAsia="en-US"/>
        </w:rPr>
        <w:t>Part 5A</w:t>
      </w:r>
      <w:r w:rsidRPr="00CA455D">
        <w:rPr>
          <w:rFonts w:ascii="Noto Sans" w:eastAsiaTheme="minorHAnsi" w:hAnsi="Noto Sans" w:cs="Noto Sans"/>
          <w:color w:val="000000"/>
          <w:sz w:val="24"/>
          <w:szCs w:val="22"/>
          <w:lang w:eastAsia="en-US"/>
        </w:rPr>
        <w:t xml:space="preserve"> (Jan 2024), </w:t>
      </w:r>
      <w:r w:rsidRPr="00CA455D">
        <w:rPr>
          <w:rFonts w:ascii="Noto Sans" w:eastAsiaTheme="minorHAnsi" w:hAnsi="Noto Sans" w:cs="Noto Sans"/>
          <w:i/>
          <w:iCs/>
          <w:color w:val="000000"/>
          <w:sz w:val="24"/>
          <w:szCs w:val="22"/>
          <w:lang w:eastAsia="en-US"/>
        </w:rPr>
        <w:t>Part 5B</w:t>
      </w:r>
      <w:r w:rsidRPr="00CA455D">
        <w:rPr>
          <w:rFonts w:ascii="Noto Sans" w:eastAsiaTheme="minorHAnsi" w:hAnsi="Noto Sans" w:cs="Noto Sans"/>
          <w:color w:val="000000"/>
          <w:sz w:val="24"/>
          <w:szCs w:val="22"/>
          <w:lang w:eastAsia="en-US"/>
        </w:rPr>
        <w:t xml:space="preserve"> (Aug 2025) and </w:t>
      </w:r>
      <w:r w:rsidRPr="00CA455D">
        <w:rPr>
          <w:rFonts w:ascii="Noto Sans" w:eastAsiaTheme="minorHAnsi" w:hAnsi="Noto Sans" w:cs="Noto Sans"/>
          <w:i/>
          <w:iCs/>
          <w:color w:val="000000"/>
          <w:sz w:val="24"/>
          <w:szCs w:val="22"/>
          <w:lang w:eastAsia="en-US"/>
        </w:rPr>
        <w:t>Part 6A</w:t>
      </w:r>
      <w:r w:rsidRPr="00CA455D">
        <w:rPr>
          <w:rFonts w:ascii="Noto Sans" w:eastAsiaTheme="minorHAnsi" w:hAnsi="Noto Sans" w:cs="Noto Sans"/>
          <w:color w:val="000000"/>
          <w:sz w:val="24"/>
          <w:szCs w:val="22"/>
          <w:lang w:eastAsia="en-US"/>
        </w:rPr>
        <w:t xml:space="preserve"> (Jul 2025)</w:t>
      </w:r>
      <w:bookmarkEnd w:id="29"/>
      <w:r w:rsidRPr="00CA455D">
        <w:rPr>
          <w:rFonts w:ascii="Noto Sans" w:eastAsiaTheme="minorHAnsi" w:hAnsi="Noto Sans" w:cs="Noto Sans"/>
          <w:color w:val="000000"/>
          <w:sz w:val="24"/>
          <w:szCs w:val="22"/>
          <w:lang w:eastAsia="en-US"/>
        </w:rPr>
        <w:t>.</w:t>
      </w:r>
    </w:p>
    <w:p w14:paraId="6F62A8A2"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36EC52E0"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Field inlets, cross drainage and/or seepage management may need to be considered to prevent paths being submerged during rainfall and reduce collection of debris on the path, slip resistance issues and ongoing maintenance.</w:t>
      </w:r>
    </w:p>
    <w:p w14:paraId="23343750"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253ACD08"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Where transverse drainage may impact path user safety, flow depth and velocity checks should be undertaken at transverse drainage locations.</w:t>
      </w:r>
    </w:p>
    <w:p w14:paraId="5BD884FF"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1C73035B"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Where facilities are proposed adjacent to or within a drainage channel, special considerations for both the minor and major storm event are required – these will be considered by ATIP on a case-by-case basis as required.</w:t>
      </w:r>
    </w:p>
    <w:p w14:paraId="03546FF0"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5956EE4D"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Metal surfaces in the travelled way can be a slip resistance safety issue for people riding bikes. The ATIP suggests that covers located in the travelled way provide equivalent slip resistance to surrounding surfaces in all weather conditions and suggests the same be considered for covers within 1.0 m of the travelled way. Concrete infill covers are a good way to ensure durable slip resistance.</w:t>
      </w:r>
    </w:p>
    <w:p w14:paraId="7700EEF1"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79DB84C4"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Drain grates and utility covers should comply with </w:t>
      </w:r>
      <w:bookmarkStart w:id="30" w:name="_Hlk196295814"/>
      <w:r w:rsidRPr="00CA455D">
        <w:rPr>
          <w:rFonts w:ascii="Noto Sans" w:eastAsiaTheme="minorHAnsi" w:hAnsi="Noto Sans" w:cs="Noto Sans"/>
          <w:i/>
          <w:iCs/>
          <w:color w:val="000000"/>
          <w:sz w:val="24"/>
          <w:szCs w:val="22"/>
          <w:lang w:eastAsia="en-US"/>
        </w:rPr>
        <w:t>Australian Standard 3996 Access Covers and Grates</w:t>
      </w:r>
      <w:bookmarkEnd w:id="30"/>
      <w:r w:rsidRPr="00CA455D">
        <w:rPr>
          <w:rFonts w:ascii="Noto Sans" w:eastAsiaTheme="minorHAnsi" w:hAnsi="Noto Sans" w:cs="Noto Sans"/>
          <w:i/>
          <w:iCs/>
          <w:color w:val="000000"/>
          <w:sz w:val="24"/>
          <w:szCs w:val="22"/>
          <w:lang w:eastAsia="en-US"/>
        </w:rPr>
        <w:t xml:space="preserve"> </w:t>
      </w:r>
      <w:r w:rsidRPr="00CA455D">
        <w:rPr>
          <w:rFonts w:ascii="Noto Sans" w:eastAsiaTheme="minorHAnsi" w:hAnsi="Noto Sans" w:cs="Noto Sans"/>
          <w:color w:val="000000"/>
          <w:sz w:val="24"/>
          <w:szCs w:val="22"/>
          <w:lang w:eastAsia="en-US"/>
        </w:rPr>
        <w:t>and non-compliant gully grates should be replaced.</w:t>
      </w:r>
    </w:p>
    <w:p w14:paraId="75813EB9"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7A503238"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Where possible, new gullies in urban areas should be recessed into the kerb to allow the grate to line up with the lip of channel (i.e. lip in line rather than kerb in line). Preferably recessed gullies will also not impact upon adjacent path width.  </w:t>
      </w:r>
    </w:p>
    <w:p w14:paraId="71A387A6"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p>
    <w:p w14:paraId="2997EE81" w14:textId="77777777" w:rsidR="000134FE" w:rsidRPr="00CA455D" w:rsidRDefault="000134FE" w:rsidP="000134FE">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Where bicycle lanes are retrofitted on streets with encroaching grates, adoption of minimum bicycle lane width as per Table 1, immediately adjacent the grate/s may be acceptable (bike/heel safe grate requirements remain, as applicable). Existing stormwater gullies could also be reconstructed to reduce grate interaction with the bicycle lane.</w:t>
      </w:r>
    </w:p>
    <w:p w14:paraId="46A6004B" w14:textId="401C0AB5" w:rsidR="00D61569" w:rsidRPr="0084760C" w:rsidRDefault="00901C93" w:rsidP="00901C93">
      <w:pPr>
        <w:pStyle w:val="Heading1"/>
        <w:rPr>
          <w:rFonts w:ascii="Noto Sans" w:hAnsi="Noto Sans" w:cs="Noto Sans"/>
          <w:b/>
          <w:bCs/>
          <w:color w:val="005EB8"/>
        </w:rPr>
      </w:pPr>
      <w:bookmarkStart w:id="31" w:name="_Toc211522573"/>
      <w:r w:rsidRPr="0084760C">
        <w:rPr>
          <w:rFonts w:ascii="Noto Sans" w:hAnsi="Noto Sans" w:cs="Noto Sans"/>
          <w:b/>
          <w:bCs/>
          <w:color w:val="005EB8"/>
        </w:rPr>
        <w:lastRenderedPageBreak/>
        <w:t xml:space="preserve">5. </w:t>
      </w:r>
      <w:r w:rsidR="00D61569" w:rsidRPr="0084760C">
        <w:rPr>
          <w:rFonts w:ascii="Noto Sans" w:hAnsi="Noto Sans" w:cs="Noto Sans"/>
          <w:b/>
          <w:bCs/>
          <w:color w:val="005EB8"/>
        </w:rPr>
        <w:t>Off-road requirements</w:t>
      </w:r>
      <w:bookmarkEnd w:id="31"/>
    </w:p>
    <w:p w14:paraId="6966106A" w14:textId="538A40FB" w:rsidR="00D61569" w:rsidRPr="00452DBC" w:rsidRDefault="00D61569" w:rsidP="00D61569">
      <w:pPr>
        <w:pStyle w:val="Heading2"/>
        <w:rPr>
          <w:rFonts w:ascii="Noto Sans" w:hAnsi="Noto Sans" w:cs="Noto Sans"/>
          <w:b/>
          <w:bCs/>
        </w:rPr>
      </w:pPr>
      <w:bookmarkStart w:id="32" w:name="_Toc211522574"/>
      <w:r w:rsidRPr="00452DBC">
        <w:rPr>
          <w:rFonts w:ascii="Noto Sans" w:hAnsi="Noto Sans" w:cs="Noto Sans"/>
          <w:b/>
          <w:bCs/>
        </w:rPr>
        <w:t>5.1</w:t>
      </w:r>
      <w:r w:rsidR="0046251B" w:rsidRPr="00452DBC">
        <w:rPr>
          <w:rFonts w:ascii="Noto Sans" w:hAnsi="Noto Sans" w:cs="Noto Sans"/>
          <w:b/>
          <w:bCs/>
        </w:rPr>
        <w:t xml:space="preserve"> </w:t>
      </w:r>
      <w:r w:rsidRPr="00452DBC">
        <w:rPr>
          <w:rFonts w:ascii="Noto Sans" w:hAnsi="Noto Sans" w:cs="Noto Sans"/>
          <w:b/>
          <w:bCs/>
        </w:rPr>
        <w:t>Land use and path provision for walking</w:t>
      </w:r>
      <w:bookmarkEnd w:id="32"/>
    </w:p>
    <w:p w14:paraId="21F450F7" w14:textId="6FAC378C" w:rsidR="00D61569" w:rsidRPr="00CA455D" w:rsidRDefault="00D61569" w:rsidP="00D61569">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If the project is providing a path/s to fulfill a WNP only, refer to Table 2. </w:t>
      </w:r>
    </w:p>
    <w:p w14:paraId="34D2CF26" w14:textId="77777777" w:rsidR="00D61569" w:rsidRPr="00452DBC" w:rsidRDefault="00D61569" w:rsidP="00D61569">
      <w:pPr>
        <w:autoSpaceDE w:val="0"/>
        <w:autoSpaceDN w:val="0"/>
        <w:adjustRightInd w:val="0"/>
        <w:rPr>
          <w:rFonts w:ascii="Noto Sans" w:hAnsi="Noto Sans" w:cs="Noto Sans"/>
          <w:i/>
          <w:iCs/>
          <w:color w:val="000000"/>
          <w:vertAlign w:val="superscript"/>
        </w:rPr>
      </w:pPr>
      <w:r w:rsidRPr="00452DBC">
        <w:rPr>
          <w:rFonts w:ascii="Noto Sans" w:hAnsi="Noto Sans" w:cs="Noto Sans"/>
          <w:b/>
          <w:bCs/>
          <w:color w:val="000000"/>
        </w:rPr>
        <w:t xml:space="preserve">Table 2: Land use and recommended footpath provision for walking </w:t>
      </w:r>
      <w:r w:rsidRPr="00452DBC">
        <w:rPr>
          <w:rFonts w:ascii="Noto Sans" w:hAnsi="Noto Sans" w:cs="Noto Sans"/>
          <w:i/>
          <w:iCs/>
          <w:color w:val="000000"/>
          <w:vertAlign w:val="superscript"/>
        </w:rPr>
        <w:t>Note 3</w:t>
      </w:r>
    </w:p>
    <w:tbl>
      <w:tblPr>
        <w:tblStyle w:val="NavyTable"/>
        <w:tblW w:w="9673" w:type="dxa"/>
        <w:tblLook w:val="0620" w:firstRow="1" w:lastRow="0" w:firstColumn="0" w:lastColumn="0" w:noHBand="1" w:noVBand="1"/>
      </w:tblPr>
      <w:tblGrid>
        <w:gridCol w:w="2593"/>
        <w:gridCol w:w="1694"/>
        <w:gridCol w:w="1701"/>
        <w:gridCol w:w="1842"/>
        <w:gridCol w:w="1843"/>
      </w:tblGrid>
      <w:tr w:rsidR="00D61569" w:rsidRPr="00CA455D" w14:paraId="66B1799A" w14:textId="77777777" w:rsidTr="005B5C87">
        <w:trPr>
          <w:cnfStyle w:val="100000000000" w:firstRow="1" w:lastRow="0" w:firstColumn="0" w:lastColumn="0" w:oddVBand="0" w:evenVBand="0" w:oddHBand="0" w:evenHBand="0" w:firstRowFirstColumn="0" w:firstRowLastColumn="0" w:lastRowFirstColumn="0" w:lastRowLastColumn="0"/>
          <w:trHeight w:val="201"/>
        </w:trPr>
        <w:tc>
          <w:tcPr>
            <w:tcW w:w="2593" w:type="dxa"/>
          </w:tcPr>
          <w:p w14:paraId="1661C038" w14:textId="77777777" w:rsidR="00D61569" w:rsidRPr="00CA455D" w:rsidRDefault="00D61569" w:rsidP="00D61569">
            <w:pPr>
              <w:autoSpaceDE w:val="0"/>
              <w:autoSpaceDN w:val="0"/>
              <w:adjustRightInd w:val="0"/>
              <w:spacing w:before="60" w:after="60"/>
              <w:rPr>
                <w:rFonts w:ascii="Noto Sans" w:hAnsi="Noto Sans" w:cs="Noto Sans"/>
                <w:b/>
                <w:color w:val="FFFFFF" w:themeColor="accent6"/>
                <w:szCs w:val="18"/>
                <w:lang w:val="en-US"/>
              </w:rPr>
            </w:pPr>
            <w:r w:rsidRPr="00CA455D">
              <w:rPr>
                <w:rFonts w:ascii="Noto Sans" w:hAnsi="Noto Sans" w:cs="Noto Sans"/>
                <w:b/>
                <w:color w:val="FFFFFF" w:themeColor="accent6"/>
                <w:szCs w:val="18"/>
                <w:lang w:val="en-US"/>
              </w:rPr>
              <w:t>Land use</w:t>
            </w:r>
          </w:p>
          <w:p w14:paraId="3F17EEE6" w14:textId="77777777" w:rsidR="00D61569" w:rsidRPr="00CA455D" w:rsidRDefault="00D61569" w:rsidP="00D61569">
            <w:pPr>
              <w:autoSpaceDE w:val="0"/>
              <w:autoSpaceDN w:val="0"/>
              <w:adjustRightInd w:val="0"/>
              <w:spacing w:before="60" w:after="60"/>
              <w:rPr>
                <w:rFonts w:ascii="Noto Sans" w:hAnsi="Noto Sans" w:cs="Noto Sans"/>
                <w:b/>
                <w:bCs/>
                <w:color w:val="FFFFFF" w:themeColor="accent6"/>
                <w:szCs w:val="18"/>
                <w:lang w:val="en-US"/>
              </w:rPr>
            </w:pPr>
          </w:p>
        </w:tc>
        <w:tc>
          <w:tcPr>
            <w:tcW w:w="1694" w:type="dxa"/>
          </w:tcPr>
          <w:p w14:paraId="1434BD22" w14:textId="77777777" w:rsidR="00D61569" w:rsidRPr="00CA455D" w:rsidRDefault="00D61569" w:rsidP="00D61569">
            <w:pPr>
              <w:autoSpaceDE w:val="0"/>
              <w:autoSpaceDN w:val="0"/>
              <w:adjustRightInd w:val="0"/>
              <w:spacing w:before="60" w:after="60"/>
              <w:rPr>
                <w:rFonts w:ascii="Noto Sans" w:hAnsi="Noto Sans" w:cs="Noto Sans"/>
                <w:b/>
                <w:bCs/>
                <w:color w:val="FFFFFF" w:themeColor="accent6"/>
                <w:szCs w:val="18"/>
                <w:lang w:val="en-US"/>
              </w:rPr>
            </w:pPr>
            <w:r w:rsidRPr="00CA455D">
              <w:rPr>
                <w:rFonts w:ascii="Noto Sans" w:hAnsi="Noto Sans" w:cs="Noto Sans"/>
                <w:b/>
                <w:bCs/>
                <w:color w:val="FFFFFF" w:themeColor="accent6"/>
                <w:szCs w:val="18"/>
                <w:lang w:val="en-US"/>
              </w:rPr>
              <w:t xml:space="preserve">New roads – Preferred </w:t>
            </w:r>
          </w:p>
        </w:tc>
        <w:tc>
          <w:tcPr>
            <w:tcW w:w="1701" w:type="dxa"/>
          </w:tcPr>
          <w:p w14:paraId="46487115" w14:textId="77777777" w:rsidR="00D61569" w:rsidRPr="00CA455D" w:rsidRDefault="00D61569" w:rsidP="00D61569">
            <w:pPr>
              <w:autoSpaceDE w:val="0"/>
              <w:autoSpaceDN w:val="0"/>
              <w:adjustRightInd w:val="0"/>
              <w:spacing w:before="60" w:after="60"/>
              <w:rPr>
                <w:rFonts w:ascii="Noto Sans" w:hAnsi="Noto Sans" w:cs="Noto Sans"/>
                <w:b/>
                <w:bCs/>
                <w:color w:val="FFFFFF" w:themeColor="accent6"/>
                <w:szCs w:val="18"/>
                <w:lang w:val="en-US"/>
              </w:rPr>
            </w:pPr>
            <w:r w:rsidRPr="00CA455D">
              <w:rPr>
                <w:rFonts w:ascii="Noto Sans" w:hAnsi="Noto Sans" w:cs="Noto Sans"/>
                <w:b/>
                <w:bCs/>
                <w:color w:val="FFFFFF" w:themeColor="accent6"/>
                <w:szCs w:val="18"/>
                <w:lang w:val="en-US"/>
              </w:rPr>
              <w:t xml:space="preserve">New roads – Minimum </w:t>
            </w:r>
          </w:p>
        </w:tc>
        <w:tc>
          <w:tcPr>
            <w:tcW w:w="1842" w:type="dxa"/>
          </w:tcPr>
          <w:p w14:paraId="64270127" w14:textId="77777777" w:rsidR="00D61569" w:rsidRPr="00CA455D" w:rsidRDefault="00D61569" w:rsidP="00D61569">
            <w:pPr>
              <w:autoSpaceDE w:val="0"/>
              <w:autoSpaceDN w:val="0"/>
              <w:adjustRightInd w:val="0"/>
              <w:spacing w:before="60" w:after="60"/>
              <w:rPr>
                <w:rFonts w:ascii="Noto Sans" w:hAnsi="Noto Sans" w:cs="Noto Sans"/>
                <w:b/>
                <w:bCs/>
                <w:color w:val="FFFFFF" w:themeColor="accent6"/>
                <w:szCs w:val="18"/>
                <w:lang w:val="en-US"/>
              </w:rPr>
            </w:pPr>
            <w:r w:rsidRPr="00CA455D">
              <w:rPr>
                <w:rFonts w:ascii="Noto Sans" w:hAnsi="Noto Sans" w:cs="Noto Sans"/>
                <w:b/>
                <w:bCs/>
                <w:color w:val="FFFFFF" w:themeColor="accent6"/>
                <w:szCs w:val="18"/>
                <w:lang w:val="en-US"/>
              </w:rPr>
              <w:t xml:space="preserve">Existing roads – Preferred </w:t>
            </w:r>
          </w:p>
        </w:tc>
        <w:tc>
          <w:tcPr>
            <w:tcW w:w="1843" w:type="dxa"/>
          </w:tcPr>
          <w:p w14:paraId="47641CCB" w14:textId="77777777" w:rsidR="00D61569" w:rsidRPr="00CA455D" w:rsidRDefault="00D61569" w:rsidP="00D61569">
            <w:pPr>
              <w:autoSpaceDE w:val="0"/>
              <w:autoSpaceDN w:val="0"/>
              <w:adjustRightInd w:val="0"/>
              <w:spacing w:before="60" w:after="60"/>
              <w:rPr>
                <w:rFonts w:ascii="Noto Sans" w:hAnsi="Noto Sans" w:cs="Noto Sans"/>
                <w:b/>
                <w:bCs/>
                <w:color w:val="FFFFFF" w:themeColor="accent6"/>
                <w:szCs w:val="18"/>
                <w:lang w:val="en-US"/>
              </w:rPr>
            </w:pPr>
            <w:r w:rsidRPr="00CA455D">
              <w:rPr>
                <w:rFonts w:ascii="Noto Sans" w:hAnsi="Noto Sans" w:cs="Noto Sans"/>
                <w:b/>
                <w:bCs/>
                <w:color w:val="FFFFFF" w:themeColor="accent6"/>
                <w:szCs w:val="18"/>
                <w:lang w:val="en-US"/>
              </w:rPr>
              <w:t>Existing roads – Minimum</w:t>
            </w:r>
          </w:p>
        </w:tc>
      </w:tr>
      <w:tr w:rsidR="006B4C1E" w:rsidRPr="00CA455D" w14:paraId="5C111029" w14:textId="77777777" w:rsidTr="005B5C87">
        <w:tc>
          <w:tcPr>
            <w:tcW w:w="2593" w:type="dxa"/>
          </w:tcPr>
          <w:p w14:paraId="4192EB54"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Commercial and industrial</w:t>
            </w:r>
          </w:p>
        </w:tc>
        <w:tc>
          <w:tcPr>
            <w:tcW w:w="1694" w:type="dxa"/>
          </w:tcPr>
          <w:p w14:paraId="3C5ABBF3"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c>
          <w:tcPr>
            <w:tcW w:w="1701" w:type="dxa"/>
          </w:tcPr>
          <w:p w14:paraId="7FE92939"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c>
          <w:tcPr>
            <w:tcW w:w="1842" w:type="dxa"/>
          </w:tcPr>
          <w:p w14:paraId="2EDF68A5"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c>
          <w:tcPr>
            <w:tcW w:w="1843" w:type="dxa"/>
          </w:tcPr>
          <w:p w14:paraId="4BBE3C03"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r>
      <w:tr w:rsidR="006B4C1E" w:rsidRPr="00CA455D" w14:paraId="68EA056A" w14:textId="77777777" w:rsidTr="005B5C87">
        <w:tc>
          <w:tcPr>
            <w:tcW w:w="2593" w:type="dxa"/>
          </w:tcPr>
          <w:p w14:paraId="15A5E344"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Residential (on arterial or collector roads)</w:t>
            </w:r>
          </w:p>
        </w:tc>
        <w:tc>
          <w:tcPr>
            <w:tcW w:w="1694" w:type="dxa"/>
          </w:tcPr>
          <w:p w14:paraId="180C7089"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Both sides</w:t>
            </w:r>
          </w:p>
        </w:tc>
        <w:tc>
          <w:tcPr>
            <w:tcW w:w="1701" w:type="dxa"/>
          </w:tcPr>
          <w:p w14:paraId="30460087"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Both sides</w:t>
            </w:r>
          </w:p>
        </w:tc>
        <w:tc>
          <w:tcPr>
            <w:tcW w:w="1842" w:type="dxa"/>
          </w:tcPr>
          <w:p w14:paraId="088EFCD5"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c>
          <w:tcPr>
            <w:tcW w:w="1843" w:type="dxa"/>
          </w:tcPr>
          <w:p w14:paraId="70863D49"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r>
      <w:tr w:rsidR="006B4C1E" w:rsidRPr="00CA455D" w14:paraId="245411DD" w14:textId="77777777" w:rsidTr="005B5C87">
        <w:trPr>
          <w:trHeight w:val="306"/>
        </w:trPr>
        <w:tc>
          <w:tcPr>
            <w:tcW w:w="2593" w:type="dxa"/>
          </w:tcPr>
          <w:p w14:paraId="74DEA2EC"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Residential (on local streets)</w:t>
            </w:r>
          </w:p>
        </w:tc>
        <w:tc>
          <w:tcPr>
            <w:tcW w:w="1694" w:type="dxa"/>
          </w:tcPr>
          <w:p w14:paraId="1C1D3BC3"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Both sides</w:t>
            </w:r>
          </w:p>
        </w:tc>
        <w:tc>
          <w:tcPr>
            <w:tcW w:w="1701" w:type="dxa"/>
          </w:tcPr>
          <w:p w14:paraId="288A5D6A"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Both sides</w:t>
            </w:r>
          </w:p>
        </w:tc>
        <w:tc>
          <w:tcPr>
            <w:tcW w:w="1842" w:type="dxa"/>
          </w:tcPr>
          <w:p w14:paraId="5F2E807A"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Both sides</w:t>
            </w:r>
          </w:p>
        </w:tc>
        <w:tc>
          <w:tcPr>
            <w:tcW w:w="1843" w:type="dxa"/>
          </w:tcPr>
          <w:p w14:paraId="1603A16A"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One side</w:t>
            </w:r>
          </w:p>
        </w:tc>
      </w:tr>
      <w:tr w:rsidR="006B4C1E" w:rsidRPr="00CA455D" w14:paraId="7E2A6089" w14:textId="77777777" w:rsidTr="005B5C87">
        <w:trPr>
          <w:trHeight w:val="314"/>
        </w:trPr>
        <w:tc>
          <w:tcPr>
            <w:tcW w:w="2593" w:type="dxa"/>
          </w:tcPr>
          <w:p w14:paraId="483E0129"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Three to ten dwellings per hectare</w:t>
            </w:r>
          </w:p>
        </w:tc>
        <w:tc>
          <w:tcPr>
            <w:tcW w:w="1694" w:type="dxa"/>
          </w:tcPr>
          <w:p w14:paraId="0DBF4C60"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Both sides</w:t>
            </w:r>
          </w:p>
        </w:tc>
        <w:tc>
          <w:tcPr>
            <w:tcW w:w="1701" w:type="dxa"/>
          </w:tcPr>
          <w:p w14:paraId="7EE1C77A"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One side</w:t>
            </w:r>
          </w:p>
        </w:tc>
        <w:tc>
          <w:tcPr>
            <w:tcW w:w="1842" w:type="dxa"/>
          </w:tcPr>
          <w:p w14:paraId="36AE93E6"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One side</w:t>
            </w:r>
          </w:p>
        </w:tc>
        <w:tc>
          <w:tcPr>
            <w:tcW w:w="1843" w:type="dxa"/>
          </w:tcPr>
          <w:p w14:paraId="626CACB4"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Shoulders on both sides</w:t>
            </w:r>
          </w:p>
        </w:tc>
      </w:tr>
      <w:tr w:rsidR="006B4C1E" w:rsidRPr="00CA455D" w14:paraId="2255F00F" w14:textId="77777777" w:rsidTr="005B5C87">
        <w:tc>
          <w:tcPr>
            <w:tcW w:w="2593" w:type="dxa"/>
          </w:tcPr>
          <w:p w14:paraId="3AC65E3B"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 xml:space="preserve">Fewer than three dwellings per hectare </w:t>
            </w:r>
          </w:p>
        </w:tc>
        <w:tc>
          <w:tcPr>
            <w:tcW w:w="1694" w:type="dxa"/>
          </w:tcPr>
          <w:p w14:paraId="6719DE04"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One side</w:t>
            </w:r>
          </w:p>
        </w:tc>
        <w:tc>
          <w:tcPr>
            <w:tcW w:w="1701" w:type="dxa"/>
          </w:tcPr>
          <w:p w14:paraId="66671E76" w14:textId="77777777" w:rsidR="00D61569" w:rsidRPr="00CA455D" w:rsidRDefault="00D61569" w:rsidP="00D61569">
            <w:pPr>
              <w:autoSpaceDE w:val="0"/>
              <w:autoSpaceDN w:val="0"/>
              <w:adjustRightInd w:val="0"/>
              <w:spacing w:before="60" w:after="60"/>
              <w:rPr>
                <w:rFonts w:ascii="Noto Sans" w:hAnsi="Noto Sans" w:cs="Noto Sans"/>
                <w:b/>
                <w:bCs/>
                <w:color w:val="000000"/>
                <w:szCs w:val="18"/>
                <w:lang w:val="en-US"/>
              </w:rPr>
            </w:pPr>
            <w:r w:rsidRPr="00CA455D">
              <w:rPr>
                <w:rFonts w:ascii="Noto Sans" w:hAnsi="Noto Sans" w:cs="Noto Sans"/>
                <w:color w:val="000000"/>
                <w:szCs w:val="18"/>
                <w:lang w:val="en-US"/>
              </w:rPr>
              <w:t>Shoulders on both sides</w:t>
            </w:r>
          </w:p>
        </w:tc>
        <w:tc>
          <w:tcPr>
            <w:tcW w:w="1842" w:type="dxa"/>
          </w:tcPr>
          <w:p w14:paraId="1D087AFF"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One side</w:t>
            </w:r>
          </w:p>
        </w:tc>
        <w:tc>
          <w:tcPr>
            <w:tcW w:w="1843" w:type="dxa"/>
          </w:tcPr>
          <w:p w14:paraId="69635237" w14:textId="77777777" w:rsidR="00D61569" w:rsidRPr="00CA455D" w:rsidRDefault="00D61569" w:rsidP="00D61569">
            <w:pPr>
              <w:autoSpaceDE w:val="0"/>
              <w:autoSpaceDN w:val="0"/>
              <w:adjustRightInd w:val="0"/>
              <w:spacing w:before="60" w:after="60"/>
              <w:rPr>
                <w:rFonts w:ascii="Noto Sans" w:hAnsi="Noto Sans" w:cs="Noto Sans"/>
                <w:color w:val="000000"/>
                <w:szCs w:val="18"/>
                <w:lang w:val="en-US"/>
              </w:rPr>
            </w:pPr>
            <w:r w:rsidRPr="00CA455D">
              <w:rPr>
                <w:rFonts w:ascii="Noto Sans" w:hAnsi="Noto Sans" w:cs="Noto Sans"/>
                <w:color w:val="000000"/>
                <w:szCs w:val="18"/>
                <w:lang w:val="en-US"/>
              </w:rPr>
              <w:t>Shoulders on both sides</w:t>
            </w:r>
          </w:p>
        </w:tc>
      </w:tr>
    </w:tbl>
    <w:p w14:paraId="20EB7BFC" w14:textId="77777777" w:rsidR="00D61569" w:rsidRPr="00CA455D" w:rsidRDefault="00D61569" w:rsidP="00D61569">
      <w:pPr>
        <w:autoSpaceDE w:val="0"/>
        <w:autoSpaceDN w:val="0"/>
        <w:adjustRightInd w:val="0"/>
        <w:rPr>
          <w:rFonts w:ascii="Noto Sans" w:hAnsi="Noto Sans" w:cs="Noto Sans"/>
          <w:color w:val="000000"/>
          <w:szCs w:val="18"/>
        </w:rPr>
      </w:pPr>
      <w:r w:rsidRPr="00452DBC">
        <w:rPr>
          <w:rFonts w:ascii="Noto Sans" w:hAnsi="Noto Sans" w:cs="Noto Sans"/>
          <w:b/>
          <w:bCs/>
          <w:color w:val="000000"/>
          <w:szCs w:val="18"/>
        </w:rPr>
        <w:t>Note 3:</w:t>
      </w:r>
      <w:r w:rsidRPr="00CA455D">
        <w:rPr>
          <w:rFonts w:ascii="Noto Sans" w:hAnsi="Noto Sans" w:cs="Noto Sans"/>
          <w:color w:val="000000"/>
          <w:szCs w:val="18"/>
        </w:rPr>
        <w:t xml:space="preserve"> Based on </w:t>
      </w:r>
      <w:bookmarkStart w:id="33" w:name="_Hlk196297195"/>
      <w:r w:rsidRPr="00CA455D">
        <w:rPr>
          <w:rFonts w:ascii="Noto Sans" w:hAnsi="Noto Sans" w:cs="Noto Sans"/>
          <w:i/>
          <w:iCs/>
          <w:color w:val="000000"/>
          <w:szCs w:val="18"/>
        </w:rPr>
        <w:t>Table C1 2</w:t>
      </w:r>
      <w:r w:rsidRPr="00CA455D">
        <w:rPr>
          <w:rFonts w:ascii="Noto Sans" w:hAnsi="Noto Sans" w:cs="Noto Sans"/>
          <w:color w:val="000000"/>
          <w:szCs w:val="18"/>
        </w:rPr>
        <w:t xml:space="preserve"> in </w:t>
      </w:r>
      <w:bookmarkEnd w:id="33"/>
      <w:r w:rsidRPr="00CA455D">
        <w:rPr>
          <w:rFonts w:ascii="Noto Sans" w:hAnsi="Noto Sans" w:cs="Noto Sans"/>
          <w:color w:val="000000"/>
          <w:szCs w:val="18"/>
        </w:rPr>
        <w:t xml:space="preserve">Austroads </w:t>
      </w:r>
      <w:r w:rsidRPr="00CA455D">
        <w:rPr>
          <w:rFonts w:ascii="Noto Sans" w:hAnsi="Noto Sans" w:cs="Noto Sans"/>
          <w:i/>
          <w:iCs/>
          <w:color w:val="000000"/>
          <w:szCs w:val="18"/>
        </w:rPr>
        <w:t>Guide to Road Design Part 6A: Paths for Walking and Cycling</w:t>
      </w:r>
      <w:r w:rsidRPr="00CA455D">
        <w:rPr>
          <w:rFonts w:ascii="Noto Sans" w:hAnsi="Noto Sans" w:cs="Noto Sans"/>
          <w:color w:val="000000"/>
          <w:szCs w:val="18"/>
        </w:rPr>
        <w:t xml:space="preserve"> (Feb 2021)</w:t>
      </w:r>
      <w:bookmarkStart w:id="34" w:name="_Toc409506962"/>
    </w:p>
    <w:p w14:paraId="74ED0140" w14:textId="6565B57E" w:rsidR="00D61569" w:rsidRPr="00452DBC" w:rsidRDefault="00D61569" w:rsidP="00EF6437">
      <w:pPr>
        <w:pStyle w:val="Heading2"/>
        <w:rPr>
          <w:rFonts w:ascii="Noto Sans" w:hAnsi="Noto Sans" w:cs="Noto Sans"/>
          <w:b/>
          <w:bCs/>
        </w:rPr>
      </w:pPr>
      <w:bookmarkStart w:id="35" w:name="_Toc198897207"/>
      <w:bookmarkStart w:id="36" w:name="_Toc211522575"/>
      <w:r w:rsidRPr="00452DBC">
        <w:rPr>
          <w:rFonts w:ascii="Noto Sans" w:hAnsi="Noto Sans" w:cs="Noto Sans"/>
          <w:b/>
          <w:bCs/>
        </w:rPr>
        <w:t>5.2</w:t>
      </w:r>
      <w:r w:rsidR="0046251B" w:rsidRPr="00452DBC">
        <w:rPr>
          <w:rFonts w:ascii="Noto Sans" w:hAnsi="Noto Sans" w:cs="Noto Sans"/>
          <w:b/>
          <w:bCs/>
        </w:rPr>
        <w:t xml:space="preserve"> </w:t>
      </w:r>
      <w:r w:rsidRPr="00452DBC">
        <w:rPr>
          <w:rFonts w:ascii="Noto Sans" w:hAnsi="Noto Sans" w:cs="Noto Sans"/>
          <w:b/>
          <w:bCs/>
        </w:rPr>
        <w:t>Path intersections and widths</w:t>
      </w:r>
      <w:bookmarkEnd w:id="34"/>
      <w:bookmarkEnd w:id="35"/>
      <w:bookmarkEnd w:id="36"/>
    </w:p>
    <w:p w14:paraId="4355E4A4" w14:textId="77777777" w:rsidR="00D61569" w:rsidRPr="00CA455D" w:rsidRDefault="00D61569" w:rsidP="00D61569">
      <w:pPr>
        <w:pStyle w:val="BodyText"/>
        <w:rPr>
          <w:rFonts w:ascii="Noto Sans" w:hAnsi="Noto Sans" w:cs="Noto Sans"/>
          <w:color w:val="000000"/>
        </w:rPr>
      </w:pPr>
      <w:r w:rsidRPr="00CA455D">
        <w:rPr>
          <w:rFonts w:ascii="Noto Sans" w:eastAsiaTheme="minorHAnsi" w:hAnsi="Noto Sans" w:cs="Noto Sans"/>
          <w:color w:val="000000"/>
          <w:sz w:val="24"/>
          <w:szCs w:val="22"/>
          <w:lang w:eastAsia="en-US"/>
        </w:rPr>
        <w:t>Intersections of paths (including intersections of paths near crossings and kerb ramps) shall include 2.5 m corner radii or a chamfer of equivalent size – refer Figure 5</w:t>
      </w:r>
      <w:r w:rsidRPr="00CA455D">
        <w:rPr>
          <w:rFonts w:ascii="Noto Sans" w:hAnsi="Noto Sans" w:cs="Noto Sans"/>
          <w:color w:val="000000"/>
        </w:rPr>
        <w:t>.</w:t>
      </w:r>
    </w:p>
    <w:p w14:paraId="35ACAE8E" w14:textId="77777777" w:rsidR="00EF3327" w:rsidRPr="00CA455D" w:rsidRDefault="00EF3327">
      <w:pPr>
        <w:suppressAutoHyphens w:val="0"/>
        <w:spacing w:before="0" w:after="160" w:line="259" w:lineRule="auto"/>
        <w:rPr>
          <w:rFonts w:ascii="Noto Sans" w:eastAsia="Times New Roman" w:hAnsi="Noto Sans" w:cs="Noto Sans"/>
          <w:b/>
          <w:i/>
          <w:iCs/>
          <w:color w:val="auto"/>
          <w:szCs w:val="18"/>
          <w:lang w:eastAsia="en-AU"/>
        </w:rPr>
      </w:pPr>
      <w:r w:rsidRPr="00CA455D">
        <w:rPr>
          <w:rFonts w:ascii="Noto Sans" w:hAnsi="Noto Sans" w:cs="Noto Sans"/>
          <w:b/>
          <w:i/>
          <w:iCs/>
          <w:szCs w:val="18"/>
        </w:rPr>
        <w:br w:type="page"/>
      </w:r>
    </w:p>
    <w:p w14:paraId="7993E00A" w14:textId="77777777" w:rsidR="00EF3327" w:rsidRPr="00452DBC" w:rsidRDefault="00D61569" w:rsidP="00D61569">
      <w:pPr>
        <w:pStyle w:val="BodyText"/>
        <w:rPr>
          <w:rFonts w:ascii="Noto Sans" w:hAnsi="Noto Sans" w:cs="Noto Sans"/>
          <w:b/>
          <w:color w:val="000000"/>
          <w:sz w:val="24"/>
          <w:szCs w:val="18"/>
        </w:rPr>
      </w:pPr>
      <w:r w:rsidRPr="00452DBC">
        <w:rPr>
          <w:rFonts w:ascii="Noto Sans" w:hAnsi="Noto Sans" w:cs="Noto Sans"/>
          <w:b/>
          <w:color w:val="000000"/>
          <w:sz w:val="24"/>
          <w:szCs w:val="18"/>
        </w:rPr>
        <w:lastRenderedPageBreak/>
        <w:t>Figure 5 – Corner radii for path intersections</w:t>
      </w:r>
      <w:r w:rsidRPr="00452DBC">
        <w:rPr>
          <w:rStyle w:val="FootnoteReference"/>
          <w:rFonts w:ascii="Noto Sans" w:hAnsi="Noto Sans" w:cs="Noto Sans"/>
          <w:color w:val="000000"/>
          <w:sz w:val="24"/>
        </w:rPr>
        <w:footnoteReference w:id="8"/>
      </w:r>
    </w:p>
    <w:p w14:paraId="6C4DD905" w14:textId="77D32087" w:rsidR="00D61569" w:rsidRPr="00CA455D" w:rsidRDefault="00D61569" w:rsidP="00D61569">
      <w:pPr>
        <w:pStyle w:val="BodyText"/>
        <w:rPr>
          <w:rFonts w:ascii="Noto Sans" w:hAnsi="Noto Sans" w:cs="Noto Sans"/>
        </w:rPr>
      </w:pPr>
      <w:r w:rsidRPr="00CA455D">
        <w:rPr>
          <w:rFonts w:ascii="Noto Sans" w:hAnsi="Noto Sans" w:cs="Noto Sans"/>
          <w:noProof/>
        </w:rPr>
        <w:drawing>
          <wp:inline distT="0" distB="0" distL="0" distR="0" wp14:anchorId="1951B78D" wp14:editId="33CF1DA7">
            <wp:extent cx="2699925" cy="1785668"/>
            <wp:effectExtent l="0" t="0" r="5715" b="5080"/>
            <wp:docPr id="10" name="Picture 10" descr="Corner radii for path intersections image where r = 2.5m.">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openxmlformats.org/drawingml/2006/picture">
                <pic:pic xmlns:pic="http://schemas.openxmlformats.org/drawingml/2006/picture">
                  <pic:nvPicPr>
                    <pic:cNvPr id="10" name="Picture 10" descr="Corner radii for path intersections image where r = 2.5m.">
                      <a:extLst>
                        <a:ext uri="{C183D7F6-B498-43B3-948B-1728B52AA6E4}">
                          <adec:decorative xmlns:adec="http://schemas.microsoft.com/office/drawing/2017/decorative" val="0"/>
                        </a:ext>
                      </a:extLst>
                    </pic:cNvPr>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13156" cy="1794418"/>
                    </a:xfrm>
                    <a:prstGeom prst="rect">
                      <a:avLst/>
                    </a:prstGeom>
                    <a:noFill/>
                    <a:ln>
                      <a:noFill/>
                    </a:ln>
                  </pic:spPr>
                </pic:pic>
              </a:graphicData>
            </a:graphic>
          </wp:inline>
        </w:drawing>
      </w:r>
    </w:p>
    <w:p w14:paraId="018B8716" w14:textId="2BEC07D8" w:rsidR="00D61569" w:rsidRPr="00452DBC" w:rsidRDefault="00D61569" w:rsidP="00D61569">
      <w:pPr>
        <w:pStyle w:val="Heading3"/>
        <w:rPr>
          <w:rFonts w:ascii="Noto Sans" w:hAnsi="Noto Sans" w:cs="Noto Sans"/>
          <w:bCs/>
          <w:color w:val="005EB8"/>
        </w:rPr>
      </w:pPr>
      <w:bookmarkStart w:id="37" w:name="_Toc171671936"/>
      <w:bookmarkStart w:id="38" w:name="_Toc198897208"/>
      <w:bookmarkStart w:id="39" w:name="_Toc211522576"/>
      <w:r w:rsidRPr="00452DBC">
        <w:rPr>
          <w:rFonts w:ascii="Noto Sans" w:hAnsi="Noto Sans" w:cs="Noto Sans"/>
          <w:color w:val="005EB8"/>
        </w:rPr>
        <w:t>5.2.1</w:t>
      </w:r>
      <w:r w:rsidR="0046251B" w:rsidRPr="00452DBC">
        <w:rPr>
          <w:rFonts w:ascii="Noto Sans" w:hAnsi="Noto Sans" w:cs="Noto Sans"/>
          <w:color w:val="005EB8"/>
        </w:rPr>
        <w:t xml:space="preserve"> </w:t>
      </w:r>
      <w:r w:rsidRPr="00452DBC">
        <w:rPr>
          <w:rFonts w:ascii="Noto Sans" w:hAnsi="Noto Sans" w:cs="Noto Sans"/>
          <w:color w:val="005EB8"/>
        </w:rPr>
        <w:t>Bike infrastructure path widths</w:t>
      </w:r>
      <w:bookmarkEnd w:id="37"/>
      <w:bookmarkEnd w:id="38"/>
      <w:bookmarkEnd w:id="39"/>
    </w:p>
    <w:p w14:paraId="60CA0A9E" w14:textId="77777777" w:rsidR="00D61569" w:rsidRPr="00CA455D" w:rsidRDefault="00D61569" w:rsidP="00D61569">
      <w:pPr>
        <w:pStyle w:val="BodyTex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To achieve the program intent for bike riding infrastructure, key path design criteria are set out in </w:t>
      </w:r>
      <w:r w:rsidRPr="00CA455D">
        <w:rPr>
          <w:rFonts w:ascii="Noto Sans" w:eastAsiaTheme="minorHAnsi" w:hAnsi="Noto Sans" w:cs="Noto Sans"/>
          <w:color w:val="000000"/>
          <w:sz w:val="24"/>
          <w:szCs w:val="22"/>
          <w:lang w:eastAsia="en-US"/>
        </w:rPr>
        <w:fldChar w:fldCharType="begin"/>
      </w:r>
      <w:r w:rsidRPr="00CA455D">
        <w:rPr>
          <w:rFonts w:ascii="Noto Sans" w:eastAsiaTheme="minorHAnsi" w:hAnsi="Noto Sans" w:cs="Noto Sans"/>
          <w:color w:val="000000"/>
          <w:sz w:val="24"/>
          <w:szCs w:val="22"/>
          <w:lang w:eastAsia="en-US"/>
        </w:rPr>
        <w:instrText xml:space="preserve"> REF _Ref424135736 \h  \* MERGEFORMAT </w:instrText>
      </w:r>
      <w:r w:rsidRPr="00CA455D">
        <w:rPr>
          <w:rFonts w:ascii="Noto Sans" w:eastAsiaTheme="minorHAnsi" w:hAnsi="Noto Sans" w:cs="Noto Sans"/>
          <w:color w:val="000000"/>
          <w:sz w:val="24"/>
          <w:szCs w:val="22"/>
          <w:lang w:eastAsia="en-US"/>
        </w:rPr>
      </w:r>
      <w:r w:rsidRPr="00CA455D">
        <w:rPr>
          <w:rFonts w:ascii="Noto Sans" w:eastAsiaTheme="minorHAnsi" w:hAnsi="Noto Sans" w:cs="Noto Sans"/>
          <w:color w:val="000000"/>
          <w:sz w:val="24"/>
          <w:szCs w:val="22"/>
          <w:lang w:eastAsia="en-US"/>
        </w:rPr>
        <w:fldChar w:fldCharType="separate"/>
      </w:r>
      <w:r w:rsidRPr="00CA455D">
        <w:rPr>
          <w:rFonts w:ascii="Noto Sans" w:eastAsiaTheme="minorHAnsi" w:hAnsi="Noto Sans" w:cs="Noto Sans"/>
          <w:color w:val="000000"/>
          <w:sz w:val="24"/>
          <w:szCs w:val="22"/>
          <w:lang w:eastAsia="en-US"/>
        </w:rPr>
        <w:t xml:space="preserve">Table </w:t>
      </w:r>
      <w:r w:rsidRPr="00CA455D">
        <w:rPr>
          <w:rFonts w:ascii="Noto Sans" w:eastAsiaTheme="minorHAnsi" w:hAnsi="Noto Sans" w:cs="Noto Sans"/>
          <w:color w:val="000000"/>
          <w:sz w:val="24"/>
          <w:szCs w:val="22"/>
          <w:lang w:eastAsia="en-US"/>
        </w:rPr>
        <w:fldChar w:fldCharType="end"/>
      </w:r>
      <w:r w:rsidRPr="00CA455D">
        <w:rPr>
          <w:rFonts w:ascii="Noto Sans" w:eastAsiaTheme="minorHAnsi" w:hAnsi="Noto Sans" w:cs="Noto Sans"/>
          <w:color w:val="000000"/>
          <w:sz w:val="24"/>
          <w:szCs w:val="22"/>
          <w:lang w:eastAsia="en-US"/>
        </w:rPr>
        <w:t>3.</w:t>
      </w:r>
    </w:p>
    <w:p w14:paraId="42062F02" w14:textId="77777777" w:rsidR="00D61569" w:rsidRPr="00452DBC" w:rsidRDefault="00D61569" w:rsidP="00D61569">
      <w:pPr>
        <w:pStyle w:val="Caption"/>
        <w:keepNext/>
        <w:rPr>
          <w:rFonts w:ascii="Noto Sans" w:eastAsia="Times New Roman" w:hAnsi="Noto Sans" w:cs="Noto Sans"/>
          <w:b/>
          <w:bCs w:val="0"/>
          <w:color w:val="000000"/>
          <w:sz w:val="24"/>
          <w:szCs w:val="18"/>
          <w:lang w:eastAsia="en-AU"/>
        </w:rPr>
      </w:pPr>
      <w:bookmarkStart w:id="40" w:name="_Ref424135736"/>
      <w:r w:rsidRPr="00452DBC">
        <w:rPr>
          <w:rFonts w:ascii="Noto Sans" w:eastAsia="Times New Roman" w:hAnsi="Noto Sans" w:cs="Noto Sans"/>
          <w:b/>
          <w:bCs w:val="0"/>
          <w:color w:val="000000"/>
          <w:sz w:val="24"/>
          <w:szCs w:val="18"/>
          <w:lang w:eastAsia="en-AU"/>
        </w:rPr>
        <w:t xml:space="preserve">Table </w:t>
      </w:r>
      <w:bookmarkEnd w:id="40"/>
      <w:r w:rsidRPr="00452DBC">
        <w:rPr>
          <w:rFonts w:ascii="Noto Sans" w:eastAsia="Times New Roman" w:hAnsi="Noto Sans" w:cs="Noto Sans"/>
          <w:b/>
          <w:bCs w:val="0"/>
          <w:color w:val="000000"/>
          <w:sz w:val="24"/>
          <w:szCs w:val="18"/>
          <w:lang w:eastAsia="en-AU"/>
        </w:rPr>
        <w:t>3: Key shared path design criteria for ATIP projects</w:t>
      </w:r>
    </w:p>
    <w:tbl>
      <w:tblPr>
        <w:tblStyle w:val="ListTable3-Accent1"/>
        <w:tblW w:w="9634" w:type="dxa"/>
        <w:tblLook w:val="0420" w:firstRow="1" w:lastRow="0" w:firstColumn="0" w:lastColumn="0" w:noHBand="0" w:noVBand="1"/>
      </w:tblPr>
      <w:tblGrid>
        <w:gridCol w:w="2122"/>
        <w:gridCol w:w="1446"/>
        <w:gridCol w:w="1446"/>
        <w:gridCol w:w="4620"/>
      </w:tblGrid>
      <w:tr w:rsidR="00D61569" w:rsidRPr="00CA455D" w14:paraId="48243E07" w14:textId="77777777" w:rsidTr="005B5C87">
        <w:trPr>
          <w:cnfStyle w:val="100000000000" w:firstRow="1" w:lastRow="0" w:firstColumn="0" w:lastColumn="0" w:oddVBand="0" w:evenVBand="0" w:oddHBand="0" w:evenHBand="0" w:firstRowFirstColumn="0" w:firstRowLastColumn="0" w:lastRowFirstColumn="0" w:lastRowLastColumn="0"/>
        </w:trPr>
        <w:tc>
          <w:tcPr>
            <w:tcW w:w="2122" w:type="dxa"/>
          </w:tcPr>
          <w:p w14:paraId="02463C58" w14:textId="77777777" w:rsidR="00D61569" w:rsidRPr="00CA455D" w:rsidRDefault="00D61569" w:rsidP="005B5C87">
            <w:pPr>
              <w:pStyle w:val="TableHeading"/>
              <w:rPr>
                <w:rFonts w:ascii="Noto Sans" w:hAnsi="Noto Sans" w:cs="Noto Sans"/>
                <w:b/>
                <w:bCs w:val="0"/>
                <w:sz w:val="24"/>
              </w:rPr>
            </w:pPr>
            <w:r w:rsidRPr="00CA455D">
              <w:rPr>
                <w:rFonts w:ascii="Noto Sans" w:hAnsi="Noto Sans" w:cs="Noto Sans"/>
                <w:b/>
                <w:bCs w:val="0"/>
                <w:sz w:val="24"/>
              </w:rPr>
              <w:t>Path design criteria</w:t>
            </w:r>
          </w:p>
        </w:tc>
        <w:tc>
          <w:tcPr>
            <w:tcW w:w="1446" w:type="dxa"/>
          </w:tcPr>
          <w:p w14:paraId="5B859C90" w14:textId="77777777" w:rsidR="00D61569" w:rsidRPr="00CA455D" w:rsidRDefault="00D61569" w:rsidP="005B5C87">
            <w:pPr>
              <w:pStyle w:val="TableHeading"/>
              <w:rPr>
                <w:rFonts w:ascii="Noto Sans" w:hAnsi="Noto Sans" w:cs="Noto Sans"/>
                <w:b/>
                <w:bCs w:val="0"/>
                <w:sz w:val="24"/>
              </w:rPr>
            </w:pPr>
            <w:r w:rsidRPr="00CA455D">
              <w:rPr>
                <w:rFonts w:ascii="Noto Sans" w:hAnsi="Noto Sans" w:cs="Noto Sans"/>
                <w:b/>
                <w:bCs w:val="0"/>
                <w:sz w:val="24"/>
              </w:rPr>
              <w:t>Desirable value</w:t>
            </w:r>
          </w:p>
        </w:tc>
        <w:tc>
          <w:tcPr>
            <w:tcW w:w="1446" w:type="dxa"/>
          </w:tcPr>
          <w:p w14:paraId="2FD41AAE" w14:textId="77777777" w:rsidR="00D61569" w:rsidRPr="00CA455D" w:rsidRDefault="00D61569" w:rsidP="005B5C87">
            <w:pPr>
              <w:pStyle w:val="TableHeading"/>
              <w:rPr>
                <w:rFonts w:ascii="Noto Sans" w:hAnsi="Noto Sans" w:cs="Noto Sans"/>
                <w:b/>
                <w:bCs w:val="0"/>
                <w:sz w:val="24"/>
              </w:rPr>
            </w:pPr>
            <w:r w:rsidRPr="00CA455D">
              <w:rPr>
                <w:rFonts w:ascii="Noto Sans" w:hAnsi="Noto Sans" w:cs="Noto Sans"/>
                <w:b/>
                <w:bCs w:val="0"/>
                <w:sz w:val="24"/>
              </w:rPr>
              <w:t>Minimum value</w:t>
            </w:r>
          </w:p>
        </w:tc>
        <w:tc>
          <w:tcPr>
            <w:tcW w:w="4620" w:type="dxa"/>
          </w:tcPr>
          <w:p w14:paraId="771051EF" w14:textId="77777777" w:rsidR="00D61569" w:rsidRPr="00CA455D" w:rsidRDefault="00D61569" w:rsidP="005B5C87">
            <w:pPr>
              <w:pStyle w:val="TableHeading"/>
              <w:rPr>
                <w:rFonts w:ascii="Noto Sans" w:hAnsi="Noto Sans" w:cs="Noto Sans"/>
                <w:b/>
                <w:bCs w:val="0"/>
                <w:sz w:val="24"/>
              </w:rPr>
            </w:pPr>
            <w:r w:rsidRPr="00CA455D">
              <w:rPr>
                <w:rFonts w:ascii="Noto Sans" w:hAnsi="Noto Sans" w:cs="Noto Sans"/>
                <w:b/>
                <w:bCs w:val="0"/>
                <w:sz w:val="24"/>
              </w:rPr>
              <w:t>Rationale</w:t>
            </w:r>
          </w:p>
        </w:tc>
      </w:tr>
      <w:tr w:rsidR="00CE0A90" w:rsidRPr="00CA455D" w14:paraId="3AD95CDB" w14:textId="77777777" w:rsidTr="005B5C87">
        <w:trPr>
          <w:cnfStyle w:val="000000100000" w:firstRow="0" w:lastRow="0" w:firstColumn="0" w:lastColumn="0" w:oddVBand="0" w:evenVBand="0" w:oddHBand="1" w:evenHBand="0" w:firstRowFirstColumn="0" w:firstRowLastColumn="0" w:lastRowFirstColumn="0" w:lastRowLastColumn="0"/>
        </w:trPr>
        <w:tc>
          <w:tcPr>
            <w:tcW w:w="2122" w:type="dxa"/>
          </w:tcPr>
          <w:p w14:paraId="316C644A"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Width (m)</w:t>
            </w:r>
          </w:p>
        </w:tc>
        <w:tc>
          <w:tcPr>
            <w:tcW w:w="1446" w:type="dxa"/>
          </w:tcPr>
          <w:p w14:paraId="26504B3E"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3.0</w:t>
            </w:r>
            <w:r w:rsidRPr="00CA455D">
              <w:rPr>
                <w:rFonts w:ascii="Noto Sans" w:hAnsi="Noto Sans" w:cs="Noto Sans"/>
                <w:i/>
                <w:iCs/>
                <w:color w:val="000000"/>
                <w:sz w:val="24"/>
                <w:szCs w:val="18"/>
                <w:vertAlign w:val="superscript"/>
              </w:rPr>
              <w:t>Note 4</w:t>
            </w:r>
          </w:p>
        </w:tc>
        <w:tc>
          <w:tcPr>
            <w:tcW w:w="1446" w:type="dxa"/>
          </w:tcPr>
          <w:p w14:paraId="716353A0"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2.5</w:t>
            </w:r>
            <w:r w:rsidRPr="00CA455D">
              <w:rPr>
                <w:rFonts w:ascii="Noto Sans" w:hAnsi="Noto Sans" w:cs="Noto Sans"/>
                <w:i/>
                <w:iCs/>
                <w:color w:val="000000"/>
                <w:sz w:val="24"/>
                <w:szCs w:val="18"/>
                <w:vertAlign w:val="superscript"/>
              </w:rPr>
              <w:t>Note 5</w:t>
            </w:r>
          </w:p>
        </w:tc>
        <w:tc>
          <w:tcPr>
            <w:tcW w:w="4620" w:type="dxa"/>
          </w:tcPr>
          <w:p w14:paraId="0A8C139E"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3.0 m wide paths have 50% greater capacity than 2.5 m wide paths and generate fewer path user complaints and interaction issues.</w:t>
            </w:r>
          </w:p>
        </w:tc>
      </w:tr>
      <w:tr w:rsidR="00CE0A90" w:rsidRPr="00CA455D" w14:paraId="53652D2F" w14:textId="77777777" w:rsidTr="005B5C87">
        <w:tc>
          <w:tcPr>
            <w:tcW w:w="2122" w:type="dxa"/>
          </w:tcPr>
          <w:p w14:paraId="3FCC09D6"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Design speed on midblock level grade (km/h)</w:t>
            </w:r>
          </w:p>
        </w:tc>
        <w:tc>
          <w:tcPr>
            <w:tcW w:w="1446" w:type="dxa"/>
          </w:tcPr>
          <w:p w14:paraId="11A22D23"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30</w:t>
            </w:r>
          </w:p>
        </w:tc>
        <w:tc>
          <w:tcPr>
            <w:tcW w:w="1446" w:type="dxa"/>
          </w:tcPr>
          <w:p w14:paraId="15AA5BC1"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25</w:t>
            </w:r>
            <w:r w:rsidRPr="00CA455D">
              <w:rPr>
                <w:rFonts w:ascii="Noto Sans" w:hAnsi="Noto Sans" w:cs="Noto Sans"/>
                <w:i/>
                <w:iCs/>
                <w:color w:val="000000"/>
                <w:sz w:val="24"/>
                <w:szCs w:val="18"/>
                <w:vertAlign w:val="superscript"/>
              </w:rPr>
              <w:t>Note 6</w:t>
            </w:r>
          </w:p>
        </w:tc>
        <w:tc>
          <w:tcPr>
            <w:tcW w:w="4620" w:type="dxa"/>
          </w:tcPr>
          <w:p w14:paraId="438EABE4" w14:textId="77777777" w:rsidR="00D61569" w:rsidRPr="00CA455D" w:rsidRDefault="00D61569" w:rsidP="005B5C87">
            <w:pPr>
              <w:pStyle w:val="TableText"/>
              <w:rPr>
                <w:rFonts w:ascii="Noto Sans" w:hAnsi="Noto Sans" w:cs="Noto Sans"/>
                <w:color w:val="000000"/>
                <w:sz w:val="24"/>
              </w:rPr>
            </w:pPr>
            <w:r w:rsidRPr="00CA455D">
              <w:rPr>
                <w:rFonts w:ascii="Noto Sans" w:hAnsi="Noto Sans" w:cs="Noto Sans"/>
                <w:color w:val="000000"/>
                <w:sz w:val="24"/>
              </w:rPr>
              <w:t>Appropriate for commuter use. Design speed variance should consider gradient/s and intersection priority.</w:t>
            </w:r>
          </w:p>
        </w:tc>
      </w:tr>
    </w:tbl>
    <w:p w14:paraId="6B83385E" w14:textId="77777777" w:rsidR="00D61569" w:rsidRPr="00CA455D" w:rsidRDefault="00D61569" w:rsidP="00D61569">
      <w:pPr>
        <w:pStyle w:val="BodyText"/>
        <w:rPr>
          <w:rFonts w:ascii="Noto Sans" w:eastAsiaTheme="minorHAnsi" w:hAnsi="Noto Sans" w:cs="Noto Sans"/>
          <w:color w:val="000000"/>
          <w:sz w:val="24"/>
          <w:szCs w:val="22"/>
          <w:lang w:eastAsia="en-US"/>
        </w:rPr>
      </w:pPr>
      <w:r w:rsidRPr="00452DBC">
        <w:rPr>
          <w:rFonts w:ascii="Noto Sans" w:eastAsiaTheme="minorHAnsi" w:hAnsi="Noto Sans" w:cs="Noto Sans"/>
          <w:b/>
          <w:bCs/>
          <w:color w:val="000000"/>
          <w:sz w:val="24"/>
          <w:szCs w:val="22"/>
          <w:lang w:eastAsia="en-US"/>
        </w:rPr>
        <w:t>Note 4:</w:t>
      </w:r>
      <w:r w:rsidRPr="00CA455D">
        <w:rPr>
          <w:rFonts w:ascii="Noto Sans" w:eastAsiaTheme="minorHAnsi" w:hAnsi="Noto Sans" w:cs="Noto Sans"/>
          <w:color w:val="000000"/>
          <w:sz w:val="24"/>
          <w:szCs w:val="22"/>
          <w:lang w:eastAsia="en-US"/>
        </w:rPr>
        <w:t xml:space="preserve"> Minimum value for stand-alone treatments along major roads.</w:t>
      </w:r>
    </w:p>
    <w:p w14:paraId="24165540" w14:textId="1DDD288D" w:rsidR="00D61569" w:rsidRPr="00CA455D" w:rsidRDefault="00D61569" w:rsidP="00D61569">
      <w:pPr>
        <w:pStyle w:val="BodyText"/>
        <w:rPr>
          <w:rFonts w:ascii="Noto Sans" w:eastAsiaTheme="minorHAnsi" w:hAnsi="Noto Sans" w:cs="Noto Sans"/>
          <w:color w:val="000000"/>
          <w:sz w:val="24"/>
          <w:szCs w:val="22"/>
          <w:lang w:eastAsia="en-US"/>
        </w:rPr>
      </w:pPr>
      <w:r w:rsidRPr="00452DBC">
        <w:rPr>
          <w:rFonts w:ascii="Noto Sans" w:eastAsiaTheme="minorHAnsi" w:hAnsi="Noto Sans" w:cs="Noto Sans"/>
          <w:b/>
          <w:bCs/>
          <w:color w:val="000000"/>
          <w:sz w:val="24"/>
          <w:szCs w:val="22"/>
          <w:lang w:eastAsia="en-US"/>
        </w:rPr>
        <w:t>Note 5:</w:t>
      </w:r>
      <w:r w:rsidRPr="00CA455D">
        <w:rPr>
          <w:rFonts w:ascii="Noto Sans" w:eastAsiaTheme="minorHAnsi" w:hAnsi="Noto Sans" w:cs="Noto Sans"/>
          <w:color w:val="000000"/>
          <w:sz w:val="24"/>
          <w:szCs w:val="22"/>
          <w:lang w:eastAsia="en-US"/>
        </w:rPr>
        <w:t xml:space="preserve"> Justification is required for adoption of 2.5m rather than desirable 3.0m.</w:t>
      </w:r>
    </w:p>
    <w:p w14:paraId="07D14FB2" w14:textId="77777777" w:rsidR="00D61569" w:rsidRPr="00CA455D" w:rsidRDefault="00D61569" w:rsidP="00D61569">
      <w:pPr>
        <w:pStyle w:val="BodyText"/>
        <w:rPr>
          <w:rFonts w:ascii="Noto Sans" w:eastAsiaTheme="minorHAnsi" w:hAnsi="Noto Sans" w:cs="Noto Sans"/>
          <w:color w:val="000000"/>
          <w:sz w:val="24"/>
          <w:szCs w:val="22"/>
          <w:lang w:eastAsia="en-US"/>
        </w:rPr>
      </w:pPr>
      <w:r w:rsidRPr="00452DBC">
        <w:rPr>
          <w:rFonts w:ascii="Noto Sans" w:eastAsiaTheme="minorHAnsi" w:hAnsi="Noto Sans" w:cs="Noto Sans"/>
          <w:b/>
          <w:bCs/>
          <w:color w:val="000000"/>
          <w:sz w:val="24"/>
          <w:szCs w:val="22"/>
          <w:lang w:eastAsia="en-US"/>
        </w:rPr>
        <w:t>Note 6:</w:t>
      </w:r>
      <w:r w:rsidRPr="00CA455D">
        <w:rPr>
          <w:rFonts w:ascii="Noto Sans" w:eastAsiaTheme="minorHAnsi" w:hAnsi="Noto Sans" w:cs="Noto Sans"/>
          <w:color w:val="000000"/>
          <w:sz w:val="24"/>
          <w:szCs w:val="22"/>
          <w:lang w:eastAsia="en-US"/>
        </w:rPr>
        <w:t xml:space="preserve"> Where justified in constrained areas, a lower minimum design speed may be considered.</w:t>
      </w:r>
    </w:p>
    <w:p w14:paraId="03EB122B" w14:textId="77777777" w:rsidR="00D61569" w:rsidRPr="00CA455D" w:rsidRDefault="00D61569" w:rsidP="00D61569">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A reduction in these design criteria values may be considered at localised constraints such as significant poles or structures but this must be explicitly documented as to why a better facility standard cannot be achieved.</w:t>
      </w:r>
    </w:p>
    <w:p w14:paraId="6C24BF6E" w14:textId="77777777" w:rsidR="00D61569" w:rsidRPr="00CA455D" w:rsidRDefault="00D61569" w:rsidP="00D61569">
      <w:pPr>
        <w:pStyle w:val="BodyText"/>
        <w:spacing w:before="0" w:after="0" w:line="320" w:lineRule="atLeast"/>
        <w:rPr>
          <w:rFonts w:ascii="Noto Sans" w:eastAsiaTheme="minorHAnsi" w:hAnsi="Noto Sans" w:cs="Noto Sans"/>
          <w:color w:val="000000"/>
          <w:sz w:val="24"/>
          <w:szCs w:val="22"/>
          <w:lang w:eastAsia="en-US"/>
        </w:rPr>
      </w:pPr>
    </w:p>
    <w:p w14:paraId="58D0C78F" w14:textId="77777777" w:rsidR="00D61569" w:rsidRPr="00CA455D" w:rsidRDefault="00D61569" w:rsidP="00D61569">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lastRenderedPageBreak/>
        <w:t xml:space="preserve">Provision of paths both sides of urban arterial and collector roads may provide a case for reduced path widths when co-located with cycle tracks or bicycle lanes. </w:t>
      </w:r>
    </w:p>
    <w:p w14:paraId="5C84A8AA" w14:textId="77777777" w:rsidR="00D61569" w:rsidRPr="00CA455D" w:rsidRDefault="00D61569" w:rsidP="00D61569">
      <w:pPr>
        <w:pStyle w:val="BodyText"/>
        <w:spacing w:before="0" w:after="0" w:line="320" w:lineRule="atLeast"/>
        <w:rPr>
          <w:rFonts w:ascii="Noto Sans" w:eastAsiaTheme="minorHAnsi" w:hAnsi="Noto Sans" w:cs="Noto Sans"/>
          <w:color w:val="000000"/>
          <w:sz w:val="24"/>
          <w:szCs w:val="22"/>
          <w:lang w:eastAsia="en-US"/>
        </w:rPr>
      </w:pPr>
    </w:p>
    <w:p w14:paraId="68477B4A" w14:textId="77777777" w:rsidR="00D61569" w:rsidRPr="00CA455D" w:rsidRDefault="00D61569" w:rsidP="00D61569">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Where a significant number of people walking and bike riding are expected, a separated path (cycle track) may be required to maintain an appropriate level of service</w:t>
      </w:r>
      <w:r w:rsidRPr="00CA455D">
        <w:rPr>
          <w:rFonts w:ascii="Noto Sans" w:eastAsiaTheme="minorHAnsi" w:hAnsi="Noto Sans" w:cs="Noto Sans"/>
          <w:color w:val="000000"/>
          <w:sz w:val="24"/>
          <w:szCs w:val="22"/>
          <w:vertAlign w:val="superscript"/>
          <w:lang w:eastAsia="en-US"/>
        </w:rPr>
        <w:footnoteReference w:id="9"/>
      </w:r>
      <w:r w:rsidRPr="00CA455D">
        <w:rPr>
          <w:rFonts w:ascii="Noto Sans" w:eastAsiaTheme="minorHAnsi" w:hAnsi="Noto Sans" w:cs="Noto Sans"/>
          <w:color w:val="000000"/>
          <w:sz w:val="24"/>
          <w:szCs w:val="22"/>
          <w:lang w:eastAsia="en-US"/>
        </w:rPr>
        <w:t xml:space="preserve">. TMR's </w:t>
      </w:r>
      <w:r w:rsidRPr="00CA455D">
        <w:rPr>
          <w:rFonts w:ascii="Noto Sans" w:eastAsiaTheme="minorHAnsi" w:hAnsi="Noto Sans" w:cs="Noto Sans"/>
          <w:i/>
          <w:iCs/>
          <w:color w:val="000000"/>
          <w:sz w:val="24"/>
          <w:szCs w:val="22"/>
          <w:lang w:eastAsia="en-US"/>
        </w:rPr>
        <w:t>Selection and design of cycle tracks</w:t>
      </w:r>
      <w:r w:rsidRPr="00CA455D">
        <w:rPr>
          <w:rFonts w:ascii="Noto Sans" w:eastAsiaTheme="minorHAnsi" w:hAnsi="Noto Sans" w:cs="Noto Sans"/>
          <w:color w:val="000000"/>
          <w:sz w:val="24"/>
          <w:szCs w:val="22"/>
          <w:lang w:eastAsia="en-US"/>
        </w:rPr>
        <w:t xml:space="preserve"> (Jul 2025) guideline provides additional guidance on separated paths and path treatments at intersections with side streets.</w:t>
      </w:r>
    </w:p>
    <w:p w14:paraId="576C0D52" w14:textId="3997B946" w:rsidR="00FD6F82" w:rsidRPr="00452DBC" w:rsidRDefault="00FD6F82" w:rsidP="00FD6F82">
      <w:pPr>
        <w:pStyle w:val="Heading3"/>
        <w:rPr>
          <w:rFonts w:ascii="Noto Sans" w:hAnsi="Noto Sans" w:cs="Noto Sans"/>
          <w:color w:val="005EB8"/>
        </w:rPr>
      </w:pPr>
      <w:bookmarkStart w:id="41" w:name="_Toc171671937"/>
      <w:bookmarkStart w:id="42" w:name="_Toc198897209"/>
      <w:bookmarkStart w:id="43" w:name="_Toc211522577"/>
      <w:r w:rsidRPr="00452DBC">
        <w:rPr>
          <w:rFonts w:ascii="Noto Sans" w:hAnsi="Noto Sans" w:cs="Noto Sans"/>
          <w:color w:val="005EB8"/>
        </w:rPr>
        <w:t>5.2.2</w:t>
      </w:r>
      <w:r w:rsidR="0046251B" w:rsidRPr="00452DBC">
        <w:rPr>
          <w:rFonts w:ascii="Noto Sans" w:hAnsi="Noto Sans" w:cs="Noto Sans"/>
          <w:color w:val="005EB8"/>
        </w:rPr>
        <w:t xml:space="preserve"> </w:t>
      </w:r>
      <w:r w:rsidRPr="00452DBC">
        <w:rPr>
          <w:rFonts w:ascii="Noto Sans" w:hAnsi="Noto Sans" w:cs="Noto Sans"/>
          <w:color w:val="005EB8"/>
        </w:rPr>
        <w:t>Walking infrastructure path widths</w:t>
      </w:r>
      <w:bookmarkEnd w:id="41"/>
      <w:bookmarkEnd w:id="42"/>
      <w:bookmarkEnd w:id="43"/>
    </w:p>
    <w:p w14:paraId="6747E312" w14:textId="77777777" w:rsidR="00FD6F82" w:rsidRPr="00CA455D" w:rsidRDefault="00FD6F82" w:rsidP="00FD6F82">
      <w:pPr>
        <w:pStyle w:val="BodyTex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If the project is providing infrastructure to fulfill a WNP only, refer to Table 4 </w:t>
      </w:r>
    </w:p>
    <w:p w14:paraId="4BDF130A" w14:textId="77777777" w:rsidR="00FD6F82" w:rsidRPr="00CA455D" w:rsidRDefault="00FD6F82" w:rsidP="00FD6F82">
      <w:pPr>
        <w:spacing w:after="160" w:line="259" w:lineRule="auto"/>
        <w:rPr>
          <w:rFonts w:ascii="Noto Sans" w:hAnsi="Noto Sans" w:cs="Noto Sans"/>
          <w:bCs/>
          <w:i/>
          <w:iCs/>
          <w:color w:val="000000"/>
          <w:szCs w:val="18"/>
        </w:rPr>
      </w:pPr>
      <w:r w:rsidRPr="00BD5745">
        <w:rPr>
          <w:rFonts w:ascii="Noto Sans" w:hAnsi="Noto Sans" w:cs="Noto Sans"/>
          <w:b/>
          <w:bCs/>
          <w:color w:val="000000"/>
          <w:szCs w:val="18"/>
        </w:rPr>
        <w:t>Table 4: Minimum footpath widths by predicted use</w:t>
      </w:r>
      <w:r w:rsidRPr="00CA455D">
        <w:rPr>
          <w:rFonts w:ascii="Noto Sans" w:hAnsi="Noto Sans" w:cs="Noto Sans"/>
          <w:b/>
          <w:bCs/>
          <w:i/>
          <w:iCs/>
          <w:color w:val="000000"/>
          <w:szCs w:val="18"/>
        </w:rPr>
        <w:t xml:space="preserve"> </w:t>
      </w:r>
      <w:r w:rsidRPr="00CA455D">
        <w:rPr>
          <w:rFonts w:ascii="Noto Sans" w:hAnsi="Noto Sans" w:cs="Noto Sans"/>
          <w:bCs/>
          <w:color w:val="000000"/>
          <w:szCs w:val="18"/>
          <w:vertAlign w:val="superscript"/>
        </w:rPr>
        <w:t>Note 7</w:t>
      </w:r>
    </w:p>
    <w:tbl>
      <w:tblPr>
        <w:tblStyle w:val="GridTable4-Accent3"/>
        <w:tblW w:w="9642" w:type="dxa"/>
        <w:tblLook w:val="06A0" w:firstRow="1" w:lastRow="0" w:firstColumn="1" w:lastColumn="0" w:noHBand="1" w:noVBand="1"/>
      </w:tblPr>
      <w:tblGrid>
        <w:gridCol w:w="1696"/>
        <w:gridCol w:w="2127"/>
        <w:gridCol w:w="5819"/>
      </w:tblGrid>
      <w:tr w:rsidR="00FD6F82" w:rsidRPr="00CA455D" w14:paraId="4947F630" w14:textId="77777777" w:rsidTr="00452DBC">
        <w:trPr>
          <w:cnfStyle w:val="100000000000" w:firstRow="1" w:lastRow="0" w:firstColumn="0" w:lastColumn="0" w:oddVBand="0" w:evenVBand="0" w:oddHBand="0"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1696" w:type="dxa"/>
          </w:tcPr>
          <w:p w14:paraId="759BFB6A" w14:textId="77777777" w:rsidR="00FD6F82" w:rsidRPr="00452DBC" w:rsidRDefault="00FD6F82" w:rsidP="00FD6F82">
            <w:pPr>
              <w:pStyle w:val="TableHeading"/>
              <w:rPr>
                <w:rFonts w:ascii="Noto Sans" w:hAnsi="Noto Sans" w:cs="Noto Sans"/>
                <w:b/>
                <w:bCs w:val="0"/>
                <w:color w:val="FFFFFF" w:themeColor="background1"/>
                <w:sz w:val="24"/>
              </w:rPr>
            </w:pPr>
            <w:bookmarkStart w:id="44" w:name="_Hlk119593452"/>
            <w:r w:rsidRPr="00452DBC">
              <w:rPr>
                <w:rFonts w:ascii="Noto Sans" w:hAnsi="Noto Sans" w:cs="Noto Sans"/>
                <w:b/>
                <w:bCs w:val="0"/>
                <w:color w:val="FFFFFF" w:themeColor="background1"/>
                <w:sz w:val="24"/>
              </w:rPr>
              <w:t>Predicted pedestrian use</w:t>
            </w:r>
          </w:p>
        </w:tc>
        <w:tc>
          <w:tcPr>
            <w:tcW w:w="2127" w:type="dxa"/>
          </w:tcPr>
          <w:p w14:paraId="7C09178D" w14:textId="77777777" w:rsidR="00FD6F82" w:rsidRPr="00452DBC" w:rsidRDefault="00FD6F82" w:rsidP="00FD6F82">
            <w:pPr>
              <w:pStyle w:val="TableHeading"/>
              <w:cnfStyle w:val="100000000000" w:firstRow="1" w:lastRow="0" w:firstColumn="0" w:lastColumn="0" w:oddVBand="0" w:evenVBand="0" w:oddHBand="0" w:evenHBand="0" w:firstRowFirstColumn="0" w:firstRowLastColumn="0" w:lastRowFirstColumn="0" w:lastRowLastColumn="0"/>
              <w:rPr>
                <w:rFonts w:ascii="Noto Sans" w:hAnsi="Noto Sans" w:cs="Noto Sans"/>
                <w:b/>
                <w:bCs w:val="0"/>
                <w:color w:val="FFFFFF" w:themeColor="background1"/>
                <w:sz w:val="24"/>
              </w:rPr>
            </w:pPr>
            <w:r w:rsidRPr="00452DBC">
              <w:rPr>
                <w:rFonts w:ascii="Noto Sans" w:hAnsi="Noto Sans" w:cs="Noto Sans"/>
                <w:b/>
                <w:bCs w:val="0"/>
                <w:color w:val="FFFFFF" w:themeColor="background1"/>
                <w:sz w:val="24"/>
              </w:rPr>
              <w:t>Minimum clear through route width for pedestrians</w:t>
            </w:r>
          </w:p>
        </w:tc>
        <w:tc>
          <w:tcPr>
            <w:tcW w:w="5819" w:type="dxa"/>
          </w:tcPr>
          <w:p w14:paraId="03D97AC8" w14:textId="77777777" w:rsidR="00FD6F82" w:rsidRPr="00452DBC" w:rsidRDefault="00FD6F82" w:rsidP="00FD6F82">
            <w:pPr>
              <w:pStyle w:val="TableHeading"/>
              <w:cnfStyle w:val="100000000000" w:firstRow="1" w:lastRow="0" w:firstColumn="0" w:lastColumn="0" w:oddVBand="0" w:evenVBand="0" w:oddHBand="0" w:evenHBand="0" w:firstRowFirstColumn="0" w:firstRowLastColumn="0" w:lastRowFirstColumn="0" w:lastRowLastColumn="0"/>
              <w:rPr>
                <w:rFonts w:ascii="Noto Sans" w:hAnsi="Noto Sans" w:cs="Noto Sans"/>
                <w:b/>
                <w:bCs w:val="0"/>
                <w:color w:val="FFFFFF" w:themeColor="background1"/>
                <w:sz w:val="24"/>
              </w:rPr>
            </w:pPr>
            <w:r w:rsidRPr="00452DBC">
              <w:rPr>
                <w:rFonts w:ascii="Noto Sans" w:hAnsi="Noto Sans" w:cs="Noto Sans"/>
                <w:b/>
                <w:bCs w:val="0"/>
                <w:color w:val="FFFFFF" w:themeColor="background1"/>
                <w:sz w:val="24"/>
              </w:rPr>
              <w:t>Scenario and context</w:t>
            </w:r>
          </w:p>
        </w:tc>
      </w:tr>
      <w:tr w:rsidR="00CE0A90" w:rsidRPr="00CA455D" w14:paraId="61663AA5" w14:textId="77777777" w:rsidTr="00452DBC">
        <w:tc>
          <w:tcPr>
            <w:cnfStyle w:val="001000000000" w:firstRow="0" w:lastRow="0" w:firstColumn="1" w:lastColumn="0" w:oddVBand="0" w:evenVBand="0" w:oddHBand="0" w:evenHBand="0" w:firstRowFirstColumn="0" w:firstRowLastColumn="0" w:lastRowFirstColumn="0" w:lastRowLastColumn="0"/>
            <w:tcW w:w="1696" w:type="dxa"/>
          </w:tcPr>
          <w:p w14:paraId="68BC7DBB" w14:textId="77777777" w:rsidR="00FD6F82" w:rsidRPr="00CA455D" w:rsidRDefault="00FD6F82" w:rsidP="00FD6F82">
            <w:pPr>
              <w:autoSpaceDE w:val="0"/>
              <w:autoSpaceDN w:val="0"/>
              <w:adjustRightInd w:val="0"/>
              <w:rPr>
                <w:rFonts w:ascii="Noto Sans" w:hAnsi="Noto Sans" w:cs="Noto Sans"/>
                <w:b w:val="0"/>
                <w:bCs w:val="0"/>
                <w:color w:val="000000"/>
                <w:szCs w:val="24"/>
              </w:rPr>
            </w:pPr>
            <w:r w:rsidRPr="00CA455D">
              <w:rPr>
                <w:rFonts w:ascii="Noto Sans" w:hAnsi="Noto Sans" w:cs="Noto Sans"/>
                <w:color w:val="000000"/>
                <w:szCs w:val="24"/>
              </w:rPr>
              <w:t>Medium use</w:t>
            </w:r>
          </w:p>
        </w:tc>
        <w:tc>
          <w:tcPr>
            <w:tcW w:w="2127" w:type="dxa"/>
          </w:tcPr>
          <w:p w14:paraId="22305729" w14:textId="6ED1D2E5" w:rsidR="00FD6F82" w:rsidRPr="00CA455D" w:rsidRDefault="00FD6F82" w:rsidP="00FD6F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szCs w:val="24"/>
              </w:rPr>
            </w:pPr>
            <w:r w:rsidRPr="00CA455D">
              <w:rPr>
                <w:rFonts w:ascii="Noto Sans" w:hAnsi="Noto Sans" w:cs="Noto Sans"/>
                <w:bCs/>
                <w:color w:val="000000"/>
                <w:szCs w:val="24"/>
              </w:rPr>
              <w:t>2.0m</w:t>
            </w:r>
            <w:r w:rsidR="00452DBC">
              <w:rPr>
                <w:rFonts w:ascii="Noto Sans" w:hAnsi="Noto Sans" w:cs="Noto Sans"/>
                <w:bCs/>
                <w:color w:val="000000"/>
                <w:szCs w:val="24"/>
              </w:rPr>
              <w:t xml:space="preserve"> </w:t>
            </w:r>
            <w:r w:rsidRPr="00CA455D">
              <w:rPr>
                <w:rFonts w:ascii="Noto Sans" w:hAnsi="Noto Sans" w:cs="Noto Sans"/>
                <w:bCs/>
                <w:color w:val="000000"/>
                <w:szCs w:val="24"/>
              </w:rPr>
              <w:t>-</w:t>
            </w:r>
            <w:r w:rsidR="00452DBC">
              <w:rPr>
                <w:rFonts w:ascii="Noto Sans" w:hAnsi="Noto Sans" w:cs="Noto Sans"/>
                <w:bCs/>
                <w:color w:val="000000"/>
                <w:szCs w:val="24"/>
              </w:rPr>
              <w:t xml:space="preserve"> </w:t>
            </w:r>
            <w:r w:rsidRPr="00CA455D">
              <w:rPr>
                <w:rFonts w:ascii="Noto Sans" w:hAnsi="Noto Sans" w:cs="Noto Sans"/>
                <w:bCs/>
                <w:color w:val="000000"/>
                <w:szCs w:val="24"/>
              </w:rPr>
              <w:t>3.0m</w:t>
            </w:r>
          </w:p>
        </w:tc>
        <w:tc>
          <w:tcPr>
            <w:tcW w:w="5819" w:type="dxa"/>
          </w:tcPr>
          <w:p w14:paraId="338C8CC6"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In walk-up catchment of a public transport station</w:t>
            </w:r>
          </w:p>
          <w:p w14:paraId="32014958"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Near medium density residential areas</w:t>
            </w:r>
          </w:p>
          <w:p w14:paraId="76677E65"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Near small to medium sized schools</w:t>
            </w:r>
          </w:p>
          <w:p w14:paraId="7B68E931"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16"/>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Small to medium local shopping areas</w:t>
            </w:r>
          </w:p>
          <w:p w14:paraId="02C6EA6D" w14:textId="77777777" w:rsidR="00FD6F82" w:rsidRPr="00CA455D" w:rsidRDefault="00FD6F82" w:rsidP="006D1AE9">
            <w:pPr>
              <w:pStyle w:val="ListParagraph"/>
              <w:numPr>
                <w:ilvl w:val="0"/>
                <w:numId w:val="13"/>
              </w:numPr>
              <w:suppressAutoHyphens w:val="0"/>
              <w:autoSpaceDE w:val="0"/>
              <w:autoSpaceDN w:val="0"/>
              <w:adjustRightInd w:val="0"/>
              <w:spacing w:before="0" w:after="60" w:line="240" w:lineRule="auto"/>
              <w:ind w:left="302"/>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rPr>
            </w:pPr>
            <w:r w:rsidRPr="00CA455D">
              <w:rPr>
                <w:rFonts w:ascii="Noto Sans" w:hAnsi="Noto Sans" w:cs="Noto Sans"/>
                <w:color w:val="000000"/>
                <w:lang w:val="en-US"/>
              </w:rPr>
              <w:t>Passing of wider wheeled devices can occur within footpath width but walking in a group is uncomfortable.</w:t>
            </w:r>
          </w:p>
          <w:p w14:paraId="241C012F" w14:textId="77777777" w:rsidR="00FD6F82" w:rsidRPr="00CA455D" w:rsidRDefault="00FD6F82" w:rsidP="00FD6F82">
            <w:pPr>
              <w:pStyle w:val="ListParagraph"/>
              <w:autoSpaceDE w:val="0"/>
              <w:autoSpaceDN w:val="0"/>
              <w:adjustRightInd w:val="0"/>
              <w:spacing w:after="60" w:line="240" w:lineRule="auto"/>
              <w:ind w:left="302"/>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rPr>
            </w:pPr>
            <w:r w:rsidRPr="00CA455D">
              <w:rPr>
                <w:rFonts w:ascii="Noto Sans" w:hAnsi="Noto Sans" w:cs="Noto Sans"/>
                <w:noProof/>
                <w:color w:val="000000"/>
              </w:rPr>
              <w:drawing>
                <wp:inline distT="0" distB="0" distL="0" distR="0" wp14:anchorId="37A2F0D2" wp14:editId="1E283C55">
                  <wp:extent cx="1902492" cy="2481879"/>
                  <wp:effectExtent l="0" t="3810" r="0" b="0"/>
                  <wp:docPr id="8" name="Picture 8" descr="Example of medium use footp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Example of medium use footpath.">
                            <a:extLst>
                              <a:ext uri="{C183D7F6-B498-43B3-948B-1728B52AA6E4}">
                                <adec:decorative xmlns:adec="http://schemas.microsoft.com/office/drawing/2017/decorative" val="0"/>
                              </a:ext>
                            </a:extLst>
                          </pic:cNvPr>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rot="5400000">
                            <a:off x="0" y="0"/>
                            <a:ext cx="1902492" cy="248187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0A90" w:rsidRPr="00CA455D" w14:paraId="7A7D6545" w14:textId="77777777" w:rsidTr="00452DBC">
        <w:tc>
          <w:tcPr>
            <w:cnfStyle w:val="001000000000" w:firstRow="0" w:lastRow="0" w:firstColumn="1" w:lastColumn="0" w:oddVBand="0" w:evenVBand="0" w:oddHBand="0" w:evenHBand="0" w:firstRowFirstColumn="0" w:firstRowLastColumn="0" w:lastRowFirstColumn="0" w:lastRowLastColumn="0"/>
            <w:tcW w:w="1696" w:type="dxa"/>
          </w:tcPr>
          <w:p w14:paraId="29E4C33B" w14:textId="77777777" w:rsidR="00FD6F82" w:rsidRPr="00CA455D" w:rsidRDefault="00FD6F82" w:rsidP="00FD6F82">
            <w:pPr>
              <w:autoSpaceDE w:val="0"/>
              <w:autoSpaceDN w:val="0"/>
              <w:adjustRightInd w:val="0"/>
              <w:rPr>
                <w:rFonts w:ascii="Noto Sans" w:hAnsi="Noto Sans" w:cs="Noto Sans"/>
                <w:b w:val="0"/>
                <w:bCs w:val="0"/>
                <w:color w:val="000000"/>
                <w:szCs w:val="24"/>
              </w:rPr>
            </w:pPr>
            <w:r w:rsidRPr="00CA455D">
              <w:rPr>
                <w:rFonts w:ascii="Noto Sans" w:hAnsi="Noto Sans" w:cs="Noto Sans"/>
                <w:color w:val="000000"/>
                <w:szCs w:val="24"/>
              </w:rPr>
              <w:lastRenderedPageBreak/>
              <w:t xml:space="preserve">Medium-High use </w:t>
            </w:r>
          </w:p>
        </w:tc>
        <w:tc>
          <w:tcPr>
            <w:tcW w:w="2127" w:type="dxa"/>
          </w:tcPr>
          <w:p w14:paraId="48226881" w14:textId="68515D4D" w:rsidR="00FD6F82" w:rsidRPr="00CA455D" w:rsidRDefault="00FD6F82" w:rsidP="00FD6F8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ascii="Noto Sans" w:hAnsi="Noto Sans" w:cs="Noto Sans"/>
                <w:bCs/>
                <w:color w:val="000000"/>
                <w:szCs w:val="24"/>
              </w:rPr>
            </w:pPr>
            <w:r w:rsidRPr="00CA455D">
              <w:rPr>
                <w:rFonts w:ascii="Noto Sans" w:hAnsi="Noto Sans" w:cs="Noto Sans"/>
                <w:bCs/>
                <w:color w:val="000000"/>
                <w:szCs w:val="24"/>
              </w:rPr>
              <w:t>3.0m+</w:t>
            </w:r>
          </w:p>
        </w:tc>
        <w:tc>
          <w:tcPr>
            <w:tcW w:w="5819" w:type="dxa"/>
          </w:tcPr>
          <w:p w14:paraId="6B0FEDEF"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Near to public transport stations</w:t>
            </w:r>
          </w:p>
          <w:p w14:paraId="5D27D831"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Medium to large commercial and shopping areas</w:t>
            </w:r>
          </w:p>
          <w:p w14:paraId="5C9DBF11"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Large metropolitan central city streets</w:t>
            </w:r>
          </w:p>
          <w:p w14:paraId="2AB7E544" w14:textId="77777777" w:rsidR="00FD6F82" w:rsidRPr="00CA455D" w:rsidRDefault="00FD6F82" w:rsidP="006D1AE9">
            <w:pPr>
              <w:pStyle w:val="ListParagraph"/>
              <w:numPr>
                <w:ilvl w:val="0"/>
                <w:numId w:val="13"/>
              </w:numPr>
              <w:suppressAutoHyphens w:val="0"/>
              <w:autoSpaceDE w:val="0"/>
              <w:autoSpaceDN w:val="0"/>
              <w:adjustRightInd w:val="0"/>
              <w:spacing w:before="40" w:after="0" w:line="240" w:lineRule="auto"/>
              <w:ind w:left="307"/>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Near to large schools</w:t>
            </w:r>
          </w:p>
          <w:p w14:paraId="6BE31F5E" w14:textId="1475307C" w:rsidR="00FD6F82" w:rsidRPr="00CA455D" w:rsidRDefault="00FD6F82" w:rsidP="006D1AE9">
            <w:pPr>
              <w:pStyle w:val="ListParagraph"/>
              <w:numPr>
                <w:ilvl w:val="0"/>
                <w:numId w:val="13"/>
              </w:numPr>
              <w:suppressAutoHyphens w:val="0"/>
              <w:autoSpaceDE w:val="0"/>
              <w:autoSpaceDN w:val="0"/>
              <w:adjustRightInd w:val="0"/>
              <w:spacing w:before="0" w:after="60" w:line="240" w:lineRule="auto"/>
              <w:ind w:left="302"/>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lang w:val="en-US"/>
              </w:rPr>
            </w:pPr>
            <w:r w:rsidRPr="00CA455D">
              <w:rPr>
                <w:rFonts w:ascii="Noto Sans" w:hAnsi="Noto Sans" w:cs="Noto Sans"/>
                <w:color w:val="000000"/>
                <w:lang w:val="en-US"/>
              </w:rPr>
              <w:t>Passing of wider wheeled devices can occur within footpath width and group walking is anticipated. If walking in groups is expected, 4.0m is desirable.</w:t>
            </w:r>
          </w:p>
          <w:p w14:paraId="033745CC" w14:textId="77777777" w:rsidR="00FD6F82" w:rsidRPr="00CA455D" w:rsidRDefault="00FD6F82" w:rsidP="00FD6F82">
            <w:pPr>
              <w:autoSpaceDE w:val="0"/>
              <w:autoSpaceDN w:val="0"/>
              <w:adjustRightInd w:val="0"/>
              <w:spacing w:after="60"/>
              <w:ind w:left="-58"/>
              <w:contextualSpacing/>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Cs w:val="24"/>
                <w:lang w:val="en-US"/>
              </w:rPr>
            </w:pPr>
            <w:r w:rsidRPr="00CA455D">
              <w:rPr>
                <w:rFonts w:ascii="Noto Sans" w:hAnsi="Noto Sans" w:cs="Noto Sans"/>
                <w:noProof/>
                <w:color w:val="000000"/>
                <w:szCs w:val="24"/>
              </w:rPr>
              <w:drawing>
                <wp:inline distT="0" distB="0" distL="0" distR="0" wp14:anchorId="15C9DC71" wp14:editId="6D3743B3">
                  <wp:extent cx="2438248" cy="1958340"/>
                  <wp:effectExtent l="0" t="0" r="635" b="3810"/>
                  <wp:docPr id="9" name="Picture 9" descr="Example of medium-high use footpat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Example of medium-high use footpath.">
                            <a:extLst>
                              <a:ext uri="{C183D7F6-B498-43B3-948B-1728B52AA6E4}">
                                <adec:decorative xmlns:adec="http://schemas.microsoft.com/office/drawing/2017/decorative" val="0"/>
                              </a:ext>
                            </a:extLst>
                          </pic:cNvPr>
                          <pic:cNvPicPr/>
                        </pic:nvPicPr>
                        <pic:blipFill>
                          <a:blip r:embed="rId24"/>
                          <a:stretch>
                            <a:fillRect/>
                          </a:stretch>
                        </pic:blipFill>
                        <pic:spPr>
                          <a:xfrm>
                            <a:off x="0" y="0"/>
                            <a:ext cx="2472184" cy="1985596"/>
                          </a:xfrm>
                          <a:prstGeom prst="rect">
                            <a:avLst/>
                          </a:prstGeom>
                        </pic:spPr>
                      </pic:pic>
                    </a:graphicData>
                  </a:graphic>
                </wp:inline>
              </w:drawing>
            </w:r>
          </w:p>
        </w:tc>
      </w:tr>
      <w:bookmarkEnd w:id="44"/>
    </w:tbl>
    <w:p w14:paraId="6D8A96C1" w14:textId="77777777" w:rsidR="00FD6F82" w:rsidRPr="00CA455D" w:rsidRDefault="00FD6F82" w:rsidP="00FD6F82">
      <w:pPr>
        <w:pStyle w:val="BodyText"/>
        <w:spacing w:before="0"/>
        <w:rPr>
          <w:rFonts w:ascii="Noto Sans" w:hAnsi="Noto Sans" w:cs="Noto Sans"/>
          <w:color w:val="000000"/>
          <w:sz w:val="24"/>
          <w:szCs w:val="18"/>
        </w:rPr>
      </w:pPr>
    </w:p>
    <w:p w14:paraId="490B51E1" w14:textId="2260903F" w:rsidR="00FD6F82" w:rsidRPr="00CA455D" w:rsidRDefault="00FD6F82" w:rsidP="00FD6F82">
      <w:pPr>
        <w:pStyle w:val="BodyText"/>
        <w:spacing w:before="0"/>
        <w:rPr>
          <w:rFonts w:ascii="Noto Sans" w:hAnsi="Noto Sans" w:cs="Noto Sans"/>
          <w:bCs/>
          <w:i/>
          <w:iCs/>
          <w:color w:val="000000"/>
          <w:sz w:val="24"/>
          <w:szCs w:val="18"/>
        </w:rPr>
      </w:pPr>
      <w:r w:rsidRPr="00452DBC">
        <w:rPr>
          <w:rFonts w:ascii="Noto Sans" w:hAnsi="Noto Sans" w:cs="Noto Sans"/>
          <w:b/>
          <w:bCs/>
          <w:color w:val="000000"/>
          <w:sz w:val="24"/>
          <w:szCs w:val="18"/>
        </w:rPr>
        <w:t>Note 7:</w:t>
      </w:r>
      <w:r w:rsidRPr="00CA455D">
        <w:rPr>
          <w:rFonts w:ascii="Noto Sans" w:hAnsi="Noto Sans" w:cs="Noto Sans"/>
          <w:color w:val="000000"/>
          <w:sz w:val="24"/>
          <w:szCs w:val="18"/>
        </w:rPr>
        <w:t xml:space="preserve"> A</w:t>
      </w:r>
      <w:r w:rsidRPr="00CA455D">
        <w:rPr>
          <w:rFonts w:ascii="Noto Sans" w:hAnsi="Noto Sans" w:cs="Noto Sans"/>
          <w:bCs/>
          <w:color w:val="000000"/>
          <w:sz w:val="24"/>
          <w:szCs w:val="18"/>
        </w:rPr>
        <w:t>dapted from IPWEA</w:t>
      </w:r>
      <w:r w:rsidRPr="00CA455D">
        <w:rPr>
          <w:rFonts w:ascii="Noto Sans" w:hAnsi="Noto Sans" w:cs="Noto Sans"/>
          <w:bCs/>
          <w:i/>
          <w:iCs/>
          <w:color w:val="000000"/>
          <w:sz w:val="24"/>
          <w:szCs w:val="18"/>
        </w:rPr>
        <w:t xml:space="preserve"> Street Design Manual, Part 2 Detailed Design Guidelines </w:t>
      </w:r>
      <w:r w:rsidRPr="00CA455D">
        <w:rPr>
          <w:rFonts w:ascii="Noto Sans" w:hAnsi="Noto Sans" w:cs="Noto Sans"/>
          <w:bCs/>
          <w:color w:val="000000"/>
          <w:sz w:val="24"/>
          <w:szCs w:val="18"/>
        </w:rPr>
        <w:t xml:space="preserve">(2020) and </w:t>
      </w:r>
      <w:proofErr w:type="spellStart"/>
      <w:r w:rsidRPr="00CA455D">
        <w:rPr>
          <w:rFonts w:ascii="Noto Sans" w:hAnsi="Noto Sans" w:cs="Noto Sans"/>
          <w:bCs/>
          <w:i/>
          <w:iCs/>
          <w:color w:val="000000"/>
          <w:sz w:val="24"/>
          <w:szCs w:val="18"/>
        </w:rPr>
        <w:t>TfNSW</w:t>
      </w:r>
      <w:proofErr w:type="spellEnd"/>
      <w:r w:rsidRPr="00CA455D">
        <w:rPr>
          <w:rFonts w:ascii="Noto Sans" w:hAnsi="Noto Sans" w:cs="Noto Sans"/>
          <w:bCs/>
          <w:i/>
          <w:iCs/>
          <w:color w:val="000000"/>
          <w:sz w:val="24"/>
          <w:szCs w:val="18"/>
        </w:rPr>
        <w:t xml:space="preserve"> Walking Space Guide Summary Version 2, 2020. TMR images.</w:t>
      </w:r>
    </w:p>
    <w:p w14:paraId="5251088B" w14:textId="56540D63" w:rsidR="00FD6F82" w:rsidRPr="00452DBC" w:rsidRDefault="00FD6F82" w:rsidP="00EF6437">
      <w:pPr>
        <w:pStyle w:val="Heading2"/>
        <w:rPr>
          <w:rFonts w:ascii="Noto Sans" w:hAnsi="Noto Sans" w:cs="Noto Sans"/>
          <w:b/>
          <w:bCs/>
        </w:rPr>
      </w:pPr>
      <w:bookmarkStart w:id="45" w:name="_Toc198897210"/>
      <w:bookmarkStart w:id="46" w:name="_Toc211522578"/>
      <w:r w:rsidRPr="00452DBC">
        <w:rPr>
          <w:rFonts w:ascii="Noto Sans" w:hAnsi="Noto Sans" w:cs="Noto Sans"/>
          <w:b/>
          <w:bCs/>
        </w:rPr>
        <w:t>5.3</w:t>
      </w:r>
      <w:r w:rsidR="0046251B" w:rsidRPr="00452DBC">
        <w:rPr>
          <w:rFonts w:ascii="Noto Sans" w:hAnsi="Noto Sans" w:cs="Noto Sans"/>
          <w:b/>
          <w:bCs/>
        </w:rPr>
        <w:t xml:space="preserve"> </w:t>
      </w:r>
      <w:r w:rsidRPr="00452DBC">
        <w:rPr>
          <w:rFonts w:ascii="Noto Sans" w:hAnsi="Noto Sans" w:cs="Noto Sans"/>
          <w:b/>
          <w:bCs/>
        </w:rPr>
        <w:t>Path sight lines</w:t>
      </w:r>
      <w:bookmarkEnd w:id="45"/>
      <w:bookmarkEnd w:id="46"/>
    </w:p>
    <w:p w14:paraId="6260B689" w14:textId="7B4124DA"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Path corridors must be designed to provide appropriate unobstructed sight lines. Intersection visibility splays</w:t>
      </w:r>
      <w:r w:rsidRPr="00CA455D">
        <w:rPr>
          <w:rFonts w:ascii="Noto Sans" w:eastAsiaTheme="minorHAnsi" w:hAnsi="Noto Sans" w:cs="Noto Sans"/>
          <w:color w:val="000000"/>
          <w:sz w:val="24"/>
          <w:szCs w:val="22"/>
          <w:vertAlign w:val="superscript"/>
          <w:lang w:eastAsia="en-US"/>
        </w:rPr>
        <w:footnoteReference w:id="10"/>
      </w:r>
      <w:r w:rsidRPr="00CA455D">
        <w:rPr>
          <w:rFonts w:ascii="Noto Sans" w:eastAsiaTheme="minorHAnsi" w:hAnsi="Noto Sans" w:cs="Noto Sans"/>
          <w:color w:val="000000"/>
          <w:sz w:val="24"/>
          <w:szCs w:val="22"/>
          <w:lang w:eastAsia="en-US"/>
        </w:rPr>
        <w:t xml:space="preserve"> and visibility requirements for two-way paths</w:t>
      </w:r>
      <w:r w:rsidRPr="00CA455D">
        <w:rPr>
          <w:rFonts w:ascii="Noto Sans" w:eastAsiaTheme="minorHAnsi" w:hAnsi="Noto Sans" w:cs="Noto Sans"/>
          <w:color w:val="000000"/>
          <w:sz w:val="24"/>
          <w:szCs w:val="22"/>
          <w:vertAlign w:val="superscript"/>
          <w:lang w:eastAsia="en-US"/>
        </w:rPr>
        <w:footnoteReference w:id="11"/>
      </w:r>
      <w:r w:rsidRPr="00CA455D">
        <w:rPr>
          <w:rFonts w:ascii="Noto Sans" w:eastAsiaTheme="minorHAnsi" w:hAnsi="Noto Sans" w:cs="Noto Sans"/>
          <w:color w:val="000000"/>
          <w:sz w:val="24"/>
          <w:szCs w:val="22"/>
          <w:lang w:eastAsia="en-US"/>
        </w:rPr>
        <w:t xml:space="preserve"> must be considered in addition to other general visibility checks.</w:t>
      </w:r>
    </w:p>
    <w:p w14:paraId="33477F76" w14:textId="1CC7EA99" w:rsidR="00FD6F82" w:rsidRPr="00452DBC" w:rsidRDefault="00FD6F82" w:rsidP="00EF6437">
      <w:pPr>
        <w:pStyle w:val="Heading2"/>
        <w:rPr>
          <w:rFonts w:ascii="Noto Sans" w:hAnsi="Noto Sans" w:cs="Noto Sans"/>
          <w:b/>
          <w:bCs/>
        </w:rPr>
      </w:pPr>
      <w:bookmarkStart w:id="47" w:name="_Toc198897211"/>
      <w:bookmarkStart w:id="48" w:name="_Toc211522579"/>
      <w:r w:rsidRPr="00452DBC">
        <w:rPr>
          <w:rFonts w:ascii="Noto Sans" w:hAnsi="Noto Sans" w:cs="Noto Sans"/>
          <w:b/>
          <w:bCs/>
        </w:rPr>
        <w:lastRenderedPageBreak/>
        <w:t>5.4</w:t>
      </w:r>
      <w:r w:rsidR="0046251B" w:rsidRPr="00452DBC">
        <w:rPr>
          <w:rFonts w:ascii="Noto Sans" w:hAnsi="Noto Sans" w:cs="Noto Sans"/>
          <w:b/>
          <w:bCs/>
        </w:rPr>
        <w:t xml:space="preserve"> </w:t>
      </w:r>
      <w:r w:rsidRPr="00452DBC">
        <w:rPr>
          <w:rFonts w:ascii="Noto Sans" w:hAnsi="Noto Sans" w:cs="Noto Sans"/>
          <w:b/>
          <w:bCs/>
        </w:rPr>
        <w:t>Path joints</w:t>
      </w:r>
      <w:bookmarkEnd w:id="47"/>
      <w:bookmarkEnd w:id="48"/>
    </w:p>
    <w:p w14:paraId="58F1959A"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Where an existing path is to be widened, longitudinal joints in paths are only to be considered where a physical divider, such as a kerb, can be used to cover this joint.</w:t>
      </w:r>
    </w:p>
    <w:p w14:paraId="47051694"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p>
    <w:p w14:paraId="293FF93E"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Transverse joints shall be designed to be smooth; this is usually achieved through sawcut joints</w:t>
      </w:r>
      <w:r w:rsidRPr="00CA455D">
        <w:rPr>
          <w:rFonts w:ascii="Noto Sans" w:eastAsiaTheme="minorHAnsi" w:hAnsi="Noto Sans" w:cs="Noto Sans"/>
          <w:color w:val="000000"/>
          <w:sz w:val="24"/>
          <w:szCs w:val="22"/>
          <w:vertAlign w:val="superscript"/>
          <w:lang w:eastAsia="en-US"/>
        </w:rPr>
        <w:footnoteReference w:id="12"/>
      </w:r>
      <w:r w:rsidRPr="00CA455D">
        <w:rPr>
          <w:rFonts w:ascii="Noto Sans" w:eastAsiaTheme="minorHAnsi" w:hAnsi="Noto Sans" w:cs="Noto Sans"/>
          <w:color w:val="000000"/>
          <w:sz w:val="24"/>
          <w:szCs w:val="22"/>
          <w:lang w:eastAsia="en-US"/>
        </w:rPr>
        <w:t xml:space="preserve"> or using a proprietary jointing system. Tooled joints are not acceptable.</w:t>
      </w:r>
    </w:p>
    <w:p w14:paraId="16499252"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p>
    <w:p w14:paraId="1F7F229E"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Where possible, pathways should be positioned so they are clear of the roots of established trees. In constrained locations where paths will be within the root zone of trees, pathway joint systems between slabs should be used to minimise any displacement of slabs that could form a hazard. Refer </w:t>
      </w:r>
      <w:bookmarkStart w:id="50" w:name="_Hlk196301105"/>
      <w:r w:rsidRPr="00CA455D">
        <w:rPr>
          <w:rFonts w:ascii="Noto Sans" w:eastAsiaTheme="minorHAnsi" w:hAnsi="Noto Sans" w:cs="Noto Sans"/>
          <w:color w:val="000000"/>
          <w:sz w:val="24"/>
          <w:szCs w:val="22"/>
          <w:lang w:eastAsia="en-US"/>
        </w:rPr>
        <w:t xml:space="preserve">TMR’s </w:t>
      </w:r>
      <w:r w:rsidRPr="00CA455D">
        <w:rPr>
          <w:rFonts w:ascii="Noto Sans" w:eastAsiaTheme="minorHAnsi" w:hAnsi="Noto Sans" w:cs="Noto Sans"/>
          <w:i/>
          <w:iCs/>
          <w:color w:val="000000"/>
          <w:sz w:val="24"/>
          <w:szCs w:val="22"/>
          <w:lang w:eastAsia="en-US"/>
        </w:rPr>
        <w:t>TN197 Provision of shade along paths</w:t>
      </w:r>
      <w:r w:rsidRPr="00CA455D">
        <w:rPr>
          <w:rFonts w:ascii="Noto Sans" w:eastAsiaTheme="minorHAnsi" w:hAnsi="Noto Sans" w:cs="Noto Sans"/>
          <w:color w:val="000000"/>
          <w:sz w:val="24"/>
          <w:szCs w:val="22"/>
          <w:lang w:eastAsia="en-US"/>
        </w:rPr>
        <w:t xml:space="preserve"> (Jul 2021)</w:t>
      </w:r>
      <w:bookmarkEnd w:id="50"/>
      <w:r w:rsidRPr="00CA455D">
        <w:rPr>
          <w:rFonts w:ascii="Noto Sans" w:eastAsiaTheme="minorHAnsi" w:hAnsi="Noto Sans" w:cs="Noto Sans"/>
          <w:color w:val="000000"/>
          <w:sz w:val="24"/>
          <w:szCs w:val="22"/>
          <w:lang w:eastAsia="en-US"/>
        </w:rPr>
        <w:t xml:space="preserve"> for root zone considerations.</w:t>
      </w:r>
    </w:p>
    <w:p w14:paraId="530F6F5B" w14:textId="0C8A4F7B" w:rsidR="00FD6F82" w:rsidRPr="00452DBC" w:rsidRDefault="00FD6F82" w:rsidP="00EF6437">
      <w:pPr>
        <w:pStyle w:val="Heading2"/>
        <w:rPr>
          <w:rFonts w:ascii="Noto Sans" w:hAnsi="Noto Sans" w:cs="Noto Sans"/>
          <w:b/>
          <w:bCs/>
        </w:rPr>
      </w:pPr>
      <w:bookmarkStart w:id="51" w:name="_Toc198897212"/>
      <w:bookmarkStart w:id="52" w:name="_Toc211522580"/>
      <w:r w:rsidRPr="00452DBC">
        <w:rPr>
          <w:rFonts w:ascii="Noto Sans" w:hAnsi="Noto Sans" w:cs="Noto Sans"/>
          <w:b/>
          <w:bCs/>
        </w:rPr>
        <w:t>5.5</w:t>
      </w:r>
      <w:r w:rsidR="0046251B" w:rsidRPr="00452DBC">
        <w:rPr>
          <w:rFonts w:ascii="Noto Sans" w:hAnsi="Noto Sans" w:cs="Noto Sans"/>
          <w:b/>
          <w:bCs/>
        </w:rPr>
        <w:t xml:space="preserve"> </w:t>
      </w:r>
      <w:r w:rsidRPr="00452DBC">
        <w:rPr>
          <w:rFonts w:ascii="Noto Sans" w:hAnsi="Noto Sans" w:cs="Noto Sans"/>
          <w:b/>
          <w:bCs/>
        </w:rPr>
        <w:t>Path pavement marking and signs</w:t>
      </w:r>
      <w:bookmarkEnd w:id="51"/>
      <w:bookmarkEnd w:id="52"/>
    </w:p>
    <w:p w14:paraId="122FDA17"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Wayfinding signage is desirable to encourage and orient new users. Refer </w:t>
      </w:r>
      <w:bookmarkStart w:id="53" w:name="_Hlk196301422"/>
      <w:r w:rsidRPr="00CA455D">
        <w:rPr>
          <w:rFonts w:ascii="Noto Sans" w:eastAsiaTheme="minorHAnsi" w:hAnsi="Noto Sans" w:cs="Noto Sans"/>
          <w:color w:val="000000"/>
          <w:sz w:val="24"/>
          <w:szCs w:val="22"/>
          <w:lang w:eastAsia="en-US"/>
        </w:rPr>
        <w:t xml:space="preserve">TMR’s guideline </w:t>
      </w:r>
      <w:r w:rsidRPr="00CA455D">
        <w:rPr>
          <w:rFonts w:ascii="Noto Sans" w:eastAsiaTheme="minorHAnsi" w:hAnsi="Noto Sans" w:cs="Noto Sans"/>
          <w:i/>
          <w:iCs/>
          <w:color w:val="000000"/>
          <w:sz w:val="24"/>
          <w:szCs w:val="22"/>
          <w:lang w:eastAsia="en-US"/>
        </w:rPr>
        <w:t>Wayfinding and signage for people walking</w:t>
      </w:r>
      <w:r w:rsidRPr="00CA455D">
        <w:rPr>
          <w:rFonts w:ascii="Noto Sans" w:eastAsiaTheme="minorHAnsi" w:hAnsi="Noto Sans" w:cs="Noto Sans"/>
          <w:color w:val="000000"/>
          <w:sz w:val="24"/>
          <w:szCs w:val="22"/>
          <w:lang w:eastAsia="en-US"/>
        </w:rPr>
        <w:t xml:space="preserve"> (Dec 2020)</w:t>
      </w:r>
      <w:bookmarkEnd w:id="53"/>
      <w:r w:rsidRPr="00CA455D">
        <w:rPr>
          <w:rFonts w:ascii="Noto Sans" w:eastAsiaTheme="minorHAnsi" w:hAnsi="Noto Sans" w:cs="Noto Sans"/>
          <w:color w:val="000000"/>
          <w:sz w:val="24"/>
          <w:szCs w:val="22"/>
          <w:lang w:eastAsia="en-US"/>
        </w:rPr>
        <w:t>.</w:t>
      </w:r>
    </w:p>
    <w:p w14:paraId="50CE6AA3"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p>
    <w:p w14:paraId="19DDD798"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Pavement marking should be easily identifiable. Where a warning colour is used at an intersection with another path, crossings or driveway, green surfacing shall only be used on a path designated “Bicycle Only”. Green surfacing is not to be used on shared paths. Coloured surface treatments should be used sparingly. Other treatments such as exposed aggregate surfacing may offer enough visual and tactile differentiation at a lower whole-of-life cost.</w:t>
      </w:r>
    </w:p>
    <w:p w14:paraId="6EA496AB"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p>
    <w:p w14:paraId="3B34FDA8"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Pavement marking of some signs may be used in lieu of vertical signs</w:t>
      </w:r>
      <w:r w:rsidRPr="00CA455D">
        <w:rPr>
          <w:rFonts w:ascii="Noto Sans" w:eastAsiaTheme="minorHAnsi" w:hAnsi="Noto Sans" w:cs="Noto Sans"/>
          <w:color w:val="000000"/>
          <w:sz w:val="24"/>
          <w:szCs w:val="22"/>
          <w:vertAlign w:val="superscript"/>
          <w:lang w:eastAsia="en-US"/>
        </w:rPr>
        <w:footnoteReference w:id="13"/>
      </w:r>
      <w:r w:rsidRPr="00CA455D">
        <w:rPr>
          <w:rFonts w:ascii="Noto Sans" w:eastAsiaTheme="minorHAnsi" w:hAnsi="Noto Sans" w:cs="Noto Sans"/>
          <w:color w:val="000000"/>
          <w:sz w:val="24"/>
          <w:szCs w:val="22"/>
          <w:lang w:eastAsia="en-US"/>
        </w:rPr>
        <w:t>, which can reduce sign clutter and may improve sign visibility for path users.</w:t>
      </w:r>
    </w:p>
    <w:p w14:paraId="7AF3E048"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p>
    <w:p w14:paraId="309E7CDB" w14:textId="687E181B"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Shared path signage is not necessary as Queensland Road Rule 250 permits people to ride on footpaths – refer also TMR's </w:t>
      </w:r>
      <w:r w:rsidRPr="00CA455D">
        <w:rPr>
          <w:rFonts w:ascii="Noto Sans" w:eastAsiaTheme="minorHAnsi" w:hAnsi="Noto Sans" w:cs="Noto Sans"/>
          <w:i/>
          <w:iCs/>
          <w:color w:val="000000"/>
          <w:sz w:val="24"/>
          <w:szCs w:val="22"/>
          <w:lang w:eastAsia="en-US"/>
        </w:rPr>
        <w:t xml:space="preserve">Queensland Manual of Uniform Traffic Control Devices Part 9: Bicycle facilities </w:t>
      </w:r>
      <w:r w:rsidRPr="00CA455D">
        <w:rPr>
          <w:rFonts w:ascii="Noto Sans" w:eastAsiaTheme="minorHAnsi" w:hAnsi="Noto Sans" w:cs="Noto Sans"/>
          <w:color w:val="000000"/>
          <w:sz w:val="24"/>
          <w:szCs w:val="22"/>
          <w:lang w:eastAsia="en-US"/>
        </w:rPr>
        <w:t>(Jul 2024).</w:t>
      </w:r>
    </w:p>
    <w:p w14:paraId="4B28B899" w14:textId="79FD5BB4" w:rsidR="00FD6F82" w:rsidRPr="00452DBC" w:rsidRDefault="00FD6F82" w:rsidP="00EF6437">
      <w:pPr>
        <w:pStyle w:val="Heading2"/>
        <w:rPr>
          <w:rFonts w:ascii="Noto Sans" w:hAnsi="Noto Sans" w:cs="Noto Sans"/>
          <w:b/>
          <w:bCs/>
        </w:rPr>
      </w:pPr>
      <w:bookmarkStart w:id="55" w:name="_Toc198897213"/>
      <w:bookmarkStart w:id="56" w:name="_Toc211522581"/>
      <w:r w:rsidRPr="00452DBC">
        <w:rPr>
          <w:rFonts w:ascii="Noto Sans" w:hAnsi="Noto Sans" w:cs="Noto Sans"/>
          <w:b/>
          <w:bCs/>
        </w:rPr>
        <w:lastRenderedPageBreak/>
        <w:t>5.6</w:t>
      </w:r>
      <w:r w:rsidR="0046251B" w:rsidRPr="00452DBC">
        <w:rPr>
          <w:rFonts w:ascii="Noto Sans" w:hAnsi="Noto Sans" w:cs="Noto Sans"/>
          <w:b/>
          <w:bCs/>
        </w:rPr>
        <w:t xml:space="preserve"> </w:t>
      </w:r>
      <w:r w:rsidRPr="00452DBC">
        <w:rPr>
          <w:rFonts w:ascii="Noto Sans" w:hAnsi="Noto Sans" w:cs="Noto Sans"/>
          <w:b/>
          <w:bCs/>
        </w:rPr>
        <w:t>Path and driveway conflict/s</w:t>
      </w:r>
      <w:bookmarkEnd w:id="55"/>
      <w:bookmarkEnd w:id="56"/>
    </w:p>
    <w:p w14:paraId="743E93A8"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Paths intersecting driveways shall be constructed to provide a smooth joint between the two facilities using measures to control joint displacement such as dowels or other proprietary devices. </w:t>
      </w:r>
    </w:p>
    <w:p w14:paraId="1FB37836" w14:textId="77777777"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p>
    <w:p w14:paraId="782C68BE" w14:textId="3906C95B" w:rsidR="00FD6F82" w:rsidRPr="00CA455D" w:rsidRDefault="00FD6F82" w:rsidP="00FD6F82">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Where existing driveways do not meet the cross-fall requirements of proposed shared paths, they should be reconstructed to join smoothly to the pathway grade and cross-fall. Where driveways are being installed or reconstructed, the kerb crossing should not include a vertical lip at the invert. </w:t>
      </w:r>
    </w:p>
    <w:p w14:paraId="1A3E72BF" w14:textId="77777777" w:rsidR="00EF3327" w:rsidRPr="00CA455D" w:rsidRDefault="00EF3327" w:rsidP="00FD6F82">
      <w:pPr>
        <w:pStyle w:val="BodyText"/>
        <w:spacing w:before="0" w:after="0" w:line="320" w:lineRule="atLeast"/>
        <w:rPr>
          <w:rFonts w:ascii="Noto Sans" w:eastAsiaTheme="minorHAnsi" w:hAnsi="Noto Sans" w:cs="Noto Sans"/>
          <w:color w:val="000000"/>
          <w:sz w:val="24"/>
          <w:szCs w:val="22"/>
          <w:lang w:eastAsia="en-US"/>
        </w:rPr>
      </w:pPr>
    </w:p>
    <w:p w14:paraId="4346AA20" w14:textId="3CEFF54D"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Sight lines between drivers entering or exiting driveways, and path users should also be provided</w:t>
      </w:r>
      <w:r w:rsidRPr="00CA455D">
        <w:rPr>
          <w:rFonts w:ascii="Noto Sans" w:eastAsiaTheme="minorHAnsi" w:hAnsi="Noto Sans" w:cs="Noto Sans"/>
          <w:color w:val="000000"/>
          <w:sz w:val="24"/>
          <w:szCs w:val="22"/>
          <w:vertAlign w:val="superscript"/>
          <w:lang w:eastAsia="en-US"/>
        </w:rPr>
        <w:footnoteReference w:id="14"/>
      </w:r>
      <w:r w:rsidRPr="00CA455D">
        <w:rPr>
          <w:rFonts w:ascii="Noto Sans" w:eastAsiaTheme="minorHAnsi" w:hAnsi="Noto Sans" w:cs="Noto Sans"/>
          <w:color w:val="000000"/>
          <w:sz w:val="24"/>
          <w:szCs w:val="22"/>
          <w:lang w:eastAsia="en-US"/>
        </w:rPr>
        <w:t>. On commercial driveways, further treatments such as road humps are usually required to reinforce low vehicle speeds and path priority</w:t>
      </w:r>
      <w:r w:rsidRPr="00CA455D">
        <w:rPr>
          <w:rFonts w:ascii="Noto Sans" w:eastAsiaTheme="minorHAnsi" w:hAnsi="Noto Sans" w:cs="Noto Sans"/>
          <w:color w:val="000000"/>
          <w:sz w:val="24"/>
          <w:szCs w:val="22"/>
          <w:vertAlign w:val="superscript"/>
          <w:lang w:eastAsia="en-US"/>
        </w:rPr>
        <w:footnoteReference w:id="15"/>
      </w:r>
      <w:r w:rsidRPr="00CA455D">
        <w:rPr>
          <w:rFonts w:ascii="Noto Sans" w:eastAsiaTheme="minorHAnsi" w:hAnsi="Noto Sans" w:cs="Noto Sans"/>
          <w:color w:val="000000"/>
          <w:sz w:val="24"/>
          <w:szCs w:val="22"/>
          <w:lang w:eastAsia="en-US"/>
        </w:rPr>
        <w:t xml:space="preserve">. </w:t>
      </w:r>
    </w:p>
    <w:p w14:paraId="08F95BA1"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Driveways should be visually delineated to maintain the appearance of the path being continuous through the driveway</w:t>
      </w:r>
      <w:r w:rsidRPr="00CA455D">
        <w:rPr>
          <w:rFonts w:ascii="Noto Sans" w:eastAsiaTheme="minorHAnsi" w:hAnsi="Noto Sans" w:cs="Noto Sans"/>
          <w:color w:val="000000"/>
          <w:sz w:val="24"/>
          <w:szCs w:val="22"/>
          <w:vertAlign w:val="superscript"/>
          <w:lang w:eastAsia="en-US"/>
        </w:rPr>
        <w:footnoteReference w:id="16"/>
      </w:r>
      <w:r w:rsidRPr="00CA455D">
        <w:rPr>
          <w:rFonts w:ascii="Noto Sans" w:eastAsiaTheme="minorHAnsi" w:hAnsi="Noto Sans" w:cs="Noto Sans"/>
          <w:color w:val="000000"/>
          <w:sz w:val="24"/>
          <w:szCs w:val="22"/>
          <w:lang w:eastAsia="en-US"/>
        </w:rPr>
        <w:t>.</w:t>
      </w:r>
    </w:p>
    <w:p w14:paraId="79794EC4" w14:textId="1D6D66FD" w:rsidR="00EF3327" w:rsidRPr="00452DBC" w:rsidRDefault="00EF3327" w:rsidP="00EF6437">
      <w:pPr>
        <w:pStyle w:val="Heading2"/>
        <w:rPr>
          <w:rFonts w:ascii="Noto Sans" w:hAnsi="Noto Sans" w:cs="Noto Sans"/>
          <w:b/>
          <w:bCs/>
        </w:rPr>
      </w:pPr>
      <w:bookmarkStart w:id="58" w:name="_Toc211522582"/>
      <w:r w:rsidRPr="00452DBC">
        <w:rPr>
          <w:rFonts w:ascii="Noto Sans" w:hAnsi="Noto Sans" w:cs="Noto Sans"/>
          <w:b/>
          <w:bCs/>
        </w:rPr>
        <w:t>5.7</w:t>
      </w:r>
      <w:r w:rsidR="0046251B" w:rsidRPr="00452DBC">
        <w:rPr>
          <w:rFonts w:ascii="Noto Sans" w:hAnsi="Noto Sans" w:cs="Noto Sans"/>
          <w:b/>
          <w:bCs/>
        </w:rPr>
        <w:t xml:space="preserve"> </w:t>
      </w:r>
      <w:r w:rsidRPr="00452DBC">
        <w:rPr>
          <w:rFonts w:ascii="Noto Sans" w:hAnsi="Noto Sans" w:cs="Noto Sans"/>
          <w:b/>
          <w:bCs/>
        </w:rPr>
        <w:t>Objects adjacent to paths</w:t>
      </w:r>
      <w:bookmarkEnd w:id="58"/>
    </w:p>
    <w:p w14:paraId="4A617CC7" w14:textId="5C86437A"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A 1.0 m clearance should be provided from the edge of the rideable surface of any bike facility or shared path to any potentially hazardous object adjacent to the path/facility.</w:t>
      </w:r>
      <w:r w:rsidR="00EF6437" w:rsidRPr="00CA455D">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color w:val="000000"/>
          <w:sz w:val="24"/>
          <w:szCs w:val="22"/>
          <w:lang w:eastAsia="en-US"/>
        </w:rPr>
        <w:t>Fencing, balustrades and vegetation should be placed to ensure unobstructed sight lines are available.</w:t>
      </w:r>
    </w:p>
    <w:p w14:paraId="18FCCB04"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p>
    <w:p w14:paraId="3505216F"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Selection of vegetation adjacent to paths should consider the effects of leaf, seed and other plant debris on path slip resistance and maintenance. Planting of vegetation adjacent to paths must ensure clearances and sight lines are easily maintained as the planting matures.</w:t>
      </w:r>
    </w:p>
    <w:p w14:paraId="20E07605"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p>
    <w:p w14:paraId="5E1C575C"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Designing to minimise the extent of fencing is recommended. Landscaping or low shrubbery (up to 0.5 m high) is a desirable alternative to fencing in many situations.</w:t>
      </w:r>
    </w:p>
    <w:p w14:paraId="00505172"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p>
    <w:p w14:paraId="245140E8" w14:textId="77777777" w:rsidR="00EF3327" w:rsidRPr="00CA455D" w:rsidRDefault="00EF3327" w:rsidP="00EF332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lastRenderedPageBreak/>
        <w:t xml:space="preserve">Fencing is intended to protect path users from hazards however it does not necessarily need to follow the edge of path. For example, fencing the headwall and wings of a culvert protects path users from the hazard while maximising clearance to the path. Fencing constructed directly adjacent to the path shall incorporate flared terminals, refer TMR </w:t>
      </w:r>
      <w:bookmarkStart w:id="59" w:name="_Hlk196301879"/>
      <w:r w:rsidRPr="00CA455D">
        <w:rPr>
          <w:rFonts w:ascii="Noto Sans" w:eastAsiaTheme="minorHAnsi" w:hAnsi="Noto Sans" w:cs="Noto Sans"/>
          <w:i/>
          <w:iCs/>
          <w:color w:val="000000"/>
          <w:sz w:val="24"/>
          <w:szCs w:val="22"/>
          <w:lang w:eastAsia="en-US"/>
        </w:rPr>
        <w:t>Fencing and edging treatments for cycling infrastructure</w:t>
      </w:r>
      <w:r w:rsidRPr="00CA455D">
        <w:rPr>
          <w:rFonts w:ascii="Noto Sans" w:eastAsiaTheme="minorHAnsi" w:hAnsi="Noto Sans" w:cs="Noto Sans"/>
          <w:color w:val="000000"/>
          <w:sz w:val="24"/>
          <w:szCs w:val="22"/>
          <w:lang w:eastAsia="en-US"/>
        </w:rPr>
        <w:t xml:space="preserve"> (Feb 2019)</w:t>
      </w:r>
      <w:bookmarkEnd w:id="59"/>
      <w:r w:rsidRPr="00CA455D">
        <w:rPr>
          <w:rFonts w:ascii="Noto Sans" w:eastAsiaTheme="minorHAnsi" w:hAnsi="Noto Sans" w:cs="Noto Sans"/>
          <w:color w:val="000000"/>
          <w:sz w:val="24"/>
          <w:szCs w:val="22"/>
          <w:lang w:eastAsia="en-US"/>
        </w:rPr>
        <w:t xml:space="preserve"> guideline for details and Figure 6.</w:t>
      </w:r>
    </w:p>
    <w:p w14:paraId="19A982AC" w14:textId="77777777" w:rsidR="00EF3327" w:rsidRPr="00CA455D" w:rsidRDefault="00EF3327" w:rsidP="00EF3327">
      <w:pPr>
        <w:pStyle w:val="BodyText"/>
        <w:spacing w:before="0" w:after="0" w:line="320" w:lineRule="atLeast"/>
        <w:rPr>
          <w:rFonts w:ascii="Noto Sans" w:hAnsi="Noto Sans" w:cs="Noto Sans"/>
          <w:b/>
          <w:i/>
          <w:iCs/>
          <w:color w:val="000000"/>
          <w:sz w:val="24"/>
          <w:szCs w:val="18"/>
        </w:rPr>
      </w:pPr>
    </w:p>
    <w:p w14:paraId="051B50BC" w14:textId="77777777" w:rsidR="00EF3327" w:rsidRPr="00452DBC" w:rsidRDefault="00EF3327" w:rsidP="00EF6437">
      <w:pPr>
        <w:pStyle w:val="Caption"/>
        <w:keepNext/>
        <w:rPr>
          <w:rFonts w:ascii="Noto Sans" w:eastAsia="Times New Roman" w:hAnsi="Noto Sans" w:cs="Noto Sans"/>
          <w:b/>
          <w:bCs w:val="0"/>
          <w:color w:val="000000"/>
          <w:sz w:val="24"/>
          <w:szCs w:val="18"/>
          <w:lang w:eastAsia="en-AU"/>
        </w:rPr>
      </w:pPr>
      <w:r w:rsidRPr="00452DBC">
        <w:rPr>
          <w:rFonts w:ascii="Noto Sans" w:eastAsia="Times New Roman" w:hAnsi="Noto Sans" w:cs="Noto Sans"/>
          <w:b/>
          <w:bCs w:val="0"/>
          <w:color w:val="000000"/>
          <w:sz w:val="24"/>
          <w:szCs w:val="18"/>
          <w:lang w:eastAsia="en-AU"/>
        </w:rPr>
        <w:t>Figure 6 – Fence alignment at drainage/creek crossing</w:t>
      </w:r>
    </w:p>
    <w:p w14:paraId="1CACB850" w14:textId="4C305604" w:rsidR="000134FE" w:rsidRPr="00CA455D" w:rsidRDefault="00EF3327" w:rsidP="00D61569">
      <w:pPr>
        <w:rPr>
          <w:rFonts w:ascii="Noto Sans" w:hAnsi="Noto Sans" w:cs="Noto Sans"/>
          <w:color w:val="000000"/>
        </w:rPr>
      </w:pPr>
      <w:r w:rsidRPr="00CA455D">
        <w:rPr>
          <w:rFonts w:ascii="Noto Sans" w:hAnsi="Noto Sans" w:cs="Noto Sans"/>
          <w:noProof/>
          <w:color w:val="000000"/>
        </w:rPr>
        <w:drawing>
          <wp:inline distT="0" distB="0" distL="0" distR="0" wp14:anchorId="7560A7A0" wp14:editId="36EAFCDE">
            <wp:extent cx="2913321" cy="1872289"/>
            <wp:effectExtent l="0" t="0" r="1905" b="0"/>
            <wp:docPr id="1" name="Picture 1" descr="Fence alignment at drainage/creek crossing.">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ence alignment at drainage/creek crossing.">
                      <a:extLst>
                        <a:ext uri="{C183D7F6-B498-43B3-948B-1728B52AA6E4}">
                          <adec:decorative xmlns:adec="http://schemas.microsoft.com/office/drawing/2017/decorative" val="0"/>
                        </a:ext>
                      </a:extLst>
                    </pic:cNvPr>
                    <pic:cNvPicPr/>
                  </pic:nvPicPr>
                  <pic:blipFill>
                    <a:blip r:embed="rId25"/>
                    <a:stretch>
                      <a:fillRect/>
                    </a:stretch>
                  </pic:blipFill>
                  <pic:spPr>
                    <a:xfrm>
                      <a:off x="0" y="0"/>
                      <a:ext cx="2961294" cy="1903120"/>
                    </a:xfrm>
                    <a:prstGeom prst="rect">
                      <a:avLst/>
                    </a:prstGeom>
                  </pic:spPr>
                </pic:pic>
              </a:graphicData>
            </a:graphic>
          </wp:inline>
        </w:drawing>
      </w:r>
    </w:p>
    <w:p w14:paraId="3CF3B39C" w14:textId="34E7A3D5" w:rsidR="00EF6437" w:rsidRPr="00CA455D" w:rsidRDefault="00EF332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Fencing incorporating vertical bars is not considered smooth. Rub rails are not considered an effective mitigation measure, as varying rider heights reduce their ability to prevent contact with the vertical elements of the fence. Fence types with openings of 20 mm or less are considered to have smooth features. Smaller</w:t>
      </w:r>
      <w:r w:rsidR="00EF6437" w:rsidRPr="00CA455D">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color w:val="000000"/>
          <w:sz w:val="24"/>
          <w:szCs w:val="22"/>
          <w:lang w:eastAsia="en-US"/>
        </w:rPr>
        <w:t>apertures are more desirable and may be required if anti-climb features are required. The smoothest side of fence products should face towards the path such as in Figure 7.</w:t>
      </w:r>
    </w:p>
    <w:p w14:paraId="1FCD9B52"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426A6D9C" w14:textId="00E3C470" w:rsidR="00EF3327" w:rsidRPr="00452DBC" w:rsidRDefault="00EF3327" w:rsidP="00EF6437">
      <w:pPr>
        <w:pStyle w:val="Caption"/>
        <w:keepNext/>
        <w:rPr>
          <w:rFonts w:ascii="Noto Sans" w:eastAsia="Times New Roman" w:hAnsi="Noto Sans" w:cs="Noto Sans"/>
          <w:b/>
          <w:bCs w:val="0"/>
          <w:color w:val="000000"/>
          <w:sz w:val="24"/>
          <w:szCs w:val="18"/>
          <w:lang w:eastAsia="en-AU"/>
        </w:rPr>
      </w:pPr>
      <w:r w:rsidRPr="00452DBC">
        <w:rPr>
          <w:rFonts w:ascii="Noto Sans" w:eastAsia="Times New Roman" w:hAnsi="Noto Sans" w:cs="Noto Sans"/>
          <w:b/>
          <w:bCs w:val="0"/>
          <w:color w:val="000000"/>
          <w:sz w:val="24"/>
          <w:szCs w:val="18"/>
          <w:lang w:eastAsia="en-AU"/>
        </w:rPr>
        <w:t>Figure 7 – Closely spaced mesh fencing</w:t>
      </w:r>
    </w:p>
    <w:p w14:paraId="6DB6525C" w14:textId="06827AFA" w:rsidR="00EF6437" w:rsidRPr="00CA455D" w:rsidRDefault="00EF6437" w:rsidP="00EF6437">
      <w:pPr>
        <w:rPr>
          <w:rFonts w:ascii="Noto Sans" w:hAnsi="Noto Sans" w:cs="Noto Sans"/>
          <w:color w:val="000000"/>
          <w:lang w:eastAsia="en-AU"/>
        </w:rPr>
      </w:pPr>
      <w:r w:rsidRPr="00CA455D">
        <w:rPr>
          <w:rFonts w:ascii="Noto Sans" w:hAnsi="Noto Sans" w:cs="Noto Sans"/>
          <w:noProof/>
          <w:color w:val="000000"/>
        </w:rPr>
        <w:drawing>
          <wp:inline distT="0" distB="0" distL="0" distR="0" wp14:anchorId="56B47D7E" wp14:editId="6C6D4F25">
            <wp:extent cx="2912745" cy="2794776"/>
            <wp:effectExtent l="0" t="0" r="1905" b="5715"/>
            <wp:docPr id="3" name="Picture 3" descr="Closely spaced mesh fe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losely spaced mesh fencing."/>
                    <pic:cNvPicPr/>
                  </pic:nvPicPr>
                  <pic:blipFill>
                    <a:blip r:embed="rId26">
                      <a:extLst>
                        <a:ext uri="{28A0092B-C50C-407E-A947-70E740481C1C}">
                          <a14:useLocalDpi xmlns:a14="http://schemas.microsoft.com/office/drawing/2010/main" val="0"/>
                        </a:ext>
                      </a:extLst>
                    </a:blip>
                    <a:srcRect/>
                    <a:stretch>
                      <a:fillRect/>
                    </a:stretch>
                  </pic:blipFill>
                  <pic:spPr>
                    <a:xfrm>
                      <a:off x="0" y="0"/>
                      <a:ext cx="2942894" cy="2823703"/>
                    </a:xfrm>
                    <a:prstGeom prst="rect">
                      <a:avLst/>
                    </a:prstGeom>
                  </pic:spPr>
                </pic:pic>
              </a:graphicData>
            </a:graphic>
          </wp:inline>
        </w:drawing>
      </w:r>
    </w:p>
    <w:p w14:paraId="59FF6EE3"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lastRenderedPageBreak/>
        <w:t xml:space="preserve">Fencing with continuous smooth profiles eliminates the need to consider an offset top rail on bicycle paths as handlebars and pedals will not be caught on the tightly spaced horizontal wire. This should also have the benefit of reducing the cost of the fencing. This security mesh (e.g. 358 anti-climb mesh) can also be formed with the edges rolled at the top and bottom to further increase strength and remove the need for top or bottom rails. Figure </w:t>
      </w:r>
      <w:r w:rsidRPr="00CA455D">
        <w:rPr>
          <w:rFonts w:ascii="Noto Sans" w:eastAsiaTheme="minorHAnsi" w:hAnsi="Noto Sans" w:cs="Noto Sans"/>
          <w:i/>
          <w:iCs/>
          <w:color w:val="000000"/>
          <w:sz w:val="24"/>
          <w:szCs w:val="22"/>
          <w:lang w:eastAsia="en-US"/>
        </w:rPr>
        <w:t>6A-1</w:t>
      </w:r>
      <w:r w:rsidRPr="00CA455D">
        <w:rPr>
          <w:rFonts w:ascii="Noto Sans" w:eastAsiaTheme="minorHAnsi" w:hAnsi="Noto Sans" w:cs="Noto Sans"/>
          <w:color w:val="000000"/>
          <w:sz w:val="24"/>
          <w:szCs w:val="22"/>
          <w:lang w:eastAsia="en-US"/>
        </w:rPr>
        <w:t xml:space="preserve"> in TMR's RPDM Edition 2 Volume 3 </w:t>
      </w:r>
      <w:r w:rsidRPr="00CA455D">
        <w:rPr>
          <w:rFonts w:ascii="Noto Sans" w:eastAsiaTheme="minorHAnsi" w:hAnsi="Noto Sans" w:cs="Noto Sans"/>
          <w:i/>
          <w:iCs/>
          <w:color w:val="000000"/>
          <w:sz w:val="24"/>
          <w:szCs w:val="22"/>
          <w:lang w:eastAsia="en-US"/>
        </w:rPr>
        <w:t>Supplement to Austroads Guide to Road Design Part 6A: Paths for Walking and Cycling</w:t>
      </w:r>
      <w:r w:rsidRPr="00CA455D">
        <w:rPr>
          <w:rFonts w:ascii="Noto Sans" w:eastAsiaTheme="minorHAnsi" w:hAnsi="Noto Sans" w:cs="Noto Sans"/>
          <w:color w:val="000000"/>
          <w:sz w:val="24"/>
          <w:szCs w:val="22"/>
          <w:lang w:eastAsia="en-US"/>
        </w:rPr>
        <w:t xml:space="preserve"> (Jul 2025) notes the projecting deflection rail is not required when snag-free infill panels are provided. This is the preferred full barrier fencing style on ATIP projects.</w:t>
      </w:r>
    </w:p>
    <w:p w14:paraId="374DD355"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30C0E6D6" w14:textId="03EA3F5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There is often a need for fencing of pathways across bridges, particularly where pathways pass close to the back of guardrail. If guardrail is located within 1.0 m of the path edge it is to be treated to minimise path user collision severity. If adopted, fencing needs to be designed to ensure it does not interfere with guardrail effectiveness in the event of a motor vehicle collision, and/or guardrail type selected/modified to minimise risk of impact with fencing. The path should diverge away from the guardrail as soon as practicable to minimise the amount of path with clearance constraints and the need for fencing.</w:t>
      </w:r>
      <w:bookmarkStart w:id="60" w:name="_Toc198897215"/>
    </w:p>
    <w:p w14:paraId="178AC01F" w14:textId="7D5274D8" w:rsidR="00EF6437" w:rsidRPr="00452DBC" w:rsidRDefault="00EF6437" w:rsidP="00EF6437">
      <w:pPr>
        <w:pStyle w:val="Heading2"/>
        <w:rPr>
          <w:rFonts w:ascii="Noto Sans" w:hAnsi="Noto Sans" w:cs="Noto Sans"/>
          <w:b/>
          <w:bCs/>
        </w:rPr>
      </w:pPr>
      <w:bookmarkStart w:id="61" w:name="_Toc211522583"/>
      <w:r w:rsidRPr="00452DBC">
        <w:rPr>
          <w:rFonts w:ascii="Noto Sans" w:hAnsi="Noto Sans" w:cs="Noto Sans"/>
          <w:b/>
          <w:bCs/>
        </w:rPr>
        <w:t>5.8</w:t>
      </w:r>
      <w:r w:rsidR="0046251B" w:rsidRPr="00452DBC">
        <w:rPr>
          <w:rFonts w:ascii="Noto Sans" w:hAnsi="Noto Sans" w:cs="Noto Sans"/>
          <w:b/>
          <w:bCs/>
        </w:rPr>
        <w:t xml:space="preserve"> </w:t>
      </w:r>
      <w:r w:rsidRPr="00452DBC">
        <w:rPr>
          <w:rFonts w:ascii="Noto Sans" w:hAnsi="Noto Sans" w:cs="Noto Sans"/>
          <w:b/>
          <w:bCs/>
        </w:rPr>
        <w:t>Shade provision</w:t>
      </w:r>
      <w:bookmarkEnd w:id="60"/>
      <w:bookmarkEnd w:id="61"/>
      <w:r w:rsidRPr="00452DBC">
        <w:rPr>
          <w:rFonts w:ascii="Noto Sans" w:hAnsi="Noto Sans" w:cs="Noto Sans"/>
          <w:b/>
          <w:bCs/>
        </w:rPr>
        <w:t xml:space="preserve"> </w:t>
      </w:r>
    </w:p>
    <w:p w14:paraId="5EC94542" w14:textId="2D0E3EC5"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For comfort and attractiveness and to increase the shade and cooling effect for walking and riding environments, planting of mature trees should be considered, with canopies above/outside sightlines and 2.5 m vertical clearance for riders. Refer to TMR’s </w:t>
      </w:r>
      <w:r w:rsidRPr="00CA455D">
        <w:rPr>
          <w:rFonts w:ascii="Noto Sans" w:eastAsiaTheme="minorHAnsi" w:hAnsi="Noto Sans" w:cs="Noto Sans"/>
          <w:i/>
          <w:iCs/>
          <w:color w:val="000000"/>
          <w:sz w:val="24"/>
          <w:szCs w:val="22"/>
          <w:lang w:eastAsia="en-US"/>
        </w:rPr>
        <w:t>TN197 Provision of shade along paths</w:t>
      </w:r>
      <w:r w:rsidRPr="00CA455D">
        <w:rPr>
          <w:rFonts w:ascii="Noto Sans" w:eastAsiaTheme="minorHAnsi" w:hAnsi="Noto Sans" w:cs="Noto Sans"/>
          <w:color w:val="000000"/>
          <w:sz w:val="24"/>
          <w:szCs w:val="22"/>
          <w:lang w:eastAsia="en-US"/>
        </w:rPr>
        <w:t xml:space="preserve"> (Jul 2021) for details  on providing one tree per 15 m along paths.</w:t>
      </w:r>
    </w:p>
    <w:p w14:paraId="6A72E42B" w14:textId="05D78AC1" w:rsidR="00EF6437" w:rsidRPr="00CA455D" w:rsidRDefault="00EF6437" w:rsidP="00EF6437">
      <w:pPr>
        <w:pStyle w:val="Heading2"/>
        <w:rPr>
          <w:rFonts w:ascii="Noto Sans" w:hAnsi="Noto Sans" w:cs="Noto Sans"/>
        </w:rPr>
      </w:pPr>
      <w:bookmarkStart w:id="62" w:name="_Toc198897216"/>
      <w:bookmarkStart w:id="63" w:name="_Toc211522584"/>
      <w:r w:rsidRPr="00452DBC">
        <w:rPr>
          <w:rFonts w:ascii="Noto Sans" w:hAnsi="Noto Sans" w:cs="Noto Sans"/>
          <w:b/>
          <w:bCs/>
        </w:rPr>
        <w:t>5.9</w:t>
      </w:r>
      <w:r w:rsidR="0046251B" w:rsidRPr="00452DBC">
        <w:rPr>
          <w:rFonts w:ascii="Noto Sans" w:hAnsi="Noto Sans" w:cs="Noto Sans"/>
          <w:b/>
          <w:bCs/>
        </w:rPr>
        <w:t xml:space="preserve"> </w:t>
      </w:r>
      <w:r w:rsidRPr="00452DBC">
        <w:rPr>
          <w:rFonts w:ascii="Noto Sans" w:hAnsi="Noto Sans" w:cs="Noto Sans"/>
          <w:b/>
          <w:bCs/>
        </w:rPr>
        <w:t>Access management</w:t>
      </w:r>
      <w:bookmarkEnd w:id="62"/>
      <w:bookmarkEnd w:id="63"/>
    </w:p>
    <w:p w14:paraId="54A834BD"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Access management devices such as bollards and fencing deflection rails shall not be used to generate slow points or force riders to dismount to safely navigate through the treatment.</w:t>
      </w:r>
    </w:p>
    <w:p w14:paraId="53FC1ECF"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0A36D779"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Access management treatments at path terminals should not be considered unless there is infrastructure along the pathway, such as lightweight bridges, that could be damaged by unauthorised access by a motor vehicle and no alternative solution is available. Where access management devices are required, they shall be placed in the safest location possible (for example, in a visible location clear of curves and steep grades) and be implemented to </w:t>
      </w:r>
      <w:r w:rsidRPr="00CA455D">
        <w:rPr>
          <w:rFonts w:ascii="Noto Sans" w:eastAsiaTheme="minorHAnsi" w:hAnsi="Noto Sans" w:cs="Noto Sans"/>
          <w:color w:val="000000"/>
          <w:sz w:val="24"/>
          <w:szCs w:val="22"/>
          <w:lang w:eastAsia="en-US"/>
        </w:rPr>
        <w:lastRenderedPageBreak/>
        <w:t>maintain path capacity and minimise conflict between path users. The clear opening width shall be not less than 1.6 m and approach delineation shall be marked from 5-10 m on approach to any potentially hazardous feature.</w:t>
      </w:r>
    </w:p>
    <w:p w14:paraId="74F5027D"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766D64D3"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Protection of structures from authorised motor vehicle access can potentially be managed by load limit signage, subject to local authority management. </w:t>
      </w:r>
    </w:p>
    <w:p w14:paraId="5DC1F6C0"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021D4C03" w14:textId="168AE9AE"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Appendix C in TMR's </w:t>
      </w:r>
      <w:r w:rsidRPr="00CA455D">
        <w:rPr>
          <w:rFonts w:ascii="Noto Sans" w:eastAsiaTheme="minorHAnsi" w:hAnsi="Noto Sans" w:cs="Noto Sans"/>
          <w:i/>
          <w:iCs/>
          <w:color w:val="000000"/>
          <w:sz w:val="24"/>
          <w:szCs w:val="22"/>
          <w:lang w:eastAsia="en-US"/>
        </w:rPr>
        <w:t>QGTM Part 6: Intersections, Interchanges and Crossings Management</w:t>
      </w:r>
      <w:r w:rsidRPr="00CA455D">
        <w:rPr>
          <w:rFonts w:ascii="Noto Sans" w:eastAsiaTheme="minorHAnsi" w:hAnsi="Noto Sans" w:cs="Noto Sans"/>
          <w:color w:val="000000"/>
          <w:sz w:val="24"/>
          <w:szCs w:val="22"/>
          <w:lang w:eastAsia="en-US"/>
        </w:rPr>
        <w:t xml:space="preserve"> (2020) (Nov 2024) provides further guidance on safe vehicle restriction treatments for bicycle paths and shared paths.</w:t>
      </w:r>
    </w:p>
    <w:p w14:paraId="38F9C676" w14:textId="51FCC66B" w:rsidR="00EF6437" w:rsidRPr="00452DBC" w:rsidRDefault="00EF6437" w:rsidP="00EF6437">
      <w:pPr>
        <w:pStyle w:val="Heading2"/>
        <w:rPr>
          <w:rFonts w:ascii="Noto Sans" w:hAnsi="Noto Sans" w:cs="Noto Sans"/>
          <w:b/>
          <w:bCs/>
        </w:rPr>
      </w:pPr>
      <w:bookmarkStart w:id="64" w:name="_Toc198897217"/>
      <w:bookmarkStart w:id="65" w:name="_Toc211522585"/>
      <w:r w:rsidRPr="00452DBC">
        <w:rPr>
          <w:rFonts w:ascii="Noto Sans" w:hAnsi="Noto Sans" w:cs="Noto Sans"/>
          <w:b/>
          <w:bCs/>
        </w:rPr>
        <w:t>5.10</w:t>
      </w:r>
      <w:r w:rsidR="0046251B" w:rsidRPr="00452DBC">
        <w:rPr>
          <w:rFonts w:ascii="Noto Sans" w:hAnsi="Noto Sans" w:cs="Noto Sans"/>
          <w:b/>
          <w:bCs/>
        </w:rPr>
        <w:t xml:space="preserve"> </w:t>
      </w:r>
      <w:r w:rsidRPr="00452DBC">
        <w:rPr>
          <w:rFonts w:ascii="Noto Sans" w:hAnsi="Noto Sans" w:cs="Noto Sans"/>
          <w:b/>
          <w:bCs/>
        </w:rPr>
        <w:t>Shared path longitudinal grade</w:t>
      </w:r>
      <w:bookmarkEnd w:id="64"/>
      <w:bookmarkEnd w:id="65"/>
    </w:p>
    <w:p w14:paraId="613F7FA0"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TMR’s RPDM Edition 2 Volume 3 </w:t>
      </w:r>
      <w:r w:rsidRPr="00CA455D">
        <w:rPr>
          <w:rFonts w:ascii="Noto Sans" w:eastAsiaTheme="minorHAnsi" w:hAnsi="Noto Sans" w:cs="Noto Sans"/>
          <w:i/>
          <w:iCs/>
          <w:color w:val="000000"/>
          <w:sz w:val="24"/>
          <w:szCs w:val="22"/>
          <w:lang w:eastAsia="en-US"/>
        </w:rPr>
        <w:t>Supplement to Austroads Guide to Road Design Part 6A: Paths for Walking and Cycling</w:t>
      </w:r>
      <w:r w:rsidRPr="00CA455D">
        <w:rPr>
          <w:rFonts w:ascii="Noto Sans" w:eastAsiaTheme="minorHAnsi" w:hAnsi="Noto Sans" w:cs="Noto Sans"/>
          <w:color w:val="000000"/>
          <w:sz w:val="24"/>
          <w:szCs w:val="22"/>
          <w:lang w:eastAsia="en-US"/>
        </w:rPr>
        <w:t xml:space="preserve"> (Jul 2025) and </w:t>
      </w:r>
      <w:r w:rsidRPr="00CA455D">
        <w:rPr>
          <w:rFonts w:ascii="Noto Sans" w:eastAsiaTheme="minorHAnsi" w:hAnsi="Noto Sans" w:cs="Noto Sans"/>
          <w:i/>
          <w:iCs/>
          <w:color w:val="000000"/>
          <w:sz w:val="24"/>
          <w:szCs w:val="22"/>
          <w:lang w:eastAsia="en-US"/>
        </w:rPr>
        <w:t>Austroads Guide to Road Design</w:t>
      </w:r>
      <w:r w:rsidRPr="00CA455D">
        <w:rPr>
          <w:rFonts w:ascii="Noto Sans" w:eastAsiaTheme="minorHAnsi" w:hAnsi="Noto Sans" w:cs="Noto Sans"/>
          <w:color w:val="000000"/>
          <w:sz w:val="24"/>
          <w:szCs w:val="22"/>
          <w:lang w:eastAsia="en-US"/>
        </w:rPr>
        <w:t xml:space="preserve"> (AGRD) </w:t>
      </w:r>
      <w:r w:rsidRPr="00CA455D">
        <w:rPr>
          <w:rFonts w:ascii="Noto Sans" w:eastAsiaTheme="minorHAnsi" w:hAnsi="Noto Sans" w:cs="Noto Sans"/>
          <w:i/>
          <w:iCs/>
          <w:color w:val="000000"/>
          <w:sz w:val="24"/>
          <w:szCs w:val="22"/>
          <w:lang w:eastAsia="en-US"/>
        </w:rPr>
        <w:t>Part 6A: Paths for Walking and Cycling</w:t>
      </w:r>
      <w:r w:rsidRPr="00CA455D">
        <w:rPr>
          <w:rFonts w:ascii="Noto Sans" w:eastAsiaTheme="minorHAnsi" w:hAnsi="Noto Sans" w:cs="Noto Sans"/>
          <w:color w:val="000000"/>
          <w:sz w:val="24"/>
          <w:szCs w:val="22"/>
          <w:lang w:eastAsia="en-US"/>
        </w:rPr>
        <w:t xml:space="preserve"> (Feb 2021) (</w:t>
      </w:r>
      <w:r w:rsidRPr="00CA455D">
        <w:rPr>
          <w:rFonts w:ascii="Noto Sans" w:eastAsiaTheme="minorHAnsi" w:hAnsi="Noto Sans" w:cs="Noto Sans"/>
          <w:i/>
          <w:iCs/>
          <w:color w:val="000000"/>
          <w:sz w:val="24"/>
          <w:szCs w:val="22"/>
          <w:lang w:eastAsia="en-US"/>
        </w:rPr>
        <w:t>AGRD Part 6A</w:t>
      </w:r>
      <w:r w:rsidRPr="00CA455D">
        <w:rPr>
          <w:rFonts w:ascii="Noto Sans" w:eastAsiaTheme="minorHAnsi" w:hAnsi="Noto Sans" w:cs="Noto Sans"/>
          <w:color w:val="000000"/>
          <w:sz w:val="24"/>
          <w:szCs w:val="22"/>
          <w:lang w:eastAsia="en-US"/>
        </w:rPr>
        <w:t>) provide guidance on bike path and shared path longitudinal grade.</w:t>
      </w:r>
    </w:p>
    <w:p w14:paraId="5C0FF70A"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6B851345"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With respect to shared path/s, </w:t>
      </w:r>
      <w:r w:rsidRPr="00CA455D">
        <w:rPr>
          <w:rFonts w:ascii="Noto Sans" w:eastAsiaTheme="minorHAnsi" w:hAnsi="Noto Sans" w:cs="Noto Sans"/>
          <w:i/>
          <w:iCs/>
          <w:color w:val="000000"/>
          <w:sz w:val="24"/>
          <w:szCs w:val="22"/>
          <w:lang w:eastAsia="en-US"/>
        </w:rPr>
        <w:t>Section 5.4</w:t>
      </w:r>
      <w:r w:rsidRPr="00CA455D">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i/>
          <w:iCs/>
          <w:color w:val="000000"/>
          <w:sz w:val="24"/>
          <w:szCs w:val="22"/>
          <w:lang w:eastAsia="en-US"/>
        </w:rPr>
        <w:t>Section 5.4.1</w:t>
      </w:r>
      <w:r w:rsidRPr="00CA455D">
        <w:rPr>
          <w:rFonts w:ascii="Noto Sans" w:eastAsiaTheme="minorHAnsi" w:hAnsi="Noto Sans" w:cs="Noto Sans"/>
          <w:color w:val="000000"/>
          <w:sz w:val="24"/>
          <w:szCs w:val="22"/>
          <w:lang w:eastAsia="en-US"/>
        </w:rPr>
        <w:t xml:space="preserve"> and </w:t>
      </w:r>
      <w:r w:rsidRPr="00CA455D">
        <w:rPr>
          <w:rFonts w:ascii="Noto Sans" w:eastAsiaTheme="minorHAnsi" w:hAnsi="Noto Sans" w:cs="Noto Sans"/>
          <w:i/>
          <w:iCs/>
          <w:color w:val="000000"/>
          <w:sz w:val="24"/>
          <w:szCs w:val="22"/>
          <w:lang w:eastAsia="en-US"/>
        </w:rPr>
        <w:t>Table 5.8</w:t>
      </w:r>
      <w:r w:rsidRPr="00CA455D">
        <w:rPr>
          <w:rFonts w:ascii="Noto Sans" w:eastAsiaTheme="minorHAnsi" w:hAnsi="Noto Sans" w:cs="Noto Sans"/>
          <w:color w:val="000000"/>
          <w:sz w:val="24"/>
          <w:szCs w:val="22"/>
          <w:lang w:eastAsia="en-US"/>
        </w:rPr>
        <w:t xml:space="preserve"> in </w:t>
      </w:r>
      <w:r w:rsidRPr="00CA455D">
        <w:rPr>
          <w:rFonts w:ascii="Noto Sans" w:eastAsiaTheme="minorHAnsi" w:hAnsi="Noto Sans" w:cs="Noto Sans"/>
          <w:i/>
          <w:iCs/>
          <w:color w:val="000000"/>
          <w:sz w:val="24"/>
          <w:szCs w:val="22"/>
          <w:lang w:eastAsia="en-US"/>
        </w:rPr>
        <w:t>AGRD Part 6A</w:t>
      </w:r>
      <w:r w:rsidRPr="00CA455D">
        <w:rPr>
          <w:rFonts w:ascii="Noto Sans" w:eastAsiaTheme="minorHAnsi" w:hAnsi="Noto Sans" w:cs="Noto Sans"/>
          <w:color w:val="000000"/>
          <w:sz w:val="24"/>
          <w:szCs w:val="22"/>
          <w:lang w:eastAsia="en-US"/>
        </w:rPr>
        <w:t xml:space="preserve"> reference </w:t>
      </w:r>
      <w:bookmarkStart w:id="66" w:name="_Hlk196302791"/>
      <w:r w:rsidRPr="00CA455D">
        <w:rPr>
          <w:rFonts w:ascii="Noto Sans" w:eastAsiaTheme="minorHAnsi" w:hAnsi="Noto Sans" w:cs="Noto Sans"/>
          <w:i/>
          <w:iCs/>
          <w:color w:val="000000"/>
          <w:sz w:val="24"/>
          <w:szCs w:val="22"/>
          <w:lang w:eastAsia="en-US"/>
        </w:rPr>
        <w:t>AS 1428.1</w:t>
      </w:r>
      <w:bookmarkEnd w:id="66"/>
      <w:r w:rsidRPr="00CA455D">
        <w:rPr>
          <w:rFonts w:ascii="Noto Sans" w:eastAsiaTheme="minorHAnsi" w:hAnsi="Noto Sans" w:cs="Noto Sans"/>
          <w:color w:val="000000"/>
          <w:sz w:val="24"/>
          <w:szCs w:val="22"/>
          <w:lang w:eastAsia="en-US"/>
        </w:rPr>
        <w:t xml:space="preserve"> (Jun 2021). Accordingly, </w:t>
      </w:r>
      <w:r w:rsidRPr="00CA455D">
        <w:rPr>
          <w:rFonts w:ascii="Noto Sans" w:eastAsiaTheme="minorHAnsi" w:hAnsi="Noto Sans" w:cs="Noto Sans"/>
          <w:i/>
          <w:iCs/>
          <w:color w:val="000000"/>
          <w:sz w:val="24"/>
          <w:szCs w:val="22"/>
          <w:lang w:eastAsia="en-US"/>
        </w:rPr>
        <w:t>AS 1428.1</w:t>
      </w:r>
      <w:r w:rsidRPr="00CA455D">
        <w:rPr>
          <w:rFonts w:ascii="Noto Sans" w:eastAsiaTheme="minorHAnsi" w:hAnsi="Noto Sans" w:cs="Noto Sans"/>
          <w:color w:val="000000"/>
          <w:sz w:val="24"/>
          <w:szCs w:val="22"/>
          <w:lang w:eastAsia="en-US"/>
        </w:rPr>
        <w:t xml:space="preserve"> is a relevant reference document for ATIP projects, including shared path/s. This design approach is consistent with:</w:t>
      </w:r>
    </w:p>
    <w:p w14:paraId="6B4139B2"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p>
    <w:p w14:paraId="404F56C7" w14:textId="77777777" w:rsidR="00EF6437" w:rsidRPr="00CA455D" w:rsidRDefault="00EF6437" w:rsidP="006D1AE9">
      <w:pPr>
        <w:pStyle w:val="BodyText"/>
        <w:numPr>
          <w:ilvl w:val="0"/>
          <w:numId w:val="14"/>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the requirements of the </w:t>
      </w:r>
      <w:r w:rsidRPr="00CA455D">
        <w:rPr>
          <w:rFonts w:ascii="Noto Sans" w:eastAsiaTheme="minorHAnsi" w:hAnsi="Noto Sans" w:cs="Noto Sans"/>
          <w:i/>
          <w:iCs/>
          <w:color w:val="000000"/>
          <w:sz w:val="24"/>
          <w:szCs w:val="22"/>
          <w:lang w:eastAsia="en-US"/>
        </w:rPr>
        <w:t>Disability Discrimination Act</w:t>
      </w:r>
      <w:r w:rsidRPr="00CA455D">
        <w:rPr>
          <w:rFonts w:ascii="Noto Sans" w:eastAsiaTheme="minorHAnsi" w:hAnsi="Noto Sans" w:cs="Noto Sans"/>
          <w:color w:val="000000"/>
          <w:sz w:val="24"/>
          <w:szCs w:val="22"/>
          <w:lang w:eastAsia="en-US"/>
        </w:rPr>
        <w:t xml:space="preserve"> (DD Act)</w:t>
      </w:r>
      <w:r w:rsidRPr="00CA455D">
        <w:rPr>
          <w:rFonts w:ascii="Noto Sans" w:eastAsiaTheme="minorHAnsi" w:hAnsi="Noto Sans" w:cs="Noto Sans"/>
          <w:color w:val="000000"/>
          <w:sz w:val="24"/>
          <w:szCs w:val="22"/>
          <w:vertAlign w:val="superscript"/>
          <w:lang w:eastAsia="en-US"/>
        </w:rPr>
        <w:footnoteReference w:id="17"/>
      </w:r>
      <w:r w:rsidRPr="00CA455D">
        <w:rPr>
          <w:rFonts w:ascii="Noto Sans" w:eastAsiaTheme="minorHAnsi" w:hAnsi="Noto Sans" w:cs="Noto Sans"/>
          <w:color w:val="000000"/>
          <w:sz w:val="24"/>
          <w:szCs w:val="22"/>
          <w:lang w:eastAsia="en-US"/>
        </w:rPr>
        <w:t>;</w:t>
      </w:r>
    </w:p>
    <w:p w14:paraId="3EC0E689" w14:textId="77777777" w:rsidR="00EF6437" w:rsidRPr="00CA455D" w:rsidRDefault="00EF6437" w:rsidP="006D1AE9">
      <w:pPr>
        <w:pStyle w:val="BodyText"/>
        <w:numPr>
          <w:ilvl w:val="0"/>
          <w:numId w:val="14"/>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guidance from the Australian Human Rights Commission (AHRC) that advises “premises” should be read to include “streetscapes”, which includes “public footpath” – refer Section 3 and Section 8.7 in the </w:t>
      </w:r>
      <w:bookmarkStart w:id="67" w:name="_Hlk196303131"/>
      <w:r w:rsidRPr="00CA455D">
        <w:rPr>
          <w:rFonts w:ascii="Noto Sans" w:eastAsiaTheme="minorHAnsi" w:hAnsi="Noto Sans" w:cs="Noto Sans"/>
          <w:color w:val="000000"/>
          <w:sz w:val="24"/>
          <w:szCs w:val="22"/>
          <w:lang w:eastAsia="en-US"/>
        </w:rPr>
        <w:t xml:space="preserve">AHRC </w:t>
      </w:r>
      <w:r w:rsidRPr="00CA455D">
        <w:rPr>
          <w:rFonts w:ascii="Noto Sans" w:eastAsiaTheme="minorHAnsi" w:hAnsi="Noto Sans" w:cs="Noto Sans"/>
          <w:i/>
          <w:iCs/>
          <w:color w:val="000000"/>
          <w:sz w:val="24"/>
          <w:szCs w:val="22"/>
          <w:lang w:eastAsia="en-US"/>
        </w:rPr>
        <w:t>Advisory Note on streetscape, public outdoor areas, fixtures, fittings and furniture, 8 February 2013</w:t>
      </w:r>
      <w:bookmarkEnd w:id="67"/>
      <w:r w:rsidRPr="00CA455D">
        <w:rPr>
          <w:rFonts w:ascii="Noto Sans" w:eastAsiaTheme="minorHAnsi" w:hAnsi="Noto Sans" w:cs="Noto Sans"/>
          <w:color w:val="000000"/>
          <w:sz w:val="24"/>
          <w:szCs w:val="22"/>
          <w:vertAlign w:val="superscript"/>
          <w:lang w:eastAsia="en-US"/>
        </w:rPr>
        <w:footnoteReference w:id="18"/>
      </w:r>
      <w:r w:rsidRPr="00CA455D">
        <w:rPr>
          <w:rFonts w:ascii="Noto Sans" w:eastAsiaTheme="minorHAnsi" w:hAnsi="Noto Sans" w:cs="Noto Sans"/>
          <w:color w:val="000000"/>
          <w:sz w:val="24"/>
          <w:szCs w:val="22"/>
          <w:lang w:eastAsia="en-US"/>
        </w:rPr>
        <w:t>; and</w:t>
      </w:r>
    </w:p>
    <w:p w14:paraId="0958F23C" w14:textId="77777777" w:rsidR="00EF6437" w:rsidRPr="00CA455D" w:rsidRDefault="00EF6437" w:rsidP="006D1AE9">
      <w:pPr>
        <w:pStyle w:val="BodyText"/>
        <w:numPr>
          <w:ilvl w:val="0"/>
          <w:numId w:val="14"/>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TMR’s vision </w:t>
      </w:r>
      <w:r w:rsidRPr="00CA455D">
        <w:rPr>
          <w:rFonts w:ascii="Noto Sans" w:hAnsi="Noto Sans" w:cs="Noto Sans"/>
          <w:color w:val="000000"/>
          <w:sz w:val="24"/>
        </w:rPr>
        <w:t>"Connected Communities in a sustainable, thriving and inclusive Queensland"</w:t>
      </w:r>
      <w:r w:rsidRPr="00CA455D">
        <w:rPr>
          <w:rFonts w:ascii="Noto Sans" w:eastAsiaTheme="minorHAnsi" w:hAnsi="Noto Sans" w:cs="Noto Sans"/>
          <w:color w:val="000000"/>
          <w:sz w:val="24"/>
          <w:szCs w:val="22"/>
          <w:lang w:eastAsia="en-US"/>
        </w:rPr>
        <w:t xml:space="preserve"> – refer TMR’s </w:t>
      </w:r>
      <w:r w:rsidRPr="00CA455D">
        <w:rPr>
          <w:rFonts w:ascii="Noto Sans" w:eastAsiaTheme="minorHAnsi" w:hAnsi="Noto Sans" w:cs="Noto Sans"/>
          <w:i/>
          <w:iCs/>
          <w:color w:val="000000"/>
          <w:sz w:val="24"/>
          <w:szCs w:val="22"/>
          <w:lang w:eastAsia="en-US"/>
        </w:rPr>
        <w:t>Accessibility and Inclusion Strategy</w:t>
      </w:r>
      <w:r w:rsidRPr="00CA455D">
        <w:rPr>
          <w:rFonts w:ascii="Noto Sans" w:eastAsiaTheme="minorHAnsi" w:hAnsi="Noto Sans" w:cs="Noto Sans"/>
          <w:color w:val="000000"/>
          <w:sz w:val="24"/>
          <w:szCs w:val="22"/>
          <w:vertAlign w:val="superscript"/>
          <w:lang w:eastAsia="en-US"/>
        </w:rPr>
        <w:footnoteReference w:id="19"/>
      </w:r>
      <w:r w:rsidRPr="00CA455D">
        <w:rPr>
          <w:rFonts w:ascii="Noto Sans" w:eastAsiaTheme="minorHAnsi" w:hAnsi="Noto Sans" w:cs="Noto Sans"/>
          <w:color w:val="000000"/>
          <w:sz w:val="24"/>
          <w:szCs w:val="22"/>
          <w:lang w:eastAsia="en-US"/>
        </w:rPr>
        <w:t>.</w:t>
      </w:r>
    </w:p>
    <w:p w14:paraId="3451A0D1" w14:textId="77777777" w:rsidR="00EF6437" w:rsidRPr="00CA455D" w:rsidRDefault="00EF6437" w:rsidP="00EF6437">
      <w:pPr>
        <w:pStyle w:val="BodyText"/>
        <w:spacing w:before="0" w:after="0" w:line="320" w:lineRule="atLeast"/>
        <w:ind w:left="720"/>
        <w:rPr>
          <w:rFonts w:ascii="Noto Sans" w:eastAsiaTheme="minorHAnsi" w:hAnsi="Noto Sans" w:cs="Noto Sans"/>
          <w:color w:val="000000"/>
          <w:sz w:val="24"/>
          <w:szCs w:val="22"/>
          <w:lang w:eastAsia="en-US"/>
        </w:rPr>
      </w:pPr>
    </w:p>
    <w:p w14:paraId="3A935488"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It is acknowledged that a significant portion of the projects delivered through the ATIP are within brownfield sites (developed areas) and therefore delivering shared path/s accessible to all can in some locations be a considerable challenge. In these instances, it is required that thorough consideration of </w:t>
      </w:r>
      <w:r w:rsidRPr="00CA455D">
        <w:rPr>
          <w:rFonts w:ascii="Noto Sans" w:eastAsiaTheme="minorHAnsi" w:hAnsi="Noto Sans" w:cs="Noto Sans"/>
          <w:color w:val="000000"/>
          <w:sz w:val="24"/>
          <w:szCs w:val="22"/>
          <w:lang w:eastAsia="en-US"/>
        </w:rPr>
        <w:lastRenderedPageBreak/>
        <w:t>plausible design solutions be investigated and appropriately documented</w:t>
      </w:r>
      <w:r w:rsidRPr="00CA455D">
        <w:rPr>
          <w:rFonts w:ascii="Noto Sans" w:eastAsiaTheme="minorHAnsi" w:hAnsi="Noto Sans" w:cs="Noto Sans"/>
          <w:color w:val="000000"/>
          <w:sz w:val="24"/>
          <w:szCs w:val="22"/>
          <w:vertAlign w:val="superscript"/>
          <w:lang w:eastAsia="en-US"/>
        </w:rPr>
        <w:footnoteReference w:id="20"/>
      </w:r>
      <w:r w:rsidRPr="00CA455D">
        <w:rPr>
          <w:rFonts w:ascii="Noto Sans" w:eastAsiaTheme="minorHAnsi" w:hAnsi="Noto Sans" w:cs="Noto Sans"/>
          <w:color w:val="000000"/>
          <w:sz w:val="24"/>
          <w:szCs w:val="22"/>
          <w:lang w:eastAsia="en-US"/>
        </w:rPr>
        <w:t>. It is also recommended these considerations be undertaken in consultation with:</w:t>
      </w:r>
    </w:p>
    <w:p w14:paraId="411EC0BE" w14:textId="77777777" w:rsidR="00EF6437" w:rsidRPr="00CA455D" w:rsidRDefault="00EF6437" w:rsidP="006D1AE9">
      <w:pPr>
        <w:pStyle w:val="BodyText"/>
        <w:numPr>
          <w:ilvl w:val="0"/>
          <w:numId w:val="15"/>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TMR’s internal Accessible Transport Network team (for TMR projects) and/or relevant local representative group/s; or</w:t>
      </w:r>
    </w:p>
    <w:p w14:paraId="32AB7E27" w14:textId="1BD748BD" w:rsidR="00EF6437" w:rsidRPr="00CA455D" w:rsidRDefault="00EF6437" w:rsidP="006D1AE9">
      <w:pPr>
        <w:pStyle w:val="BodyText"/>
        <w:numPr>
          <w:ilvl w:val="0"/>
          <w:numId w:val="15"/>
        </w:numPr>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Council’s internal accessibility team and/or relevant local representative group/s (for Council projects).</w:t>
      </w:r>
    </w:p>
    <w:p w14:paraId="781373E2" w14:textId="75DA87A8" w:rsidR="00EF6437" w:rsidRPr="00452DBC" w:rsidRDefault="00EF6437" w:rsidP="00EF6437">
      <w:pPr>
        <w:pStyle w:val="Heading2"/>
        <w:rPr>
          <w:rFonts w:ascii="Noto Sans" w:hAnsi="Noto Sans" w:cs="Noto Sans"/>
          <w:b/>
          <w:bCs/>
        </w:rPr>
      </w:pPr>
      <w:bookmarkStart w:id="68" w:name="_Toc198897218"/>
      <w:bookmarkStart w:id="69" w:name="_Toc211522586"/>
      <w:r w:rsidRPr="00452DBC">
        <w:rPr>
          <w:rFonts w:ascii="Noto Sans" w:hAnsi="Noto Sans" w:cs="Noto Sans"/>
          <w:b/>
          <w:bCs/>
        </w:rPr>
        <w:t>5.11</w:t>
      </w:r>
      <w:r w:rsidR="0046251B" w:rsidRPr="00452DBC">
        <w:rPr>
          <w:rFonts w:ascii="Noto Sans" w:hAnsi="Noto Sans" w:cs="Noto Sans"/>
          <w:b/>
          <w:bCs/>
        </w:rPr>
        <w:t xml:space="preserve"> </w:t>
      </w:r>
      <w:r w:rsidRPr="00452DBC">
        <w:rPr>
          <w:rFonts w:ascii="Noto Sans" w:hAnsi="Noto Sans" w:cs="Noto Sans"/>
          <w:b/>
          <w:bCs/>
        </w:rPr>
        <w:t>Transitions between on-road and off-road facilities</w:t>
      </w:r>
      <w:bookmarkEnd w:id="68"/>
      <w:bookmarkEnd w:id="69"/>
    </w:p>
    <w:p w14:paraId="1D519D84" w14:textId="77777777" w:rsidR="00EF6437" w:rsidRPr="00CA455D" w:rsidRDefault="00EF6437" w:rsidP="00EF6437">
      <w:pPr>
        <w:pStyle w:val="BodyText"/>
        <w:spacing w:before="0" w:after="0" w:line="320" w:lineRule="atLeas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 xml:space="preserve">For bicycle route connections, transition ramps should be considered between roadway corridor and off-road corridors. The additional off-road option allows people riding bikes to choose which facility they use based on their confidence and the traffic conditions at the time. Existing single dwelling residential driveways constructed without a vertical lip may function as a transition ramp. For detail on bicycle specific transition ramps refer </w:t>
      </w:r>
      <w:bookmarkStart w:id="70" w:name="_Hlk196303481"/>
      <w:r w:rsidRPr="00CA455D">
        <w:rPr>
          <w:rFonts w:ascii="Noto Sans" w:eastAsiaTheme="minorHAnsi" w:hAnsi="Noto Sans" w:cs="Noto Sans"/>
          <w:color w:val="000000"/>
          <w:sz w:val="24"/>
          <w:szCs w:val="22"/>
          <w:lang w:eastAsia="en-US"/>
        </w:rPr>
        <w:t xml:space="preserve">Austroads </w:t>
      </w:r>
      <w:r w:rsidRPr="00CA455D">
        <w:rPr>
          <w:rFonts w:ascii="Noto Sans" w:eastAsiaTheme="minorHAnsi" w:hAnsi="Noto Sans" w:cs="Noto Sans"/>
          <w:i/>
          <w:iCs/>
          <w:color w:val="000000"/>
          <w:sz w:val="24"/>
          <w:szCs w:val="22"/>
          <w:lang w:eastAsia="en-US"/>
        </w:rPr>
        <w:t>Guide to Road Design Part 3: Geometric Design</w:t>
      </w:r>
      <w:r w:rsidRPr="00CA455D">
        <w:rPr>
          <w:rFonts w:ascii="Noto Sans" w:eastAsiaTheme="minorHAnsi" w:hAnsi="Noto Sans" w:cs="Noto Sans"/>
          <w:color w:val="000000"/>
          <w:sz w:val="24"/>
          <w:szCs w:val="22"/>
          <w:lang w:eastAsia="en-US"/>
        </w:rPr>
        <w:t xml:space="preserve"> </w:t>
      </w:r>
      <w:r w:rsidRPr="00CA455D">
        <w:rPr>
          <w:rFonts w:ascii="Noto Sans" w:eastAsiaTheme="minorHAnsi" w:hAnsi="Noto Sans" w:cs="Noto Sans"/>
          <w:i/>
          <w:iCs/>
          <w:color w:val="000000"/>
          <w:sz w:val="24"/>
          <w:szCs w:val="22"/>
          <w:lang w:eastAsia="en-US"/>
        </w:rPr>
        <w:t>Figure 4.45</w:t>
      </w:r>
      <w:r w:rsidRPr="00CA455D">
        <w:rPr>
          <w:rFonts w:ascii="Noto Sans" w:eastAsiaTheme="minorHAnsi" w:hAnsi="Noto Sans" w:cs="Noto Sans"/>
          <w:color w:val="000000"/>
          <w:sz w:val="24"/>
          <w:szCs w:val="22"/>
          <w:lang w:eastAsia="en-US"/>
        </w:rPr>
        <w:t xml:space="preserve"> (Feb 2021)</w:t>
      </w:r>
      <w:bookmarkEnd w:id="70"/>
      <w:r w:rsidRPr="00CA455D">
        <w:rPr>
          <w:rFonts w:ascii="Noto Sans" w:eastAsiaTheme="minorHAnsi" w:hAnsi="Noto Sans" w:cs="Noto Sans"/>
          <w:color w:val="000000"/>
          <w:sz w:val="24"/>
          <w:szCs w:val="22"/>
          <w:lang w:eastAsia="en-US"/>
        </w:rPr>
        <w:t>.</w:t>
      </w:r>
    </w:p>
    <w:p w14:paraId="65EBAE41" w14:textId="77777777" w:rsidR="00C40E01" w:rsidRPr="00CA455D" w:rsidRDefault="00C40E01">
      <w:pPr>
        <w:suppressAutoHyphens w:val="0"/>
        <w:spacing w:before="0" w:after="160" w:line="259" w:lineRule="auto"/>
        <w:rPr>
          <w:rFonts w:ascii="Noto Sans" w:eastAsiaTheme="majorEastAsia" w:hAnsi="Noto Sans" w:cs="Noto Sans"/>
          <w:color w:val="003E69"/>
          <w:sz w:val="60"/>
          <w:szCs w:val="36"/>
          <w:highlight w:val="lightGray"/>
        </w:rPr>
      </w:pPr>
      <w:r w:rsidRPr="00CA455D">
        <w:rPr>
          <w:rFonts w:ascii="Noto Sans" w:hAnsi="Noto Sans" w:cs="Noto Sans"/>
          <w:highlight w:val="lightGray"/>
        </w:rPr>
        <w:br w:type="page"/>
      </w:r>
    </w:p>
    <w:p w14:paraId="3E6CAFDE" w14:textId="77777777" w:rsidR="00BD5745" w:rsidRDefault="00BD5745" w:rsidP="00901C93">
      <w:pPr>
        <w:pStyle w:val="Heading1"/>
        <w:rPr>
          <w:rFonts w:ascii="Noto Sans" w:hAnsi="Noto Sans" w:cs="Noto Sans"/>
          <w:b/>
          <w:bCs/>
          <w:color w:val="005EB8"/>
        </w:rPr>
        <w:sectPr w:rsidR="00BD5745" w:rsidSect="00C074A1">
          <w:pgSz w:w="11906" w:h="16838" w:code="9"/>
          <w:pgMar w:top="1135" w:right="1418" w:bottom="1701" w:left="1418" w:header="567" w:footer="567" w:gutter="0"/>
          <w:cols w:space="708"/>
          <w:titlePg/>
          <w:docGrid w:linePitch="360"/>
        </w:sectPr>
      </w:pPr>
      <w:bookmarkStart w:id="71" w:name="_Toc211522587"/>
    </w:p>
    <w:p w14:paraId="1DF63640" w14:textId="40473A72" w:rsidR="00EF3327" w:rsidRDefault="00901C93" w:rsidP="00BD5745">
      <w:pPr>
        <w:pStyle w:val="Heading1"/>
        <w:spacing w:before="0"/>
        <w:rPr>
          <w:rFonts w:ascii="Noto Sans" w:hAnsi="Noto Sans" w:cs="Noto Sans"/>
          <w:b/>
          <w:bCs/>
          <w:color w:val="005EB8"/>
        </w:rPr>
      </w:pPr>
      <w:r w:rsidRPr="0084760C">
        <w:rPr>
          <w:rFonts w:ascii="Noto Sans" w:hAnsi="Noto Sans" w:cs="Noto Sans"/>
          <w:b/>
          <w:bCs/>
          <w:color w:val="005EB8"/>
        </w:rPr>
        <w:lastRenderedPageBreak/>
        <w:t xml:space="preserve">6. </w:t>
      </w:r>
      <w:r w:rsidR="00C40E01" w:rsidRPr="0084760C">
        <w:rPr>
          <w:rFonts w:ascii="Noto Sans" w:hAnsi="Noto Sans" w:cs="Noto Sans"/>
          <w:b/>
          <w:bCs/>
          <w:color w:val="005EB8"/>
        </w:rPr>
        <w:t>References</w:t>
      </w:r>
      <w:bookmarkEnd w:id="71"/>
    </w:p>
    <w:p w14:paraId="2F0E6782" w14:textId="3CAAD108" w:rsidR="00BD5745" w:rsidRPr="00BD5745" w:rsidRDefault="00BD5745" w:rsidP="00BD5745">
      <w:pPr>
        <w:pStyle w:val="BodyText"/>
        <w:rPr>
          <w:rFonts w:ascii="Noto Sans" w:eastAsiaTheme="minorHAnsi" w:hAnsi="Noto Sans" w:cs="Noto Sans"/>
          <w:color w:val="000000"/>
          <w:sz w:val="24"/>
          <w:szCs w:val="22"/>
          <w:lang w:eastAsia="en-US"/>
        </w:rPr>
      </w:pPr>
      <w:r w:rsidRPr="00CA455D">
        <w:rPr>
          <w:rFonts w:ascii="Noto Sans" w:eastAsiaTheme="minorHAnsi" w:hAnsi="Noto Sans" w:cs="Noto Sans"/>
          <w:color w:val="000000"/>
          <w:sz w:val="24"/>
          <w:szCs w:val="22"/>
          <w:lang w:eastAsia="en-US"/>
        </w:rPr>
        <w:t>At the time of publication of this ATIP Technical Guidance (v2.0, November 2025), the versions of references listed in the above table were current, however all project teams should refer to and adopt the most recent version/s of any reference document.</w:t>
      </w:r>
    </w:p>
    <w:tbl>
      <w:tblPr>
        <w:tblStyle w:val="ListTable3-Accent3"/>
        <w:tblW w:w="5000" w:type="pct"/>
        <w:tblLayout w:type="fixed"/>
        <w:tblLook w:val="0020" w:firstRow="1" w:lastRow="0" w:firstColumn="0" w:lastColumn="0" w:noHBand="0" w:noVBand="0"/>
      </w:tblPr>
      <w:tblGrid>
        <w:gridCol w:w="4248"/>
        <w:gridCol w:w="9744"/>
      </w:tblGrid>
      <w:tr w:rsidR="00C40E01" w:rsidRPr="00BD5745" w14:paraId="17274C4A" w14:textId="77777777" w:rsidTr="00BD5745">
        <w:trPr>
          <w:cnfStyle w:val="100000000000" w:firstRow="1" w:lastRow="0" w:firstColumn="0" w:lastColumn="0" w:oddVBand="0" w:evenVBand="0" w:oddHBand="0" w:evenHBand="0" w:firstRowFirstColumn="0" w:firstRowLastColumn="0" w:lastRowFirstColumn="0" w:lastRowLastColumn="0"/>
          <w:trHeight w:val="376"/>
          <w:tblHeader/>
        </w:trPr>
        <w:tc>
          <w:tcPr>
            <w:cnfStyle w:val="000010000000" w:firstRow="0" w:lastRow="0" w:firstColumn="0" w:lastColumn="0" w:oddVBand="1" w:evenVBand="0" w:oddHBand="0" w:evenHBand="0" w:firstRowFirstColumn="0" w:firstRowLastColumn="0" w:lastRowFirstColumn="0" w:lastRowLastColumn="0"/>
            <w:tcW w:w="1518" w:type="pct"/>
          </w:tcPr>
          <w:p w14:paraId="429D377F" w14:textId="77777777" w:rsidR="00C40E01" w:rsidRPr="00BD5745" w:rsidRDefault="00C40E01" w:rsidP="005B5C87">
            <w:pPr>
              <w:pStyle w:val="Default"/>
              <w:rPr>
                <w:rFonts w:ascii="Noto Sans" w:hAnsi="Noto Sans" w:cs="Noto Sans"/>
                <w:b w:val="0"/>
                <w:bCs w:val="0"/>
                <w:color w:val="FFFFFF" w:themeColor="background1"/>
                <w:sz w:val="22"/>
                <w:szCs w:val="22"/>
              </w:rPr>
            </w:pPr>
            <w:r w:rsidRPr="00BD5745">
              <w:rPr>
                <w:rFonts w:ascii="Noto Sans" w:hAnsi="Noto Sans" w:cs="Noto Sans"/>
                <w:color w:val="FFFFFF" w:themeColor="background1"/>
                <w:sz w:val="22"/>
                <w:szCs w:val="22"/>
              </w:rPr>
              <w:t>Reference and location</w:t>
            </w:r>
          </w:p>
        </w:tc>
        <w:tc>
          <w:tcPr>
            <w:tcW w:w="3482" w:type="pct"/>
          </w:tcPr>
          <w:p w14:paraId="2466CF31" w14:textId="77777777" w:rsidR="00C40E01" w:rsidRPr="00BD5745" w:rsidRDefault="00C40E01" w:rsidP="005B5C87">
            <w:pPr>
              <w:pStyle w:val="Default"/>
              <w:cnfStyle w:val="100000000000" w:firstRow="1" w:lastRow="0" w:firstColumn="0" w:lastColumn="0" w:oddVBand="0" w:evenVBand="0" w:oddHBand="0" w:evenHBand="0" w:firstRowFirstColumn="0" w:firstRowLastColumn="0" w:lastRowFirstColumn="0" w:lastRowLastColumn="0"/>
              <w:rPr>
                <w:rFonts w:ascii="Noto Sans" w:hAnsi="Noto Sans" w:cs="Noto Sans"/>
                <w:b w:val="0"/>
                <w:bCs w:val="0"/>
                <w:color w:val="FFFFFF" w:themeColor="background1"/>
                <w:sz w:val="22"/>
                <w:szCs w:val="22"/>
              </w:rPr>
            </w:pPr>
            <w:r w:rsidRPr="00BD5745">
              <w:rPr>
                <w:rFonts w:ascii="Noto Sans" w:hAnsi="Noto Sans" w:cs="Noto Sans"/>
                <w:color w:val="FFFFFF" w:themeColor="background1"/>
                <w:sz w:val="22"/>
                <w:szCs w:val="22"/>
              </w:rPr>
              <w:t xml:space="preserve">Guidance on… </w:t>
            </w:r>
          </w:p>
        </w:tc>
      </w:tr>
      <w:tr w:rsidR="00C40E01" w:rsidRPr="00BD5745" w14:paraId="41C7CF30"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59A68348" w14:textId="77777777" w:rsidR="00C40E01" w:rsidRPr="00BD5745" w:rsidRDefault="00C40E01" w:rsidP="005B5C87">
            <w:pPr>
              <w:pStyle w:val="Default"/>
              <w:rPr>
                <w:rFonts w:ascii="Noto Sans" w:hAnsi="Noto Sans" w:cs="Noto Sans"/>
                <w:b/>
                <w:bCs/>
                <w:color w:val="auto"/>
                <w:sz w:val="22"/>
                <w:szCs w:val="22"/>
              </w:rPr>
            </w:pPr>
            <w:r w:rsidRPr="00BD5745">
              <w:rPr>
                <w:rFonts w:ascii="Noto Sans" w:hAnsi="Noto Sans" w:cs="Noto Sans"/>
                <w:b/>
                <w:bCs/>
                <w:color w:val="auto"/>
                <w:sz w:val="22"/>
                <w:szCs w:val="22"/>
              </w:rPr>
              <w:t xml:space="preserve">TMR Road Planning and Design Manual (RPDM) </w:t>
            </w:r>
          </w:p>
          <w:p w14:paraId="6407372C" w14:textId="77777777" w:rsidR="00C40E01" w:rsidRPr="00BD5745" w:rsidRDefault="00C40E01" w:rsidP="005B5C87">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03DC80E8" w14:textId="77777777" w:rsidR="00C40E01" w:rsidRPr="00BD5745" w:rsidRDefault="00C40E01" w:rsidP="005B5C87">
            <w:pPr>
              <w:pStyle w:val="Default"/>
              <w:rPr>
                <w:rFonts w:ascii="Noto Sans" w:hAnsi="Noto Sans" w:cs="Noto Sans"/>
                <w:color w:val="auto"/>
                <w:sz w:val="22"/>
                <w:szCs w:val="22"/>
              </w:rPr>
            </w:pPr>
            <w:hyperlink r:id="rId27" w:history="1">
              <w:r w:rsidRPr="00BD5745">
                <w:rPr>
                  <w:rStyle w:val="Hyperlink"/>
                  <w:rFonts w:ascii="Noto Sans" w:hAnsi="Noto Sans" w:cs="Noto Sans"/>
                  <w:sz w:val="22"/>
                  <w:szCs w:val="22"/>
                </w:rPr>
                <w:t>www.tmr.qld.gov.au</w:t>
              </w:r>
            </w:hyperlink>
          </w:p>
        </w:tc>
        <w:tc>
          <w:tcPr>
            <w:tcW w:w="3482" w:type="pct"/>
          </w:tcPr>
          <w:p w14:paraId="3D4A09AA"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Reduced urban traffic lane widths </w:t>
            </w:r>
            <w:r w:rsidRPr="00BD5745">
              <w:rPr>
                <w:rFonts w:ascii="Noto Sans" w:hAnsi="Noto Sans" w:cs="Noto Sans"/>
                <w:sz w:val="22"/>
                <w:szCs w:val="22"/>
              </w:rPr>
              <w:t>-</w:t>
            </w:r>
            <w:r w:rsidRPr="00BD5745">
              <w:rPr>
                <w:rFonts w:ascii="Noto Sans" w:hAnsi="Noto Sans" w:cs="Noto Sans"/>
                <w:b/>
                <w:bCs/>
                <w:sz w:val="22"/>
                <w:szCs w:val="22"/>
              </w:rPr>
              <w:t xml:space="preserve"> </w:t>
            </w:r>
            <w:r w:rsidRPr="00BD5745">
              <w:rPr>
                <w:rFonts w:ascii="Noto Sans" w:hAnsi="Noto Sans" w:cs="Noto Sans"/>
                <w:sz w:val="22"/>
                <w:szCs w:val="22"/>
              </w:rPr>
              <w:t xml:space="preserve">Refer to TMR RPDM Edition 2 Volume 3 </w:t>
            </w:r>
            <w:r w:rsidRPr="00BD5745">
              <w:rPr>
                <w:rFonts w:ascii="Noto Sans" w:hAnsi="Noto Sans" w:cs="Noto Sans"/>
                <w:i/>
                <w:iCs/>
                <w:sz w:val="22"/>
                <w:szCs w:val="22"/>
              </w:rPr>
              <w:t xml:space="preserve">Supplements to Austroads Guide to Road Design Parts 1, 3 and 4A </w:t>
            </w:r>
            <w:r w:rsidRPr="00BD5745">
              <w:rPr>
                <w:rFonts w:ascii="Noto Sans" w:hAnsi="Noto Sans" w:cs="Noto Sans"/>
                <w:sz w:val="22"/>
                <w:szCs w:val="22"/>
              </w:rPr>
              <w:t xml:space="preserve">(formally </w:t>
            </w:r>
            <w:r w:rsidRPr="00BD5745">
              <w:rPr>
                <w:rFonts w:ascii="Noto Sans" w:hAnsi="Noto Sans" w:cs="Noto Sans"/>
                <w:i/>
                <w:iCs/>
                <w:sz w:val="22"/>
                <w:szCs w:val="22"/>
              </w:rPr>
              <w:t xml:space="preserve">RPDM </w:t>
            </w:r>
            <w:r w:rsidRPr="00BD5745">
              <w:rPr>
                <w:rFonts w:ascii="Noto Sans" w:hAnsi="Noto Sans" w:cs="Noto Sans"/>
                <w:sz w:val="22"/>
                <w:szCs w:val="22"/>
              </w:rPr>
              <w:t xml:space="preserve">and </w:t>
            </w:r>
            <w:r w:rsidRPr="00BD5745">
              <w:rPr>
                <w:rFonts w:ascii="Noto Sans" w:hAnsi="Noto Sans" w:cs="Noto Sans"/>
                <w:i/>
                <w:iCs/>
                <w:sz w:val="22"/>
                <w:szCs w:val="22"/>
              </w:rPr>
              <w:t>Guidelines for road design on brownfield sites</w:t>
            </w:r>
            <w:r w:rsidRPr="00BD5745">
              <w:rPr>
                <w:rFonts w:ascii="Noto Sans" w:hAnsi="Noto Sans" w:cs="Noto Sans"/>
                <w:sz w:val="22"/>
                <w:szCs w:val="22"/>
              </w:rPr>
              <w:t>)</w:t>
            </w:r>
          </w:p>
          <w:p w14:paraId="5C61A03D"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Minimum corner radii for path intersections </w:t>
            </w:r>
            <w:r w:rsidRPr="00BD5745">
              <w:rPr>
                <w:rFonts w:ascii="Noto Sans" w:hAnsi="Noto Sans" w:cs="Noto Sans"/>
                <w:sz w:val="22"/>
                <w:szCs w:val="22"/>
              </w:rPr>
              <w:t xml:space="preserve">- </w:t>
            </w:r>
            <w:r w:rsidRPr="00BD5745">
              <w:rPr>
                <w:rFonts w:ascii="Noto Sans" w:hAnsi="Noto Sans" w:cs="Noto Sans"/>
                <w:i/>
                <w:iCs/>
                <w:sz w:val="22"/>
                <w:szCs w:val="22"/>
              </w:rPr>
              <w:t>Section 6.4</w:t>
            </w:r>
            <w:r w:rsidRPr="00BD5745">
              <w:rPr>
                <w:rFonts w:ascii="Noto Sans" w:hAnsi="Noto Sans" w:cs="Noto Sans"/>
                <w:sz w:val="22"/>
                <w:szCs w:val="22"/>
              </w:rPr>
              <w:t xml:space="preserve">, TMR RPDM Edition 2 Volume 3 </w:t>
            </w:r>
            <w:r w:rsidRPr="00BD5745">
              <w:rPr>
                <w:rFonts w:ascii="Noto Sans" w:hAnsi="Noto Sans" w:cs="Noto Sans"/>
                <w:i/>
                <w:iCs/>
                <w:sz w:val="22"/>
                <w:szCs w:val="22"/>
              </w:rPr>
              <w:t xml:space="preserve">Supplement to Austroads Guide to Road Design Part 6A: Paths for Walking and Cycling (Jul 2025) </w:t>
            </w:r>
            <w:r w:rsidRPr="00BD5745">
              <w:rPr>
                <w:rFonts w:ascii="Noto Sans" w:hAnsi="Noto Sans" w:cs="Noto Sans"/>
                <w:sz w:val="22"/>
                <w:szCs w:val="22"/>
              </w:rPr>
              <w:t xml:space="preserve">  </w:t>
            </w:r>
          </w:p>
          <w:p w14:paraId="284D2A10"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Intersection </w:t>
            </w:r>
            <w:proofErr w:type="gramStart"/>
            <w:r w:rsidRPr="00BD5745">
              <w:rPr>
                <w:rFonts w:ascii="Noto Sans" w:hAnsi="Noto Sans" w:cs="Noto Sans"/>
                <w:b/>
                <w:bCs/>
                <w:sz w:val="22"/>
                <w:szCs w:val="22"/>
              </w:rPr>
              <w:t>sight-lines</w:t>
            </w:r>
            <w:proofErr w:type="gramEnd"/>
            <w:r w:rsidRPr="00BD5745">
              <w:rPr>
                <w:rFonts w:ascii="Noto Sans" w:hAnsi="Noto Sans" w:cs="Noto Sans"/>
                <w:b/>
                <w:bCs/>
                <w:sz w:val="22"/>
                <w:szCs w:val="22"/>
              </w:rPr>
              <w:t xml:space="preserve"> (visibility splays)</w:t>
            </w:r>
            <w:r w:rsidRPr="00BD5745">
              <w:rPr>
                <w:rFonts w:ascii="Noto Sans" w:hAnsi="Noto Sans" w:cs="Noto Sans"/>
                <w:sz w:val="22"/>
                <w:szCs w:val="22"/>
              </w:rPr>
              <w:t xml:space="preserve"> - </w:t>
            </w:r>
            <w:r w:rsidRPr="00BD5745">
              <w:rPr>
                <w:rFonts w:ascii="Noto Sans" w:hAnsi="Noto Sans" w:cs="Noto Sans"/>
                <w:i/>
                <w:iCs/>
                <w:sz w:val="22"/>
                <w:szCs w:val="22"/>
              </w:rPr>
              <w:t>Figure 6A-2</w:t>
            </w:r>
            <w:r w:rsidRPr="00BD5745">
              <w:rPr>
                <w:rFonts w:ascii="Noto Sans" w:hAnsi="Noto Sans" w:cs="Noto Sans"/>
                <w:sz w:val="22"/>
                <w:szCs w:val="22"/>
              </w:rPr>
              <w:t xml:space="preserve">, TMR RPDM Edition 2 Volume 3 </w:t>
            </w:r>
            <w:r w:rsidRPr="00BD5745">
              <w:rPr>
                <w:rFonts w:ascii="Noto Sans" w:hAnsi="Noto Sans" w:cs="Noto Sans"/>
                <w:i/>
                <w:iCs/>
                <w:sz w:val="22"/>
                <w:szCs w:val="22"/>
              </w:rPr>
              <w:t>Supplement to Austroads Guide to Road Design Part 6A: Paths for Walking and Cycling (Jul 2025</w:t>
            </w:r>
            <w:r w:rsidRPr="00BD5745">
              <w:rPr>
                <w:rFonts w:ascii="Noto Sans" w:hAnsi="Noto Sans" w:cs="Noto Sans"/>
                <w:sz w:val="22"/>
                <w:szCs w:val="22"/>
              </w:rPr>
              <w:t xml:space="preserve">)  </w:t>
            </w:r>
          </w:p>
          <w:p w14:paraId="335382DA"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Visibility requirements for two-way paths</w:t>
            </w:r>
            <w:r w:rsidRPr="00BD5745">
              <w:rPr>
                <w:rFonts w:ascii="Noto Sans" w:hAnsi="Noto Sans" w:cs="Noto Sans"/>
                <w:sz w:val="22"/>
                <w:szCs w:val="22"/>
              </w:rPr>
              <w:t xml:space="preserve"> - </w:t>
            </w:r>
            <w:r w:rsidRPr="00BD5745">
              <w:rPr>
                <w:rFonts w:ascii="Noto Sans" w:hAnsi="Noto Sans" w:cs="Noto Sans"/>
                <w:i/>
                <w:iCs/>
                <w:sz w:val="22"/>
                <w:szCs w:val="22"/>
              </w:rPr>
              <w:t>Section 5.7</w:t>
            </w:r>
            <w:r w:rsidRPr="00BD5745">
              <w:rPr>
                <w:rFonts w:ascii="Noto Sans" w:hAnsi="Noto Sans" w:cs="Noto Sans"/>
                <w:sz w:val="22"/>
                <w:szCs w:val="22"/>
              </w:rPr>
              <w:t xml:space="preserve">, TMR RPDM Edition 2 Volume 3 </w:t>
            </w:r>
            <w:r w:rsidRPr="00BD5745">
              <w:rPr>
                <w:rFonts w:ascii="Noto Sans" w:hAnsi="Noto Sans" w:cs="Noto Sans"/>
                <w:i/>
                <w:iCs/>
                <w:sz w:val="22"/>
                <w:szCs w:val="22"/>
              </w:rPr>
              <w:t>Supplement to Austroads Guide to Road Design Part 6A: Paths for Walking and Cycling (Jul 2025</w:t>
            </w:r>
            <w:r w:rsidRPr="00BD5745">
              <w:rPr>
                <w:rFonts w:ascii="Noto Sans" w:hAnsi="Noto Sans" w:cs="Noto Sans"/>
                <w:sz w:val="22"/>
                <w:szCs w:val="22"/>
              </w:rPr>
              <w:t>)</w:t>
            </w:r>
          </w:p>
          <w:p w14:paraId="25CFB346"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Projecting deflection rail not required</w:t>
            </w:r>
            <w:r w:rsidRPr="00BD5745">
              <w:rPr>
                <w:rFonts w:ascii="Noto Sans" w:hAnsi="Noto Sans" w:cs="Noto Sans"/>
                <w:sz w:val="22"/>
                <w:szCs w:val="22"/>
              </w:rPr>
              <w:t xml:space="preserve"> -</w:t>
            </w:r>
            <w:r w:rsidRPr="00BD5745">
              <w:rPr>
                <w:rFonts w:ascii="Noto Sans" w:hAnsi="Noto Sans" w:cs="Noto Sans"/>
                <w:i/>
                <w:iCs/>
                <w:sz w:val="22"/>
                <w:szCs w:val="22"/>
              </w:rPr>
              <w:t xml:space="preserve"> Figure 6A-1 </w:t>
            </w:r>
            <w:r w:rsidRPr="00BD5745">
              <w:rPr>
                <w:rFonts w:ascii="Noto Sans" w:hAnsi="Noto Sans" w:cs="Noto Sans"/>
                <w:sz w:val="22"/>
                <w:szCs w:val="22"/>
              </w:rPr>
              <w:t xml:space="preserve">in TMR RPDM Edition 2 Volume 3 </w:t>
            </w:r>
            <w:r w:rsidRPr="00BD5745">
              <w:rPr>
                <w:rFonts w:ascii="Noto Sans" w:hAnsi="Noto Sans" w:cs="Noto Sans"/>
                <w:i/>
                <w:iCs/>
                <w:sz w:val="22"/>
                <w:szCs w:val="22"/>
              </w:rPr>
              <w:t>Supplement to Austroads Guide to Road Design Part 6A: Paths for Walking and Cycling (Jul 2025</w:t>
            </w:r>
            <w:r w:rsidRPr="00BD5745">
              <w:rPr>
                <w:rFonts w:ascii="Noto Sans" w:hAnsi="Noto Sans" w:cs="Noto Sans"/>
                <w:sz w:val="22"/>
                <w:szCs w:val="22"/>
              </w:rPr>
              <w:t>)</w:t>
            </w:r>
          </w:p>
          <w:p w14:paraId="2C1D423F"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Longitudinal grade</w:t>
            </w:r>
            <w:r w:rsidRPr="00BD5745">
              <w:rPr>
                <w:rFonts w:ascii="Noto Sans" w:hAnsi="Noto Sans" w:cs="Noto Sans"/>
                <w:sz w:val="22"/>
                <w:szCs w:val="22"/>
              </w:rPr>
              <w:t xml:space="preserve"> - </w:t>
            </w:r>
            <w:r w:rsidRPr="00BD5745">
              <w:rPr>
                <w:rFonts w:ascii="Noto Sans" w:hAnsi="Noto Sans" w:cs="Noto Sans"/>
                <w:i/>
                <w:iCs/>
                <w:sz w:val="22"/>
                <w:szCs w:val="22"/>
              </w:rPr>
              <w:t>Section 5.4 and Section 5.4.</w:t>
            </w:r>
            <w:r w:rsidRPr="00BD5745">
              <w:rPr>
                <w:rFonts w:ascii="Noto Sans" w:hAnsi="Noto Sans" w:cs="Noto Sans"/>
                <w:sz w:val="22"/>
                <w:szCs w:val="22"/>
              </w:rPr>
              <w:t xml:space="preserve">1, TMR RPDM Edition 2 Volume 3 </w:t>
            </w:r>
            <w:r w:rsidRPr="00BD5745">
              <w:rPr>
                <w:rFonts w:ascii="Noto Sans" w:hAnsi="Noto Sans" w:cs="Noto Sans"/>
                <w:i/>
                <w:iCs/>
                <w:sz w:val="22"/>
                <w:szCs w:val="22"/>
              </w:rPr>
              <w:t>Supplement to Austroads Guide to Road Design Part 6A: Paths for Walking and Cycling (Jul 2025</w:t>
            </w:r>
            <w:r w:rsidRPr="00BD5745">
              <w:rPr>
                <w:rFonts w:ascii="Noto Sans" w:hAnsi="Noto Sans" w:cs="Noto Sans"/>
                <w:sz w:val="22"/>
                <w:szCs w:val="22"/>
              </w:rPr>
              <w:t>)</w:t>
            </w:r>
          </w:p>
          <w:p w14:paraId="79833F1A"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2"/>
                <w:szCs w:val="22"/>
              </w:rPr>
            </w:pPr>
            <w:r w:rsidRPr="00BD5745">
              <w:rPr>
                <w:rFonts w:ascii="Noto Sans" w:hAnsi="Noto Sans" w:cs="Noto Sans"/>
                <w:b/>
                <w:bCs/>
                <w:sz w:val="22"/>
                <w:szCs w:val="22"/>
              </w:rPr>
              <w:t>Roundabout treatments</w:t>
            </w:r>
            <w:r w:rsidRPr="00BD5745">
              <w:rPr>
                <w:rFonts w:ascii="Noto Sans" w:hAnsi="Noto Sans" w:cs="Noto Sans"/>
                <w:sz w:val="22"/>
                <w:szCs w:val="22"/>
              </w:rPr>
              <w:t xml:space="preserve"> - </w:t>
            </w:r>
            <w:r w:rsidRPr="00BD5745">
              <w:rPr>
                <w:rFonts w:ascii="Noto Sans" w:hAnsi="Noto Sans" w:cs="Noto Sans"/>
                <w:i/>
                <w:iCs/>
                <w:sz w:val="22"/>
                <w:szCs w:val="22"/>
              </w:rPr>
              <w:t xml:space="preserve">Section </w:t>
            </w:r>
            <w:r w:rsidRPr="00BD5745">
              <w:rPr>
                <w:rFonts w:ascii="Noto Sans" w:hAnsi="Noto Sans" w:cs="Noto Sans"/>
                <w:sz w:val="22"/>
                <w:szCs w:val="22"/>
              </w:rPr>
              <w:t>5, TMR's RPDM Edition 2 Volume 3 Supplement</w:t>
            </w:r>
            <w:r w:rsidRPr="00BD5745">
              <w:rPr>
                <w:rFonts w:ascii="Noto Sans" w:hAnsi="Noto Sans" w:cs="Noto Sans"/>
                <w:i/>
                <w:iCs/>
                <w:sz w:val="22"/>
                <w:szCs w:val="22"/>
              </w:rPr>
              <w:t xml:space="preserve"> to Austroads Guide to Road Design Part 4B: Roundabouts (Jul 2025</w:t>
            </w:r>
            <w:r w:rsidRPr="00BD5745">
              <w:rPr>
                <w:rFonts w:ascii="Noto Sans" w:hAnsi="Noto Sans" w:cs="Noto Sans"/>
                <w:sz w:val="22"/>
                <w:szCs w:val="22"/>
              </w:rPr>
              <w:t>)</w:t>
            </w:r>
          </w:p>
          <w:p w14:paraId="3B18CEF1" w14:textId="77777777" w:rsidR="00C40E01" w:rsidRPr="00BD5745" w:rsidRDefault="00C40E01"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Road and bikeway lighting </w:t>
            </w:r>
            <w:r w:rsidRPr="00BD5745">
              <w:rPr>
                <w:rFonts w:ascii="Noto Sans" w:hAnsi="Noto Sans" w:cs="Noto Sans"/>
                <w:sz w:val="22"/>
                <w:szCs w:val="22"/>
              </w:rPr>
              <w:t xml:space="preserve">- TMR RPDM Edition 2 </w:t>
            </w:r>
            <w:r w:rsidRPr="00BD5745">
              <w:rPr>
                <w:rFonts w:ascii="Noto Sans" w:hAnsi="Noto Sans" w:cs="Noto Sans"/>
                <w:i/>
                <w:iCs/>
                <w:sz w:val="22"/>
                <w:szCs w:val="22"/>
              </w:rPr>
              <w:t>Volume 6: Lighting</w:t>
            </w:r>
            <w:r w:rsidRPr="00BD5745">
              <w:rPr>
                <w:rFonts w:ascii="Noto Sans" w:hAnsi="Noto Sans" w:cs="Noto Sans"/>
                <w:sz w:val="22"/>
                <w:szCs w:val="22"/>
              </w:rPr>
              <w:t xml:space="preserve"> (Mar 2021)</w:t>
            </w:r>
          </w:p>
        </w:tc>
      </w:tr>
    </w:tbl>
    <w:p w14:paraId="2A9D5E45" w14:textId="77777777" w:rsidR="00BD5745" w:rsidRDefault="00BD5745">
      <w:r>
        <w:br w:type="page"/>
      </w:r>
    </w:p>
    <w:tbl>
      <w:tblPr>
        <w:tblStyle w:val="ListTable3-Accent3"/>
        <w:tblW w:w="5000" w:type="pct"/>
        <w:tblLayout w:type="fixed"/>
        <w:tblLook w:val="0020" w:firstRow="1" w:lastRow="0" w:firstColumn="0" w:lastColumn="0" w:noHBand="0" w:noVBand="0"/>
      </w:tblPr>
      <w:tblGrid>
        <w:gridCol w:w="4248"/>
        <w:gridCol w:w="9744"/>
      </w:tblGrid>
      <w:tr w:rsidR="00C40E01" w:rsidRPr="00BD5745" w14:paraId="295547FC" w14:textId="77777777" w:rsidTr="00BD5745">
        <w:trPr>
          <w:cnfStyle w:val="100000000000" w:firstRow="1" w:lastRow="0" w:firstColumn="0" w:lastColumn="0" w:oddVBand="0" w:evenVBand="0" w:oddHBand="0" w:evenHBand="0" w:firstRowFirstColumn="0" w:firstRowLastColumn="0" w:lastRowFirstColumn="0" w:lastRowLastColumn="0"/>
          <w:trHeight w:val="420"/>
        </w:trPr>
        <w:tc>
          <w:tcPr>
            <w:cnfStyle w:val="000010000000" w:firstRow="0" w:lastRow="0" w:firstColumn="0" w:lastColumn="0" w:oddVBand="1" w:evenVBand="0" w:oddHBand="0" w:evenHBand="0" w:firstRowFirstColumn="0" w:firstRowLastColumn="0" w:lastRowFirstColumn="0" w:lastRowLastColumn="0"/>
            <w:tcW w:w="1518" w:type="pct"/>
          </w:tcPr>
          <w:p w14:paraId="001DE36D" w14:textId="0443D4FB" w:rsidR="00C40E01" w:rsidRPr="00BD5745" w:rsidRDefault="00BD5745" w:rsidP="005B5C87">
            <w:pPr>
              <w:pStyle w:val="Default"/>
              <w:rPr>
                <w:rFonts w:ascii="Noto Sans" w:hAnsi="Noto Sans" w:cs="Noto Sans"/>
                <w:color w:val="FFFFFF" w:themeColor="background1"/>
                <w:sz w:val="22"/>
                <w:szCs w:val="22"/>
              </w:rPr>
            </w:pPr>
            <w:r w:rsidRPr="00BD5745">
              <w:rPr>
                <w:rFonts w:ascii="Noto Sans" w:hAnsi="Noto Sans" w:cs="Noto Sans"/>
                <w:color w:val="FFFFFF" w:themeColor="background1"/>
                <w:sz w:val="22"/>
                <w:szCs w:val="22"/>
              </w:rPr>
              <w:lastRenderedPageBreak/>
              <w:t>Reference and location</w:t>
            </w:r>
          </w:p>
        </w:tc>
        <w:tc>
          <w:tcPr>
            <w:tcW w:w="3482" w:type="pct"/>
          </w:tcPr>
          <w:p w14:paraId="5E1D6916" w14:textId="480579F2" w:rsidR="00C40E01" w:rsidRPr="00BD5745" w:rsidRDefault="00BD5745" w:rsidP="005B5C87">
            <w:pPr>
              <w:pStyle w:val="Default"/>
              <w:cnfStyle w:val="100000000000" w:firstRow="1" w:lastRow="0" w:firstColumn="0" w:lastColumn="0" w:oddVBand="0" w:evenVBand="0" w:oddHBand="0" w:evenHBand="0" w:firstRowFirstColumn="0" w:firstRowLastColumn="0" w:lastRowFirstColumn="0" w:lastRowLastColumn="0"/>
              <w:rPr>
                <w:rFonts w:ascii="Noto Sans" w:hAnsi="Noto Sans" w:cs="Noto Sans"/>
                <w:color w:val="FFFFFF" w:themeColor="background1"/>
                <w:sz w:val="22"/>
                <w:szCs w:val="22"/>
              </w:rPr>
            </w:pPr>
            <w:r w:rsidRPr="00BD5745">
              <w:rPr>
                <w:rFonts w:ascii="Noto Sans" w:hAnsi="Noto Sans" w:cs="Noto Sans"/>
                <w:color w:val="FFFFFF" w:themeColor="background1"/>
                <w:sz w:val="22"/>
                <w:szCs w:val="22"/>
              </w:rPr>
              <w:t>Guidance on…</w:t>
            </w:r>
          </w:p>
        </w:tc>
      </w:tr>
      <w:tr w:rsidR="00BD5745" w:rsidRPr="00BD5745" w14:paraId="2F4C8DFF"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51390383"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 xml:space="preserve">Traffic and Road Use Management Manual (TRUM) </w:t>
            </w:r>
          </w:p>
          <w:p w14:paraId="1348A7DD"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780563BD" w14:textId="655C72A5" w:rsidR="00BD5745" w:rsidRPr="00BD5745" w:rsidRDefault="00BD5745" w:rsidP="00BD5745">
            <w:pPr>
              <w:pStyle w:val="Default"/>
              <w:rPr>
                <w:rFonts w:ascii="Noto Sans" w:hAnsi="Noto Sans" w:cs="Noto Sans"/>
                <w:b/>
                <w:bCs/>
                <w:color w:val="auto"/>
                <w:sz w:val="22"/>
                <w:szCs w:val="22"/>
              </w:rPr>
            </w:pPr>
            <w:hyperlink r:id="rId28" w:history="1">
              <w:r w:rsidRPr="00BD5745">
                <w:rPr>
                  <w:rStyle w:val="Hyperlink"/>
                  <w:rFonts w:ascii="Noto Sans" w:hAnsi="Noto Sans" w:cs="Noto Sans"/>
                  <w:sz w:val="22"/>
                  <w:szCs w:val="22"/>
                </w:rPr>
                <w:t>www.tmr.qld.gov.au</w:t>
              </w:r>
            </w:hyperlink>
          </w:p>
        </w:tc>
        <w:tc>
          <w:tcPr>
            <w:tcW w:w="3482" w:type="pct"/>
          </w:tcPr>
          <w:p w14:paraId="26A707F9"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Cycle Streets</w:t>
            </w:r>
            <w:r w:rsidRPr="00BD5745">
              <w:rPr>
                <w:rFonts w:ascii="Noto Sans" w:hAnsi="Noto Sans" w:cs="Noto Sans"/>
                <w:sz w:val="22"/>
                <w:szCs w:val="22"/>
              </w:rPr>
              <w:t xml:space="preserve"> - TRUM Volume 1 Part 8 </w:t>
            </w:r>
          </w:p>
          <w:p w14:paraId="70E9A1BD"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p>
          <w:p w14:paraId="01D04DFD"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2"/>
                <w:szCs w:val="22"/>
              </w:rPr>
            </w:pPr>
          </w:p>
        </w:tc>
      </w:tr>
      <w:tr w:rsidR="00BD5745" w:rsidRPr="00BD5745" w14:paraId="78D35F71" w14:textId="77777777" w:rsidTr="00BD5745">
        <w:trPr>
          <w:trHeight w:val="85"/>
        </w:trPr>
        <w:tc>
          <w:tcPr>
            <w:cnfStyle w:val="000010000000" w:firstRow="0" w:lastRow="0" w:firstColumn="0" w:lastColumn="0" w:oddVBand="1" w:evenVBand="0" w:oddHBand="0" w:evenHBand="0" w:firstRowFirstColumn="0" w:firstRowLastColumn="0" w:lastRowFirstColumn="0" w:lastRowLastColumn="0"/>
            <w:tcW w:w="1518" w:type="pct"/>
          </w:tcPr>
          <w:p w14:paraId="47B763F7"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TMR Standard Drawings</w:t>
            </w:r>
          </w:p>
          <w:p w14:paraId="6182D744"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Available at</w:t>
            </w:r>
          </w:p>
          <w:p w14:paraId="7389320D" w14:textId="3E03108C" w:rsidR="00BD5745" w:rsidRPr="00BD5745" w:rsidRDefault="00BD5745" w:rsidP="00BD5745">
            <w:pPr>
              <w:pStyle w:val="Default"/>
              <w:rPr>
                <w:rFonts w:ascii="Noto Sans" w:hAnsi="Noto Sans" w:cs="Noto Sans"/>
                <w:color w:val="auto"/>
                <w:sz w:val="22"/>
                <w:szCs w:val="22"/>
              </w:rPr>
            </w:pPr>
            <w:hyperlink r:id="rId29" w:history="1">
              <w:r w:rsidRPr="00BD5745">
                <w:rPr>
                  <w:rStyle w:val="Hyperlink"/>
                  <w:rFonts w:ascii="Noto Sans" w:hAnsi="Noto Sans" w:cs="Noto Sans"/>
                  <w:sz w:val="22"/>
                  <w:szCs w:val="22"/>
                </w:rPr>
                <w:t>www.tmr.qld.gov.au</w:t>
              </w:r>
            </w:hyperlink>
          </w:p>
        </w:tc>
        <w:tc>
          <w:tcPr>
            <w:tcW w:w="3482" w:type="pct"/>
          </w:tcPr>
          <w:p w14:paraId="71522191"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Kerb ramps</w:t>
            </w:r>
            <w:r w:rsidRPr="00BD5745">
              <w:rPr>
                <w:rFonts w:ascii="Noto Sans" w:hAnsi="Noto Sans" w:cs="Noto Sans"/>
                <w:sz w:val="22"/>
                <w:szCs w:val="22"/>
              </w:rPr>
              <w:t xml:space="preserve"> – TMR Std </w:t>
            </w:r>
            <w:proofErr w:type="spellStart"/>
            <w:r w:rsidRPr="00BD5745">
              <w:rPr>
                <w:rFonts w:ascii="Noto Sans" w:hAnsi="Noto Sans" w:cs="Noto Sans"/>
                <w:sz w:val="22"/>
                <w:szCs w:val="22"/>
              </w:rPr>
              <w:t>Drg</w:t>
            </w:r>
            <w:proofErr w:type="spellEnd"/>
            <w:r w:rsidRPr="00BD5745">
              <w:rPr>
                <w:rFonts w:ascii="Noto Sans" w:hAnsi="Noto Sans" w:cs="Noto Sans"/>
                <w:sz w:val="22"/>
                <w:szCs w:val="22"/>
              </w:rPr>
              <w:t xml:space="preserve"> No. 1446</w:t>
            </w:r>
          </w:p>
          <w:p w14:paraId="598BC11F"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Median and island crossing</w:t>
            </w:r>
            <w:r w:rsidRPr="00BD5745">
              <w:rPr>
                <w:rFonts w:ascii="Noto Sans" w:hAnsi="Noto Sans" w:cs="Noto Sans"/>
                <w:sz w:val="22"/>
                <w:szCs w:val="22"/>
              </w:rPr>
              <w:t xml:space="preserve"> – TMR Stg </w:t>
            </w:r>
            <w:proofErr w:type="spellStart"/>
            <w:r w:rsidRPr="00BD5745">
              <w:rPr>
                <w:rFonts w:ascii="Noto Sans" w:hAnsi="Noto Sans" w:cs="Noto Sans"/>
                <w:sz w:val="22"/>
                <w:szCs w:val="22"/>
              </w:rPr>
              <w:t>Drg</w:t>
            </w:r>
            <w:proofErr w:type="spellEnd"/>
            <w:r w:rsidRPr="00BD5745">
              <w:rPr>
                <w:rFonts w:ascii="Noto Sans" w:hAnsi="Noto Sans" w:cs="Noto Sans"/>
                <w:sz w:val="22"/>
                <w:szCs w:val="22"/>
              </w:rPr>
              <w:t xml:space="preserve"> No. 1447</w:t>
            </w:r>
          </w:p>
          <w:p w14:paraId="6AAC8E13" w14:textId="56491F1D"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TGSI installation</w:t>
            </w:r>
            <w:r w:rsidRPr="00BD5745">
              <w:rPr>
                <w:rFonts w:ascii="Noto Sans" w:hAnsi="Noto Sans" w:cs="Noto Sans"/>
                <w:sz w:val="22"/>
                <w:szCs w:val="22"/>
              </w:rPr>
              <w:t xml:space="preserve"> – TMR Std </w:t>
            </w:r>
            <w:proofErr w:type="spellStart"/>
            <w:r w:rsidRPr="00BD5745">
              <w:rPr>
                <w:rFonts w:ascii="Noto Sans" w:hAnsi="Noto Sans" w:cs="Noto Sans"/>
                <w:sz w:val="22"/>
                <w:szCs w:val="22"/>
              </w:rPr>
              <w:t>Drg</w:t>
            </w:r>
            <w:proofErr w:type="spellEnd"/>
            <w:r w:rsidRPr="00BD5745">
              <w:rPr>
                <w:rFonts w:ascii="Noto Sans" w:hAnsi="Noto Sans" w:cs="Noto Sans"/>
                <w:sz w:val="22"/>
                <w:szCs w:val="22"/>
              </w:rPr>
              <w:t xml:space="preserve"> No. KRG1 and KRG2</w:t>
            </w:r>
          </w:p>
        </w:tc>
      </w:tr>
      <w:tr w:rsidR="00BD5745" w:rsidRPr="00BD5745" w14:paraId="45DB55C2"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60016B82"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b/>
                <w:bCs/>
                <w:color w:val="auto"/>
                <w:sz w:val="22"/>
                <w:szCs w:val="22"/>
                <w14:ligatures w14:val="none"/>
              </w:rPr>
              <w:br w:type="page"/>
            </w:r>
            <w:r w:rsidRPr="00BD5745">
              <w:rPr>
                <w:rFonts w:ascii="Noto Sans" w:hAnsi="Noto Sans" w:cs="Noto Sans"/>
                <w:b/>
                <w:bCs/>
                <w:color w:val="auto"/>
                <w:sz w:val="22"/>
                <w:szCs w:val="22"/>
              </w:rPr>
              <w:t>Road Safety Policy</w:t>
            </w:r>
          </w:p>
          <w:p w14:paraId="31864500"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Available at</w:t>
            </w:r>
          </w:p>
          <w:p w14:paraId="0711E4A0" w14:textId="1BE0080D" w:rsidR="00BD5745" w:rsidRPr="00BD5745" w:rsidRDefault="00BD5745" w:rsidP="00BD5745">
            <w:pPr>
              <w:pStyle w:val="Default"/>
              <w:rPr>
                <w:rFonts w:ascii="Noto Sans" w:hAnsi="Noto Sans" w:cs="Noto Sans"/>
                <w:color w:val="auto"/>
                <w:sz w:val="22"/>
                <w:szCs w:val="22"/>
              </w:rPr>
            </w:pPr>
            <w:hyperlink r:id="rId30" w:history="1">
              <w:r w:rsidRPr="00BD5745">
                <w:rPr>
                  <w:rStyle w:val="Hyperlink"/>
                  <w:rFonts w:ascii="Noto Sans" w:hAnsi="Noto Sans" w:cs="Noto Sans"/>
                  <w:sz w:val="22"/>
                  <w:szCs w:val="22"/>
                </w:rPr>
                <w:t>www.tmr.qld.gov.au</w:t>
              </w:r>
            </w:hyperlink>
          </w:p>
        </w:tc>
        <w:tc>
          <w:tcPr>
            <w:tcW w:w="3482" w:type="pct"/>
          </w:tcPr>
          <w:p w14:paraId="547C7683"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2"/>
                <w:szCs w:val="22"/>
              </w:rPr>
            </w:pPr>
            <w:r w:rsidRPr="00BD5745">
              <w:rPr>
                <w:rFonts w:ascii="Noto Sans" w:hAnsi="Noto Sans" w:cs="Noto Sans"/>
                <w:sz w:val="22"/>
                <w:szCs w:val="22"/>
              </w:rPr>
              <w:t>Safety Intervention and Improvement Guidelines for TMR projects.</w:t>
            </w:r>
            <w:r w:rsidRPr="00BD5745">
              <w:rPr>
                <w:rFonts w:ascii="Noto Sans" w:hAnsi="Noto Sans" w:cs="Noto Sans"/>
                <w:b/>
                <w:bCs/>
                <w:sz w:val="22"/>
                <w:szCs w:val="22"/>
              </w:rPr>
              <w:t xml:space="preserve"> </w:t>
            </w:r>
          </w:p>
        </w:tc>
      </w:tr>
      <w:tr w:rsidR="00BD5745" w:rsidRPr="00BD5745" w14:paraId="3C875C33" w14:textId="77777777" w:rsidTr="00BD5745">
        <w:trPr>
          <w:trHeight w:val="85"/>
        </w:trPr>
        <w:tc>
          <w:tcPr>
            <w:cnfStyle w:val="000010000000" w:firstRow="0" w:lastRow="0" w:firstColumn="0" w:lastColumn="0" w:oddVBand="1" w:evenVBand="0" w:oddHBand="0" w:evenHBand="0" w:firstRowFirstColumn="0" w:firstRowLastColumn="0" w:lastRowFirstColumn="0" w:lastRowLastColumn="0"/>
            <w:tcW w:w="1518" w:type="pct"/>
          </w:tcPr>
          <w:p w14:paraId="0A75C8F9"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 xml:space="preserve">Queensland Guide to Traffic Management (QGTM) </w:t>
            </w:r>
          </w:p>
          <w:p w14:paraId="63ABB599"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4D6290D0" w14:textId="3DE7B171" w:rsidR="00BD5745" w:rsidRPr="00BD5745" w:rsidRDefault="00BD5745" w:rsidP="00BD5745">
            <w:pPr>
              <w:pStyle w:val="Default"/>
              <w:rPr>
                <w:rFonts w:ascii="Noto Sans" w:hAnsi="Noto Sans" w:cs="Noto Sans"/>
                <w:color w:val="auto"/>
                <w:sz w:val="22"/>
                <w:szCs w:val="22"/>
              </w:rPr>
            </w:pPr>
            <w:hyperlink r:id="rId31" w:history="1">
              <w:r w:rsidRPr="00BD5745">
                <w:rPr>
                  <w:rStyle w:val="Hyperlink"/>
                  <w:rFonts w:ascii="Noto Sans" w:hAnsi="Noto Sans" w:cs="Noto Sans"/>
                  <w:sz w:val="22"/>
                  <w:szCs w:val="22"/>
                </w:rPr>
                <w:t>www.tmr.qld.gov.au</w:t>
              </w:r>
            </w:hyperlink>
          </w:p>
        </w:tc>
        <w:tc>
          <w:tcPr>
            <w:tcW w:w="3482" w:type="pct"/>
          </w:tcPr>
          <w:p w14:paraId="595A5A6C"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Bicycle lane separation devices </w:t>
            </w:r>
            <w:r w:rsidRPr="00BD5745">
              <w:rPr>
                <w:rFonts w:ascii="Noto Sans" w:hAnsi="Noto Sans" w:cs="Noto Sans"/>
                <w:sz w:val="22"/>
                <w:szCs w:val="22"/>
              </w:rPr>
              <w:t xml:space="preserve">- </w:t>
            </w:r>
            <w:r w:rsidRPr="00BD5745">
              <w:rPr>
                <w:rFonts w:ascii="Noto Sans" w:hAnsi="Noto Sans" w:cs="Noto Sans"/>
                <w:i/>
                <w:iCs/>
                <w:sz w:val="22"/>
                <w:szCs w:val="22"/>
              </w:rPr>
              <w:t xml:space="preserve">QGTM Part 10 – Physical separation devices for protected bicycle lanes and cycle tracks guideline </w:t>
            </w:r>
            <w:r w:rsidRPr="00BD5745">
              <w:rPr>
                <w:rFonts w:ascii="Noto Sans" w:hAnsi="Noto Sans" w:cs="Noto Sans"/>
                <w:sz w:val="22"/>
                <w:szCs w:val="22"/>
              </w:rPr>
              <w:t>(Jul 2025)</w:t>
            </w:r>
            <w:r w:rsidRPr="00BD5745">
              <w:rPr>
                <w:rFonts w:ascii="Noto Sans" w:hAnsi="Noto Sans" w:cs="Noto Sans"/>
                <w:i/>
                <w:iCs/>
                <w:sz w:val="22"/>
                <w:szCs w:val="22"/>
              </w:rPr>
              <w:t xml:space="preserve"> </w:t>
            </w:r>
          </w:p>
          <w:p w14:paraId="46155C6B"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Vehicle restriction treatments -</w:t>
            </w:r>
            <w:r w:rsidRPr="00BD5745">
              <w:rPr>
                <w:rFonts w:ascii="Noto Sans" w:hAnsi="Noto Sans" w:cs="Noto Sans"/>
                <w:sz w:val="22"/>
                <w:szCs w:val="22"/>
              </w:rPr>
              <w:t xml:space="preserve"> </w:t>
            </w:r>
            <w:r w:rsidRPr="00BD5745">
              <w:rPr>
                <w:rFonts w:ascii="Noto Sans" w:hAnsi="Noto Sans" w:cs="Noto Sans"/>
                <w:i/>
                <w:iCs/>
                <w:sz w:val="22"/>
                <w:szCs w:val="22"/>
              </w:rPr>
              <w:t>Appendix C</w:t>
            </w:r>
            <w:r w:rsidRPr="00BD5745">
              <w:rPr>
                <w:rFonts w:ascii="Noto Sans" w:hAnsi="Noto Sans" w:cs="Noto Sans"/>
                <w:sz w:val="22"/>
                <w:szCs w:val="22"/>
              </w:rPr>
              <w:t xml:space="preserve">, </w:t>
            </w:r>
            <w:r w:rsidRPr="00BD5745">
              <w:rPr>
                <w:rFonts w:ascii="Noto Sans" w:hAnsi="Noto Sans" w:cs="Noto Sans"/>
                <w:i/>
                <w:iCs/>
                <w:sz w:val="22"/>
                <w:szCs w:val="22"/>
              </w:rPr>
              <w:t>QGTM Part 6: Intersections, Interchanges and Crossings Management (2020)</w:t>
            </w:r>
            <w:r w:rsidRPr="00BD5745">
              <w:rPr>
                <w:rFonts w:ascii="Noto Sans" w:hAnsi="Noto Sans" w:cs="Noto Sans"/>
                <w:sz w:val="22"/>
                <w:szCs w:val="22"/>
              </w:rPr>
              <w:t xml:space="preserve"> (Nov 2024)</w:t>
            </w:r>
          </w:p>
        </w:tc>
      </w:tr>
      <w:tr w:rsidR="00BD5745" w:rsidRPr="00BD5745" w14:paraId="7C2593B0"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2FE8D683"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TMR Options for Designers of Pedestrian and Cyclist Bridges to achieve value-for-money Guideline</w:t>
            </w:r>
          </w:p>
          <w:p w14:paraId="127A2C18"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664E39B3" w14:textId="4BC160E2" w:rsidR="00BD5745" w:rsidRPr="00BD5745" w:rsidRDefault="00BD5745" w:rsidP="00BD5745">
            <w:pPr>
              <w:pStyle w:val="Default"/>
              <w:rPr>
                <w:rFonts w:ascii="Noto Sans" w:hAnsi="Noto Sans" w:cs="Noto Sans"/>
                <w:color w:val="auto"/>
                <w:sz w:val="22"/>
                <w:szCs w:val="22"/>
              </w:rPr>
            </w:pPr>
            <w:hyperlink r:id="rId32" w:history="1">
              <w:r w:rsidRPr="00BD5745">
                <w:rPr>
                  <w:rStyle w:val="Hyperlink"/>
                  <w:rFonts w:ascii="Noto Sans" w:hAnsi="Noto Sans" w:cs="Noto Sans"/>
                  <w:sz w:val="22"/>
                  <w:szCs w:val="22"/>
                </w:rPr>
                <w:t>www.tmr.qld.gov.au</w:t>
              </w:r>
            </w:hyperlink>
          </w:p>
        </w:tc>
        <w:tc>
          <w:tcPr>
            <w:tcW w:w="3482" w:type="pct"/>
          </w:tcPr>
          <w:p w14:paraId="620886BB"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sz w:val="22"/>
                <w:szCs w:val="22"/>
              </w:rPr>
              <w:t xml:space="preserve">TMR supplement to </w:t>
            </w:r>
            <w:r w:rsidRPr="00BD5745">
              <w:rPr>
                <w:rFonts w:ascii="Noto Sans" w:hAnsi="Noto Sans" w:cs="Noto Sans"/>
                <w:i/>
                <w:iCs/>
                <w:sz w:val="22"/>
                <w:szCs w:val="22"/>
              </w:rPr>
              <w:t>Design Criteria for Bridges and Other Structures Manual</w:t>
            </w:r>
          </w:p>
        </w:tc>
      </w:tr>
      <w:tr w:rsidR="00BD5745" w:rsidRPr="00BD5745" w14:paraId="5DAC931F" w14:textId="77777777" w:rsidTr="00BD5745">
        <w:trPr>
          <w:trHeight w:val="188"/>
        </w:trPr>
        <w:tc>
          <w:tcPr>
            <w:cnfStyle w:val="000010000000" w:firstRow="0" w:lastRow="0" w:firstColumn="0" w:lastColumn="0" w:oddVBand="1" w:evenVBand="0" w:oddHBand="0" w:evenHBand="0" w:firstRowFirstColumn="0" w:firstRowLastColumn="0" w:lastRowFirstColumn="0" w:lastRowLastColumn="0"/>
            <w:tcW w:w="1518" w:type="pct"/>
          </w:tcPr>
          <w:p w14:paraId="489FCC62"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 xml:space="preserve">Queensland Manual of Uniform Traffic Control Devices (QMUTCD) </w:t>
            </w:r>
          </w:p>
          <w:p w14:paraId="3570B8C6"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406D505B" w14:textId="46EA11F4" w:rsidR="00BD5745" w:rsidRPr="00BD5745" w:rsidRDefault="00BD5745" w:rsidP="00BD5745">
            <w:pPr>
              <w:pStyle w:val="Default"/>
              <w:rPr>
                <w:rFonts w:ascii="Noto Sans" w:hAnsi="Noto Sans" w:cs="Noto Sans"/>
                <w:color w:val="auto"/>
                <w:sz w:val="22"/>
                <w:szCs w:val="22"/>
              </w:rPr>
            </w:pPr>
            <w:hyperlink r:id="rId33" w:history="1">
              <w:r w:rsidRPr="00BD5745">
                <w:rPr>
                  <w:rStyle w:val="Hyperlink"/>
                  <w:rFonts w:ascii="Noto Sans" w:hAnsi="Noto Sans" w:cs="Noto Sans"/>
                  <w:sz w:val="22"/>
                  <w:szCs w:val="22"/>
                </w:rPr>
                <w:t>www.tmr.qld.gov.au</w:t>
              </w:r>
            </w:hyperlink>
          </w:p>
        </w:tc>
        <w:tc>
          <w:tcPr>
            <w:tcW w:w="3482" w:type="pct"/>
          </w:tcPr>
          <w:p w14:paraId="3CB09763" w14:textId="77777777" w:rsidR="00BD5745" w:rsidRPr="00BD5745" w:rsidRDefault="00BD5745" w:rsidP="00BD5745">
            <w:pPr>
              <w:pStyle w:val="Default"/>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Bicycle Facilities </w:t>
            </w:r>
            <w:r w:rsidRPr="00BD5745">
              <w:rPr>
                <w:rFonts w:ascii="Noto Sans" w:hAnsi="Noto Sans" w:cs="Noto Sans"/>
                <w:sz w:val="22"/>
                <w:szCs w:val="22"/>
              </w:rPr>
              <w:t>– Part 9</w:t>
            </w:r>
          </w:p>
        </w:tc>
      </w:tr>
      <w:tr w:rsidR="00BD5745" w:rsidRPr="00BD5745" w14:paraId="5662C07B" w14:textId="77777777" w:rsidTr="00BD5745">
        <w:trPr>
          <w:cnfStyle w:val="000000100000" w:firstRow="0" w:lastRow="0" w:firstColumn="0" w:lastColumn="0" w:oddVBand="0" w:evenVBand="0" w:oddHBand="1" w:evenHBand="0" w:firstRowFirstColumn="0" w:firstRowLastColumn="0" w:lastRowFirstColumn="0" w:lastRowLastColumn="0"/>
          <w:trHeight w:val="1198"/>
        </w:trPr>
        <w:tc>
          <w:tcPr>
            <w:cnfStyle w:val="000010000000" w:firstRow="0" w:lastRow="0" w:firstColumn="0" w:lastColumn="0" w:oddVBand="1" w:evenVBand="0" w:oddHBand="0" w:evenHBand="0" w:firstRowFirstColumn="0" w:firstRowLastColumn="0" w:lastRowFirstColumn="0" w:lastRowLastColumn="0"/>
            <w:tcW w:w="1518" w:type="pct"/>
          </w:tcPr>
          <w:p w14:paraId="4094E427"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 xml:space="preserve">TMR MUTCD Q-series and Traffic Control (TC) signs </w:t>
            </w:r>
          </w:p>
          <w:p w14:paraId="2B01887B"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74DDA821" w14:textId="40F4744B" w:rsidR="00BD5745" w:rsidRPr="00BD5745" w:rsidRDefault="00BD5745" w:rsidP="00BD5745">
            <w:pPr>
              <w:pStyle w:val="Default"/>
              <w:rPr>
                <w:rFonts w:ascii="Noto Sans" w:hAnsi="Noto Sans" w:cs="Noto Sans"/>
                <w:color w:val="auto"/>
                <w:sz w:val="22"/>
                <w:szCs w:val="22"/>
              </w:rPr>
            </w:pPr>
            <w:hyperlink r:id="rId34" w:history="1">
              <w:r w:rsidRPr="00BD5745">
                <w:rPr>
                  <w:rStyle w:val="Hyperlink"/>
                  <w:rFonts w:ascii="Noto Sans" w:hAnsi="Noto Sans" w:cs="Noto Sans"/>
                  <w:sz w:val="22"/>
                  <w:szCs w:val="22"/>
                </w:rPr>
                <w:t>www.tmr.qld.gov.au</w:t>
              </w:r>
            </w:hyperlink>
          </w:p>
        </w:tc>
        <w:tc>
          <w:tcPr>
            <w:tcW w:w="3482" w:type="pct"/>
          </w:tcPr>
          <w:p w14:paraId="7687E4D5"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p>
        </w:tc>
      </w:tr>
      <w:tr w:rsidR="00BD5745" w:rsidRPr="00BD5745" w14:paraId="3C1D2F46" w14:textId="77777777" w:rsidTr="00BD5745">
        <w:trPr>
          <w:trHeight w:val="85"/>
        </w:trPr>
        <w:tc>
          <w:tcPr>
            <w:cnfStyle w:val="000010000000" w:firstRow="0" w:lastRow="0" w:firstColumn="0" w:lastColumn="0" w:oddVBand="1" w:evenVBand="0" w:oddHBand="0" w:evenHBand="0" w:firstRowFirstColumn="0" w:firstRowLastColumn="0" w:lastRowFirstColumn="0" w:lastRowLastColumn="0"/>
            <w:tcW w:w="1518" w:type="pct"/>
          </w:tcPr>
          <w:p w14:paraId="0FF71435"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b/>
                <w:bCs/>
                <w:color w:val="auto"/>
                <w:sz w:val="22"/>
                <w:szCs w:val="22"/>
              </w:rPr>
              <w:lastRenderedPageBreak/>
              <w:t xml:space="preserve">TMR Technical Notes and Cyclist and Pedestrian Guidelines </w:t>
            </w:r>
            <w:r w:rsidRPr="00BD5745">
              <w:rPr>
                <w:rFonts w:ascii="Noto Sans" w:hAnsi="Noto Sans" w:cs="Noto Sans"/>
                <w:b/>
                <w:bCs/>
                <w:color w:val="auto"/>
                <w:sz w:val="22"/>
                <w:szCs w:val="22"/>
              </w:rPr>
              <w:br/>
            </w:r>
            <w:r w:rsidRPr="00BD5745">
              <w:rPr>
                <w:rFonts w:ascii="Noto Sans" w:hAnsi="Noto Sans" w:cs="Noto Sans"/>
                <w:color w:val="auto"/>
                <w:sz w:val="22"/>
                <w:szCs w:val="22"/>
              </w:rPr>
              <w:t>Available at</w:t>
            </w:r>
          </w:p>
          <w:p w14:paraId="1E1F11E5" w14:textId="14CF00B6" w:rsidR="00BD5745" w:rsidRPr="00BD5745" w:rsidRDefault="00BD5745" w:rsidP="00BD5745">
            <w:pPr>
              <w:pStyle w:val="Default"/>
              <w:rPr>
                <w:rFonts w:ascii="Noto Sans" w:hAnsi="Noto Sans" w:cs="Noto Sans"/>
                <w:b/>
                <w:bCs/>
                <w:color w:val="auto"/>
                <w:sz w:val="22"/>
                <w:szCs w:val="22"/>
              </w:rPr>
            </w:pPr>
            <w:hyperlink r:id="rId35" w:history="1">
              <w:r w:rsidRPr="00BD5745">
                <w:rPr>
                  <w:rStyle w:val="Hyperlink"/>
                  <w:rFonts w:ascii="Noto Sans" w:hAnsi="Noto Sans" w:cs="Noto Sans"/>
                  <w:sz w:val="22"/>
                  <w:szCs w:val="22"/>
                </w:rPr>
                <w:t>www.tmr.qld.gov.au</w:t>
              </w:r>
            </w:hyperlink>
          </w:p>
        </w:tc>
        <w:tc>
          <w:tcPr>
            <w:tcW w:w="3482" w:type="pct"/>
          </w:tcPr>
          <w:p w14:paraId="645AF638"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Cycle tracks -</w:t>
            </w:r>
            <w:r w:rsidRPr="00BD5745">
              <w:rPr>
                <w:rFonts w:ascii="Noto Sans" w:hAnsi="Noto Sans" w:cs="Noto Sans"/>
                <w:sz w:val="22"/>
                <w:szCs w:val="22"/>
              </w:rPr>
              <w:t xml:space="preserve"> </w:t>
            </w:r>
            <w:r w:rsidRPr="00BD5745">
              <w:rPr>
                <w:rFonts w:ascii="Noto Sans" w:hAnsi="Noto Sans" w:cs="Noto Sans"/>
                <w:i/>
                <w:iCs/>
                <w:sz w:val="22"/>
                <w:szCs w:val="22"/>
              </w:rPr>
              <w:t xml:space="preserve">Selection and design of cycle tracks </w:t>
            </w:r>
            <w:r w:rsidRPr="00BD5745">
              <w:rPr>
                <w:rFonts w:ascii="Noto Sans" w:hAnsi="Noto Sans" w:cs="Noto Sans"/>
                <w:sz w:val="22"/>
                <w:szCs w:val="22"/>
              </w:rPr>
              <w:t xml:space="preserve">(Jul 2025) </w:t>
            </w:r>
          </w:p>
          <w:p w14:paraId="10A4B3B7"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b/>
                <w:bCs/>
                <w:sz w:val="22"/>
                <w:szCs w:val="22"/>
              </w:rPr>
            </w:pPr>
            <w:r w:rsidRPr="00BD5745">
              <w:rPr>
                <w:rFonts w:ascii="Noto Sans" w:hAnsi="Noto Sans" w:cs="Noto Sans"/>
                <w:b/>
                <w:bCs/>
                <w:sz w:val="22"/>
                <w:szCs w:val="22"/>
              </w:rPr>
              <w:t>Segregated paths -</w:t>
            </w:r>
            <w:r w:rsidRPr="00BD5745">
              <w:rPr>
                <w:rFonts w:ascii="Noto Sans" w:hAnsi="Noto Sans" w:cs="Noto Sans"/>
                <w:sz w:val="22"/>
                <w:szCs w:val="22"/>
              </w:rPr>
              <w:t xml:space="preserve"> </w:t>
            </w:r>
            <w:r w:rsidRPr="00BD5745">
              <w:rPr>
                <w:rFonts w:ascii="Noto Sans" w:hAnsi="Noto Sans" w:cs="Noto Sans"/>
                <w:i/>
                <w:iCs/>
                <w:sz w:val="22"/>
                <w:szCs w:val="22"/>
              </w:rPr>
              <w:t xml:space="preserve">Selection and design of cycle tracks </w:t>
            </w:r>
            <w:r w:rsidRPr="00BD5745">
              <w:rPr>
                <w:rFonts w:ascii="Noto Sans" w:hAnsi="Noto Sans" w:cs="Noto Sans"/>
                <w:sz w:val="22"/>
                <w:szCs w:val="22"/>
              </w:rPr>
              <w:t xml:space="preserve">(Jul 2025) </w:t>
            </w:r>
          </w:p>
          <w:p w14:paraId="198F2024"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Level of Traffic Stress - </w:t>
            </w:r>
            <w:r w:rsidRPr="00BD5745">
              <w:rPr>
                <w:rFonts w:ascii="Noto Sans" w:hAnsi="Noto Sans" w:cs="Noto Sans"/>
                <w:i/>
                <w:iCs/>
                <w:sz w:val="22"/>
                <w:szCs w:val="22"/>
              </w:rPr>
              <w:t>Figure 2.2</w:t>
            </w:r>
            <w:r w:rsidRPr="00BD5745">
              <w:rPr>
                <w:rFonts w:ascii="Noto Sans" w:hAnsi="Noto Sans" w:cs="Noto Sans"/>
                <w:sz w:val="22"/>
                <w:szCs w:val="22"/>
              </w:rPr>
              <w:t xml:space="preserve">, </w:t>
            </w:r>
            <w:r w:rsidRPr="00BD5745">
              <w:rPr>
                <w:rFonts w:ascii="Noto Sans" w:hAnsi="Noto Sans" w:cs="Noto Sans"/>
                <w:i/>
                <w:iCs/>
                <w:sz w:val="22"/>
                <w:szCs w:val="22"/>
              </w:rPr>
              <w:t>Selection and design of cycle tracks guideline</w:t>
            </w:r>
            <w:r w:rsidRPr="00BD5745">
              <w:rPr>
                <w:rFonts w:ascii="Noto Sans" w:hAnsi="Noto Sans" w:cs="Noto Sans"/>
                <w:sz w:val="22"/>
                <w:szCs w:val="22"/>
              </w:rPr>
              <w:t xml:space="preserve"> (Jul 2025) </w:t>
            </w:r>
          </w:p>
          <w:p w14:paraId="22D0C272"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b/>
                <w:bCs/>
                <w:i/>
                <w:iCs/>
                <w:sz w:val="22"/>
                <w:szCs w:val="22"/>
              </w:rPr>
            </w:pPr>
            <w:r w:rsidRPr="00BD5745">
              <w:rPr>
                <w:rFonts w:ascii="Noto Sans" w:hAnsi="Noto Sans" w:cs="Noto Sans"/>
                <w:b/>
                <w:bCs/>
                <w:sz w:val="22"/>
                <w:szCs w:val="22"/>
              </w:rPr>
              <w:t>Intersection treatments</w:t>
            </w:r>
            <w:r w:rsidRPr="00BD5745">
              <w:rPr>
                <w:rFonts w:ascii="Noto Sans" w:hAnsi="Noto Sans" w:cs="Noto Sans"/>
                <w:sz w:val="22"/>
                <w:szCs w:val="22"/>
              </w:rPr>
              <w:t xml:space="preserve"> - </w:t>
            </w:r>
            <w:r w:rsidRPr="00BD5745">
              <w:rPr>
                <w:rFonts w:ascii="Noto Sans" w:hAnsi="Noto Sans" w:cs="Noto Sans"/>
                <w:i/>
                <w:iCs/>
                <w:sz w:val="22"/>
                <w:szCs w:val="22"/>
              </w:rPr>
              <w:t>Section 4</w:t>
            </w:r>
            <w:r w:rsidRPr="00BD5745">
              <w:rPr>
                <w:rFonts w:ascii="Noto Sans" w:hAnsi="Noto Sans" w:cs="Noto Sans"/>
                <w:sz w:val="22"/>
                <w:szCs w:val="22"/>
              </w:rPr>
              <w:t xml:space="preserve">, </w:t>
            </w:r>
            <w:r w:rsidRPr="00BD5745">
              <w:rPr>
                <w:rFonts w:ascii="Noto Sans" w:hAnsi="Noto Sans" w:cs="Noto Sans"/>
                <w:i/>
                <w:iCs/>
                <w:sz w:val="22"/>
                <w:szCs w:val="22"/>
              </w:rPr>
              <w:t xml:space="preserve">Selection and design of cycle tracks </w:t>
            </w:r>
            <w:r w:rsidRPr="00BD5745">
              <w:rPr>
                <w:rFonts w:ascii="Noto Sans" w:hAnsi="Noto Sans" w:cs="Noto Sans"/>
                <w:sz w:val="22"/>
                <w:szCs w:val="22"/>
              </w:rPr>
              <w:t>(Jul 2025)</w:t>
            </w:r>
            <w:r w:rsidRPr="00BD5745">
              <w:rPr>
                <w:rFonts w:ascii="Noto Sans" w:hAnsi="Noto Sans" w:cs="Noto Sans"/>
                <w:i/>
                <w:iCs/>
                <w:sz w:val="22"/>
                <w:szCs w:val="22"/>
              </w:rPr>
              <w:t xml:space="preserve"> </w:t>
            </w:r>
          </w:p>
          <w:p w14:paraId="3DC06030"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Crossings at side roads, roundabouts, and slip lanes</w:t>
            </w:r>
            <w:r w:rsidRPr="00BD5745">
              <w:rPr>
                <w:rFonts w:ascii="Noto Sans" w:hAnsi="Noto Sans" w:cs="Noto Sans"/>
                <w:sz w:val="22"/>
                <w:szCs w:val="22"/>
              </w:rPr>
              <w:t xml:space="preserve"> – </w:t>
            </w:r>
            <w:r w:rsidRPr="00BD5745">
              <w:rPr>
                <w:rFonts w:ascii="Noto Sans" w:hAnsi="Noto Sans" w:cs="Noto Sans"/>
                <w:i/>
                <w:iCs/>
                <w:sz w:val="22"/>
                <w:szCs w:val="22"/>
              </w:rPr>
              <w:t xml:space="preserve">Raised priority crossings for pedestrians and cycle paths </w:t>
            </w:r>
            <w:r w:rsidRPr="00BD5745">
              <w:rPr>
                <w:rFonts w:ascii="Noto Sans" w:hAnsi="Noto Sans" w:cs="Noto Sans"/>
                <w:sz w:val="22"/>
                <w:szCs w:val="22"/>
              </w:rPr>
              <w:t xml:space="preserve">(Sep 2025) </w:t>
            </w:r>
          </w:p>
          <w:p w14:paraId="1836E3F0"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b/>
                <w:bCs/>
                <w:sz w:val="22"/>
                <w:szCs w:val="22"/>
              </w:rPr>
            </w:pPr>
            <w:r w:rsidRPr="00BD5745">
              <w:rPr>
                <w:rFonts w:ascii="Noto Sans" w:hAnsi="Noto Sans" w:cs="Noto Sans"/>
                <w:b/>
                <w:bCs/>
                <w:sz w:val="22"/>
                <w:szCs w:val="22"/>
              </w:rPr>
              <w:t>Delineated driveways</w:t>
            </w:r>
            <w:r w:rsidRPr="00BD5745">
              <w:rPr>
                <w:rFonts w:ascii="Noto Sans" w:hAnsi="Noto Sans" w:cs="Noto Sans"/>
                <w:sz w:val="22"/>
                <w:szCs w:val="22"/>
              </w:rPr>
              <w:t xml:space="preserve"> - </w:t>
            </w:r>
            <w:r w:rsidRPr="00BD5745">
              <w:rPr>
                <w:rFonts w:ascii="Noto Sans" w:hAnsi="Noto Sans" w:cs="Noto Sans"/>
                <w:i/>
                <w:iCs/>
                <w:sz w:val="22"/>
                <w:szCs w:val="22"/>
              </w:rPr>
              <w:t xml:space="preserve">Treatment options to improve safety of pedestrians, bicycle riders and other path users at driveways </w:t>
            </w:r>
            <w:r w:rsidRPr="00BD5745">
              <w:rPr>
                <w:rFonts w:ascii="Noto Sans" w:hAnsi="Noto Sans" w:cs="Noto Sans"/>
                <w:sz w:val="22"/>
                <w:szCs w:val="22"/>
              </w:rPr>
              <w:t>guideline (Feb 2021)</w:t>
            </w:r>
          </w:p>
          <w:p w14:paraId="0CD32124"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Fencing and edge treatments</w:t>
            </w:r>
            <w:r w:rsidRPr="00BD5745">
              <w:rPr>
                <w:rFonts w:ascii="Noto Sans" w:hAnsi="Noto Sans" w:cs="Noto Sans"/>
                <w:sz w:val="22"/>
                <w:szCs w:val="22"/>
              </w:rPr>
              <w:t xml:space="preserve"> - </w:t>
            </w:r>
            <w:r w:rsidRPr="00BD5745">
              <w:rPr>
                <w:rFonts w:ascii="Noto Sans" w:hAnsi="Noto Sans" w:cs="Noto Sans"/>
                <w:i/>
                <w:iCs/>
                <w:sz w:val="22"/>
                <w:szCs w:val="22"/>
              </w:rPr>
              <w:t xml:space="preserve">Fencing and edging treatments for cycling infrastructure </w:t>
            </w:r>
            <w:r w:rsidRPr="00BD5745">
              <w:rPr>
                <w:rFonts w:ascii="Noto Sans" w:hAnsi="Noto Sans" w:cs="Noto Sans"/>
                <w:sz w:val="22"/>
                <w:szCs w:val="22"/>
              </w:rPr>
              <w:t>guideline (Feb 2019)</w:t>
            </w:r>
          </w:p>
          <w:p w14:paraId="1AAB2956"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Pedestrian demand forecasting</w:t>
            </w:r>
            <w:r w:rsidRPr="00BD5745">
              <w:rPr>
                <w:rFonts w:ascii="Noto Sans" w:hAnsi="Noto Sans" w:cs="Noto Sans"/>
                <w:sz w:val="22"/>
                <w:szCs w:val="22"/>
              </w:rPr>
              <w:t xml:space="preserve"> – </w:t>
            </w:r>
            <w:r w:rsidRPr="00BD5745">
              <w:rPr>
                <w:rFonts w:ascii="Noto Sans" w:hAnsi="Noto Sans" w:cs="Noto Sans"/>
                <w:i/>
                <w:iCs/>
                <w:sz w:val="22"/>
                <w:szCs w:val="22"/>
              </w:rPr>
              <w:t>Pedestrian Demand Forecasting</w:t>
            </w:r>
            <w:r w:rsidRPr="00BD5745">
              <w:rPr>
                <w:rFonts w:ascii="Noto Sans" w:hAnsi="Noto Sans" w:cs="Noto Sans"/>
                <w:sz w:val="22"/>
                <w:szCs w:val="22"/>
              </w:rPr>
              <w:t xml:space="preserve"> Guideline and Tool (Feb 2021) </w:t>
            </w:r>
          </w:p>
          <w:p w14:paraId="335D981E"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Shade near paths</w:t>
            </w:r>
            <w:r w:rsidRPr="00BD5745">
              <w:rPr>
                <w:rFonts w:ascii="Noto Sans" w:hAnsi="Noto Sans" w:cs="Noto Sans"/>
                <w:sz w:val="22"/>
                <w:szCs w:val="22"/>
              </w:rPr>
              <w:t xml:space="preserve"> – </w:t>
            </w:r>
            <w:r w:rsidRPr="00BD5745">
              <w:rPr>
                <w:rFonts w:ascii="Noto Sans" w:hAnsi="Noto Sans" w:cs="Noto Sans"/>
                <w:i/>
                <w:iCs/>
                <w:sz w:val="22"/>
                <w:szCs w:val="22"/>
              </w:rPr>
              <w:t xml:space="preserve">Technical Note 197 Provision of shade along paths </w:t>
            </w:r>
            <w:r w:rsidRPr="00BD5745">
              <w:rPr>
                <w:rFonts w:ascii="Noto Sans" w:hAnsi="Noto Sans" w:cs="Noto Sans"/>
                <w:sz w:val="22"/>
                <w:szCs w:val="22"/>
              </w:rPr>
              <w:t>(Jul 2021)</w:t>
            </w:r>
          </w:p>
          <w:p w14:paraId="28A18281"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Wayfinding</w:t>
            </w:r>
            <w:r w:rsidRPr="00BD5745">
              <w:rPr>
                <w:rFonts w:ascii="Noto Sans" w:hAnsi="Noto Sans" w:cs="Noto Sans"/>
                <w:i/>
                <w:iCs/>
                <w:sz w:val="22"/>
                <w:szCs w:val="22"/>
              </w:rPr>
              <w:t xml:space="preserve"> – Wayfinding and signage for people walking</w:t>
            </w:r>
            <w:r w:rsidRPr="00BD5745">
              <w:rPr>
                <w:rFonts w:ascii="Noto Sans" w:hAnsi="Noto Sans" w:cs="Noto Sans"/>
                <w:sz w:val="22"/>
                <w:szCs w:val="22"/>
              </w:rPr>
              <w:t xml:space="preserve"> guideline (Dec 2020)</w:t>
            </w:r>
          </w:p>
          <w:p w14:paraId="28FE3AA9" w14:textId="57184CE7" w:rsidR="00BD5745" w:rsidRPr="00BD5745" w:rsidRDefault="00BD5745" w:rsidP="00BD5745">
            <w:pPr>
              <w:pStyle w:val="Default"/>
              <w:cnfStyle w:val="000000000000" w:firstRow="0" w:lastRow="0" w:firstColumn="0" w:lastColumn="0" w:oddVBand="0" w:evenVBand="0" w:oddHBand="0" w:evenHBand="0" w:firstRowFirstColumn="0" w:firstRowLastColumn="0" w:lastRowFirstColumn="0" w:lastRowLastColumn="0"/>
              <w:rPr>
                <w:rFonts w:ascii="Noto Sans" w:hAnsi="Noto Sans" w:cs="Noto Sans"/>
                <w:b/>
                <w:bCs/>
                <w:sz w:val="22"/>
                <w:szCs w:val="22"/>
              </w:rPr>
            </w:pPr>
            <w:r w:rsidRPr="00BD5745">
              <w:rPr>
                <w:rFonts w:ascii="Noto Sans" w:hAnsi="Noto Sans" w:cs="Noto Sans"/>
                <w:b/>
                <w:bCs/>
                <w:sz w:val="22"/>
                <w:szCs w:val="22"/>
              </w:rPr>
              <w:t>Roundabout treatments</w:t>
            </w:r>
            <w:r w:rsidRPr="00BD5745">
              <w:rPr>
                <w:rFonts w:ascii="Noto Sans" w:hAnsi="Noto Sans" w:cs="Noto Sans"/>
                <w:sz w:val="22"/>
                <w:szCs w:val="22"/>
              </w:rPr>
              <w:t xml:space="preserve"> – </w:t>
            </w:r>
            <w:r w:rsidRPr="00BD5745">
              <w:rPr>
                <w:rFonts w:ascii="Noto Sans" w:hAnsi="Noto Sans" w:cs="Noto Sans"/>
                <w:i/>
                <w:iCs/>
                <w:sz w:val="22"/>
                <w:szCs w:val="22"/>
              </w:rPr>
              <w:t xml:space="preserve">Providing for people walking and riding bikes at roundabouts </w:t>
            </w:r>
            <w:r w:rsidRPr="00BD5745">
              <w:rPr>
                <w:rFonts w:ascii="Noto Sans" w:hAnsi="Noto Sans" w:cs="Noto Sans"/>
                <w:sz w:val="22"/>
                <w:szCs w:val="22"/>
              </w:rPr>
              <w:t>(Aug 2020)</w:t>
            </w:r>
          </w:p>
        </w:tc>
      </w:tr>
      <w:tr w:rsidR="00BD5745" w:rsidRPr="00BD5745" w14:paraId="0C80BCF7"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59DC5632"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Queensland Road Rules [Transport Operations (Road Use Management—Road Rules) Regulation 2009]</w:t>
            </w:r>
          </w:p>
          <w:p w14:paraId="74E3B4B9"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Available at</w:t>
            </w:r>
          </w:p>
          <w:p w14:paraId="5E990103" w14:textId="1CE3024F" w:rsidR="00BD5745" w:rsidRPr="00BD5745" w:rsidRDefault="00BD5745" w:rsidP="00BD5745">
            <w:pPr>
              <w:pStyle w:val="Default"/>
              <w:rPr>
                <w:rFonts w:ascii="Noto Sans" w:hAnsi="Noto Sans" w:cs="Noto Sans"/>
                <w:color w:val="auto"/>
                <w:sz w:val="22"/>
                <w:szCs w:val="22"/>
              </w:rPr>
            </w:pPr>
            <w:hyperlink r:id="rId36" w:history="1">
              <w:r w:rsidRPr="00BD5745">
                <w:rPr>
                  <w:rStyle w:val="Hyperlink"/>
                  <w:rFonts w:ascii="Noto Sans" w:hAnsi="Noto Sans" w:cs="Noto Sans"/>
                  <w:sz w:val="22"/>
                  <w:szCs w:val="22"/>
                </w:rPr>
                <w:t>www.legislation.qld.gov.au</w:t>
              </w:r>
            </w:hyperlink>
          </w:p>
        </w:tc>
        <w:tc>
          <w:tcPr>
            <w:tcW w:w="3482" w:type="pct"/>
          </w:tcPr>
          <w:p w14:paraId="2EC8A7D5"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Shared paths</w:t>
            </w:r>
            <w:r w:rsidRPr="00BD5745">
              <w:rPr>
                <w:rFonts w:ascii="Noto Sans" w:hAnsi="Noto Sans" w:cs="Noto Sans"/>
                <w:sz w:val="22"/>
                <w:szCs w:val="22"/>
              </w:rPr>
              <w:t xml:space="preserve"> - </w:t>
            </w:r>
            <w:r w:rsidRPr="00BD5745">
              <w:rPr>
                <w:rFonts w:ascii="Noto Sans" w:hAnsi="Noto Sans" w:cs="Noto Sans"/>
                <w:i/>
                <w:iCs/>
                <w:sz w:val="22"/>
                <w:szCs w:val="22"/>
              </w:rPr>
              <w:t>Rule 250</w:t>
            </w:r>
          </w:p>
          <w:p w14:paraId="62DB64C1"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Road-related area</w:t>
            </w:r>
            <w:r w:rsidRPr="00BD5745">
              <w:rPr>
                <w:rFonts w:ascii="Noto Sans" w:hAnsi="Noto Sans" w:cs="Noto Sans"/>
                <w:sz w:val="22"/>
                <w:szCs w:val="22"/>
              </w:rPr>
              <w:t xml:space="preserve"> – </w:t>
            </w:r>
            <w:r w:rsidRPr="00BD5745">
              <w:rPr>
                <w:rFonts w:ascii="Noto Sans" w:hAnsi="Noto Sans" w:cs="Noto Sans"/>
                <w:i/>
                <w:iCs/>
                <w:sz w:val="22"/>
                <w:szCs w:val="22"/>
              </w:rPr>
              <w:t>Rule 13</w:t>
            </w:r>
          </w:p>
          <w:p w14:paraId="15B519CE"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Bicycle lanes</w:t>
            </w:r>
            <w:r w:rsidRPr="00BD5745">
              <w:rPr>
                <w:rFonts w:ascii="Noto Sans" w:hAnsi="Noto Sans" w:cs="Noto Sans"/>
                <w:sz w:val="22"/>
                <w:szCs w:val="22"/>
              </w:rPr>
              <w:t xml:space="preserve"> – </w:t>
            </w:r>
            <w:r w:rsidRPr="00BD5745">
              <w:rPr>
                <w:rFonts w:ascii="Noto Sans" w:hAnsi="Noto Sans" w:cs="Noto Sans"/>
                <w:i/>
                <w:iCs/>
                <w:sz w:val="22"/>
                <w:szCs w:val="22"/>
              </w:rPr>
              <w:t>Rule 153</w:t>
            </w:r>
          </w:p>
          <w:p w14:paraId="5FABB792"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Special purpose lanes</w:t>
            </w:r>
            <w:r w:rsidRPr="00BD5745">
              <w:rPr>
                <w:rFonts w:ascii="Noto Sans" w:hAnsi="Noto Sans" w:cs="Noto Sans"/>
                <w:sz w:val="22"/>
                <w:szCs w:val="22"/>
              </w:rPr>
              <w:t xml:space="preserve"> – </w:t>
            </w:r>
            <w:r w:rsidRPr="00BD5745">
              <w:rPr>
                <w:rFonts w:ascii="Noto Sans" w:hAnsi="Noto Sans" w:cs="Noto Sans"/>
                <w:i/>
                <w:iCs/>
                <w:sz w:val="22"/>
                <w:szCs w:val="22"/>
              </w:rPr>
              <w:t>Rule 158</w:t>
            </w:r>
          </w:p>
          <w:p w14:paraId="59AE3DAB"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p>
        </w:tc>
      </w:tr>
      <w:tr w:rsidR="00BD5745" w:rsidRPr="00BD5745" w14:paraId="5DFFB1E8" w14:textId="77777777" w:rsidTr="00BD5745">
        <w:trPr>
          <w:trHeight w:val="85"/>
        </w:trPr>
        <w:tc>
          <w:tcPr>
            <w:cnfStyle w:val="000010000000" w:firstRow="0" w:lastRow="0" w:firstColumn="0" w:lastColumn="0" w:oddVBand="1" w:evenVBand="0" w:oddHBand="0" w:evenHBand="0" w:firstRowFirstColumn="0" w:firstRowLastColumn="0" w:lastRowFirstColumn="0" w:lastRowLastColumn="0"/>
            <w:tcW w:w="1518" w:type="pct"/>
          </w:tcPr>
          <w:p w14:paraId="41DDFC2A" w14:textId="77777777" w:rsidR="00BD5745" w:rsidRPr="00BD5745" w:rsidRDefault="00BD5745" w:rsidP="00BD5745">
            <w:pPr>
              <w:pStyle w:val="Default"/>
              <w:rPr>
                <w:rFonts w:ascii="Noto Sans" w:hAnsi="Noto Sans" w:cs="Noto Sans"/>
                <w:b/>
                <w:i/>
                <w:iCs/>
                <w:color w:val="auto"/>
                <w:sz w:val="22"/>
                <w:szCs w:val="22"/>
                <w:lang w:eastAsia="en-AU"/>
              </w:rPr>
            </w:pPr>
            <w:r w:rsidRPr="00BD5745">
              <w:rPr>
                <w:rFonts w:ascii="Noto Sans" w:hAnsi="Noto Sans" w:cs="Noto Sans"/>
                <w:b/>
                <w:i/>
                <w:iCs/>
                <w:color w:val="auto"/>
                <w:sz w:val="22"/>
                <w:szCs w:val="22"/>
                <w:lang w:eastAsia="en-AU"/>
              </w:rPr>
              <w:t>Street Design Manual</w:t>
            </w:r>
          </w:p>
          <w:p w14:paraId="7C1FA614"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Available at</w:t>
            </w:r>
          </w:p>
          <w:p w14:paraId="653350C3" w14:textId="77777777" w:rsidR="00BD5745" w:rsidRPr="00BD5745" w:rsidRDefault="00BD5745" w:rsidP="00BD5745">
            <w:pPr>
              <w:pStyle w:val="Default"/>
              <w:rPr>
                <w:rFonts w:ascii="Noto Sans" w:hAnsi="Noto Sans" w:cs="Noto Sans"/>
                <w:color w:val="auto"/>
                <w:sz w:val="22"/>
                <w:szCs w:val="22"/>
              </w:rPr>
            </w:pPr>
            <w:hyperlink r:id="rId37" w:history="1">
              <w:r w:rsidRPr="00BD5745">
                <w:rPr>
                  <w:rStyle w:val="Hyperlink"/>
                  <w:rFonts w:ascii="Noto Sans" w:hAnsi="Noto Sans" w:cs="Noto Sans"/>
                  <w:sz w:val="22"/>
                  <w:szCs w:val="22"/>
                </w:rPr>
                <w:t>www.ipwea-qnt.com</w:t>
              </w:r>
            </w:hyperlink>
          </w:p>
        </w:tc>
        <w:tc>
          <w:tcPr>
            <w:tcW w:w="3482" w:type="pct"/>
          </w:tcPr>
          <w:p w14:paraId="7CAE40A6" w14:textId="77777777" w:rsidR="00BD5745" w:rsidRPr="00BD5745" w:rsidRDefault="00BD5745" w:rsidP="00BD5745">
            <w:pPr>
              <w:pStyle w:val="Default"/>
              <w:cnfStyle w:val="000000000000" w:firstRow="0" w:lastRow="0" w:firstColumn="0" w:lastColumn="0" w:oddVBand="0" w:evenVBand="0" w:oddHBand="0"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Recommended footpath provision for new developments</w:t>
            </w:r>
            <w:r w:rsidRPr="00BD5745">
              <w:rPr>
                <w:rFonts w:ascii="Noto Sans" w:hAnsi="Noto Sans" w:cs="Noto Sans"/>
                <w:sz w:val="22"/>
                <w:szCs w:val="22"/>
              </w:rPr>
              <w:t xml:space="preserve"> - </w:t>
            </w:r>
            <w:r w:rsidRPr="00BD5745">
              <w:rPr>
                <w:rFonts w:ascii="Noto Sans" w:hAnsi="Noto Sans" w:cs="Noto Sans"/>
                <w:i/>
                <w:iCs/>
                <w:sz w:val="22"/>
                <w:szCs w:val="22"/>
              </w:rPr>
              <w:t>IPWEA Street Design Manual, Part 2 Detailed Design Guidelines.</w:t>
            </w:r>
          </w:p>
          <w:p w14:paraId="43F30B27" w14:textId="77777777" w:rsidR="00BD5745" w:rsidRPr="00BD5745" w:rsidRDefault="00BD5745" w:rsidP="00BD5745">
            <w:pPr>
              <w:pStyle w:val="Default"/>
              <w:cnfStyle w:val="000000000000" w:firstRow="0" w:lastRow="0" w:firstColumn="0" w:lastColumn="0" w:oddVBand="0" w:evenVBand="0" w:oddHBand="0" w:evenHBand="0" w:firstRowFirstColumn="0" w:firstRowLastColumn="0" w:lastRowFirstColumn="0" w:lastRowLastColumn="0"/>
              <w:rPr>
                <w:rFonts w:ascii="Noto Sans" w:hAnsi="Noto Sans" w:cs="Noto Sans"/>
                <w:b/>
                <w:bCs/>
                <w:sz w:val="22"/>
                <w:szCs w:val="22"/>
              </w:rPr>
            </w:pPr>
          </w:p>
        </w:tc>
      </w:tr>
      <w:tr w:rsidR="00BD5745" w:rsidRPr="00BD5745" w14:paraId="2AB7C221" w14:textId="77777777" w:rsidTr="00BD5745">
        <w:trPr>
          <w:cnfStyle w:val="000000100000" w:firstRow="0" w:lastRow="0" w:firstColumn="0" w:lastColumn="0" w:oddVBand="0" w:evenVBand="0" w:oddHBand="1" w:evenHBand="0" w:firstRowFirstColumn="0" w:firstRowLastColumn="0" w:lastRowFirstColumn="0" w:lastRowLastColumn="0"/>
          <w:trHeight w:val="1011"/>
        </w:trPr>
        <w:tc>
          <w:tcPr>
            <w:cnfStyle w:val="000010000000" w:firstRow="0" w:lastRow="0" w:firstColumn="0" w:lastColumn="0" w:oddVBand="1" w:evenVBand="0" w:oddHBand="0" w:evenHBand="0" w:firstRowFirstColumn="0" w:firstRowLastColumn="0" w:lastRowFirstColumn="0" w:lastRowLastColumn="0"/>
            <w:tcW w:w="1518" w:type="pct"/>
          </w:tcPr>
          <w:p w14:paraId="6791A4C9" w14:textId="77777777" w:rsidR="00BD5745" w:rsidRPr="00BD5745" w:rsidRDefault="00BD5745" w:rsidP="00BD5745">
            <w:pPr>
              <w:pStyle w:val="Default"/>
              <w:rPr>
                <w:rFonts w:ascii="Noto Sans" w:hAnsi="Noto Sans" w:cs="Noto Sans"/>
                <w:b/>
                <w:bCs/>
                <w:i/>
                <w:iCs/>
                <w:color w:val="auto"/>
                <w:sz w:val="22"/>
                <w:szCs w:val="22"/>
              </w:rPr>
            </w:pPr>
            <w:proofErr w:type="spellStart"/>
            <w:r w:rsidRPr="00BD5745">
              <w:rPr>
                <w:rFonts w:ascii="Noto Sans" w:hAnsi="Noto Sans" w:cs="Noto Sans"/>
                <w:b/>
                <w:bCs/>
                <w:i/>
                <w:iCs/>
                <w:color w:val="auto"/>
                <w:sz w:val="22"/>
                <w:szCs w:val="22"/>
              </w:rPr>
              <w:lastRenderedPageBreak/>
              <w:t>TfNSW</w:t>
            </w:r>
            <w:proofErr w:type="spellEnd"/>
            <w:r w:rsidRPr="00BD5745">
              <w:rPr>
                <w:rFonts w:ascii="Noto Sans" w:hAnsi="Noto Sans" w:cs="Noto Sans"/>
                <w:b/>
                <w:bCs/>
                <w:i/>
                <w:iCs/>
                <w:color w:val="auto"/>
                <w:sz w:val="22"/>
                <w:szCs w:val="22"/>
              </w:rPr>
              <w:t xml:space="preserve"> Walking Space Guide</w:t>
            </w:r>
          </w:p>
          <w:p w14:paraId="596B9E2A"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Available at</w:t>
            </w:r>
          </w:p>
          <w:p w14:paraId="595D397D" w14:textId="109FA7B9" w:rsidR="00BD5745" w:rsidRPr="00BD5745" w:rsidRDefault="00BD5745" w:rsidP="00BD5745">
            <w:pPr>
              <w:pStyle w:val="Default"/>
              <w:rPr>
                <w:rFonts w:ascii="Noto Sans" w:hAnsi="Noto Sans" w:cs="Noto Sans"/>
                <w:b/>
                <w:bCs/>
                <w:i/>
                <w:iCs/>
                <w:color w:val="auto"/>
                <w:sz w:val="22"/>
                <w:szCs w:val="22"/>
              </w:rPr>
            </w:pPr>
            <w:r w:rsidRPr="00BD5745">
              <w:rPr>
                <w:rStyle w:val="Hyperlink"/>
                <w:rFonts w:ascii="Noto Sans" w:hAnsi="Noto Sans" w:cs="Noto Sans"/>
                <w:sz w:val="22"/>
                <w:szCs w:val="22"/>
              </w:rPr>
              <w:t>www.standards.transport.nsw.gov.au</w:t>
            </w:r>
          </w:p>
        </w:tc>
        <w:tc>
          <w:tcPr>
            <w:tcW w:w="3482" w:type="pct"/>
          </w:tcPr>
          <w:p w14:paraId="57F21E5A" w14:textId="77777777" w:rsidR="00BD5745" w:rsidRPr="00BD5745" w:rsidRDefault="00BD5745" w:rsidP="00BD5745">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2"/>
                <w:szCs w:val="22"/>
              </w:rPr>
            </w:pPr>
            <w:r w:rsidRPr="00BD5745">
              <w:rPr>
                <w:rFonts w:ascii="Noto Sans" w:hAnsi="Noto Sans" w:cs="Noto Sans"/>
                <w:b/>
                <w:bCs/>
                <w:sz w:val="22"/>
                <w:szCs w:val="22"/>
              </w:rPr>
              <w:t>Walking path widths</w:t>
            </w:r>
          </w:p>
          <w:p w14:paraId="7E833ABC" w14:textId="77777777" w:rsidR="00BD5745" w:rsidRPr="00BD5745" w:rsidRDefault="00BD5745" w:rsidP="00BD5745">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Noto Sans" w:hAnsi="Noto Sans" w:cs="Noto Sans"/>
                <w:i/>
                <w:iCs/>
                <w:sz w:val="22"/>
                <w:szCs w:val="22"/>
              </w:rPr>
            </w:pPr>
            <w:r w:rsidRPr="00BD5745">
              <w:rPr>
                <w:rFonts w:ascii="Noto Sans" w:hAnsi="Noto Sans" w:cs="Noto Sans"/>
                <w:i/>
                <w:iCs/>
                <w:sz w:val="22"/>
                <w:szCs w:val="22"/>
              </w:rPr>
              <w:t>Walking Space Guide summary, Table 1, version 2</w:t>
            </w:r>
          </w:p>
          <w:p w14:paraId="68734F58" w14:textId="77777777" w:rsidR="00BD5745" w:rsidRPr="00BD5745" w:rsidRDefault="00BD5745" w:rsidP="00BD5745">
            <w:pPr>
              <w:pStyle w:val="Default"/>
              <w:numPr>
                <w:ilvl w:val="0"/>
                <w:numId w:val="16"/>
              </w:numPr>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2"/>
                <w:szCs w:val="22"/>
              </w:rPr>
            </w:pPr>
          </w:p>
        </w:tc>
      </w:tr>
      <w:tr w:rsidR="00BD5745" w:rsidRPr="00BD5745" w14:paraId="4B40BB40" w14:textId="77777777" w:rsidTr="00BD5745">
        <w:trPr>
          <w:trHeight w:val="992"/>
        </w:trPr>
        <w:tc>
          <w:tcPr>
            <w:cnfStyle w:val="000010000000" w:firstRow="0" w:lastRow="0" w:firstColumn="0" w:lastColumn="0" w:oddVBand="1" w:evenVBand="0" w:oddHBand="0" w:evenHBand="0" w:firstRowFirstColumn="0" w:firstRowLastColumn="0" w:lastRowFirstColumn="0" w:lastRowLastColumn="0"/>
            <w:tcW w:w="1518" w:type="pct"/>
          </w:tcPr>
          <w:p w14:paraId="353F8C42" w14:textId="77777777" w:rsidR="00BD5745" w:rsidRPr="00BD5745" w:rsidRDefault="00BD5745" w:rsidP="00BD5745">
            <w:pPr>
              <w:pStyle w:val="Default"/>
              <w:rPr>
                <w:rFonts w:ascii="Noto Sans" w:hAnsi="Noto Sans" w:cs="Noto Sans"/>
                <w:b/>
                <w:bCs/>
                <w:i/>
                <w:iCs/>
                <w:color w:val="auto"/>
                <w:sz w:val="22"/>
                <w:szCs w:val="22"/>
              </w:rPr>
            </w:pPr>
            <w:r w:rsidRPr="00BD5745">
              <w:rPr>
                <w:rFonts w:ascii="Noto Sans" w:hAnsi="Noto Sans" w:cs="Noto Sans"/>
                <w:b/>
                <w:bCs/>
                <w:i/>
                <w:iCs/>
                <w:color w:val="auto"/>
                <w:sz w:val="22"/>
                <w:szCs w:val="22"/>
              </w:rPr>
              <w:t>Disability Discrimination Act</w:t>
            </w:r>
          </w:p>
          <w:p w14:paraId="61F4885B"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7D1FF6BA" w14:textId="77777777" w:rsidR="00BD5745" w:rsidRPr="00BD5745" w:rsidRDefault="00BD5745" w:rsidP="00BD5745">
            <w:pPr>
              <w:pStyle w:val="Default"/>
              <w:rPr>
                <w:rFonts w:ascii="Noto Sans" w:hAnsi="Noto Sans" w:cs="Noto Sans"/>
                <w:color w:val="auto"/>
                <w:sz w:val="22"/>
                <w:szCs w:val="22"/>
              </w:rPr>
            </w:pPr>
            <w:r w:rsidRPr="00BD5745">
              <w:rPr>
                <w:rStyle w:val="Hyperlink"/>
                <w:rFonts w:ascii="Noto Sans" w:hAnsi="Noto Sans" w:cs="Noto Sans"/>
                <w:sz w:val="22"/>
                <w:szCs w:val="22"/>
              </w:rPr>
              <w:t>www.legislation.gov.au</w:t>
            </w:r>
          </w:p>
        </w:tc>
        <w:tc>
          <w:tcPr>
            <w:tcW w:w="3482" w:type="pct"/>
          </w:tcPr>
          <w:p w14:paraId="4E493E72" w14:textId="77777777" w:rsidR="00BD5745" w:rsidRPr="00BD5745" w:rsidRDefault="00BD5745" w:rsidP="00BD5745">
            <w:pPr>
              <w:pStyle w:val="Default"/>
              <w:numPr>
                <w:ilvl w:val="0"/>
                <w:numId w:val="16"/>
              </w:numPr>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Accessibility requirements</w:t>
            </w:r>
            <w:r w:rsidRPr="00BD5745">
              <w:rPr>
                <w:rFonts w:ascii="Noto Sans" w:hAnsi="Noto Sans" w:cs="Noto Sans"/>
                <w:sz w:val="22"/>
                <w:szCs w:val="22"/>
              </w:rPr>
              <w:t xml:space="preserve"> of the </w:t>
            </w:r>
            <w:r w:rsidRPr="00BD5745">
              <w:rPr>
                <w:rFonts w:ascii="Noto Sans" w:hAnsi="Noto Sans" w:cs="Noto Sans"/>
                <w:i/>
                <w:iCs/>
                <w:sz w:val="22"/>
                <w:szCs w:val="22"/>
              </w:rPr>
              <w:t xml:space="preserve">Disability Discrimination Act </w:t>
            </w:r>
          </w:p>
          <w:p w14:paraId="6967B968" w14:textId="77777777" w:rsidR="00BD5745" w:rsidRPr="00BD5745" w:rsidRDefault="00BD5745" w:rsidP="00BD5745">
            <w:pPr>
              <w:cnfStyle w:val="000000000000" w:firstRow="0" w:lastRow="0" w:firstColumn="0" w:lastColumn="0" w:oddVBand="0" w:evenVBand="0" w:oddHBand="0" w:evenHBand="0" w:firstRowFirstColumn="0" w:firstRowLastColumn="0" w:lastRowFirstColumn="0" w:lastRowLastColumn="0"/>
              <w:rPr>
                <w:rFonts w:ascii="Noto Sans" w:hAnsi="Noto Sans" w:cs="Noto Sans"/>
                <w:color w:val="000000"/>
                <w:sz w:val="22"/>
              </w:rPr>
            </w:pPr>
          </w:p>
        </w:tc>
      </w:tr>
      <w:tr w:rsidR="00BD5745" w:rsidRPr="00BD5745" w14:paraId="77F9FA6A"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0D5C5261" w14:textId="77777777" w:rsidR="00BD5745" w:rsidRPr="00BD5745" w:rsidRDefault="00BD5745" w:rsidP="00BD5745">
            <w:pPr>
              <w:pStyle w:val="Default"/>
              <w:rPr>
                <w:rFonts w:ascii="Noto Sans" w:hAnsi="Noto Sans" w:cs="Noto Sans"/>
                <w:b/>
                <w:bCs/>
                <w:i/>
                <w:iCs/>
                <w:color w:val="auto"/>
                <w:sz w:val="22"/>
                <w:szCs w:val="22"/>
              </w:rPr>
            </w:pPr>
            <w:r w:rsidRPr="00BD5745">
              <w:rPr>
                <w:rFonts w:ascii="Noto Sans" w:hAnsi="Noto Sans" w:cs="Noto Sans"/>
                <w:b/>
                <w:bCs/>
                <w:color w:val="auto"/>
                <w:sz w:val="22"/>
                <w:szCs w:val="22"/>
              </w:rPr>
              <w:t>Australian Human Rights Commission (</w:t>
            </w:r>
            <w:r w:rsidRPr="00BD5745">
              <w:rPr>
                <w:rFonts w:ascii="Noto Sans" w:hAnsi="Noto Sans" w:cs="Noto Sans"/>
                <w:b/>
                <w:bCs/>
                <w:i/>
                <w:iCs/>
                <w:color w:val="auto"/>
                <w:sz w:val="22"/>
                <w:szCs w:val="22"/>
              </w:rPr>
              <w:t>AHRC) Guidance</w:t>
            </w:r>
          </w:p>
          <w:p w14:paraId="29D11BB2"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Available at</w:t>
            </w:r>
          </w:p>
          <w:p w14:paraId="562047F1" w14:textId="77777777" w:rsidR="00BD5745" w:rsidRPr="00BD5745" w:rsidRDefault="00BD5745" w:rsidP="00BD5745">
            <w:pPr>
              <w:pStyle w:val="Default"/>
              <w:rPr>
                <w:rFonts w:ascii="Noto Sans" w:hAnsi="Noto Sans" w:cs="Noto Sans"/>
                <w:i/>
                <w:iCs/>
                <w:color w:val="auto"/>
                <w:sz w:val="22"/>
                <w:szCs w:val="22"/>
              </w:rPr>
            </w:pPr>
            <w:r w:rsidRPr="00BD5745">
              <w:rPr>
                <w:rStyle w:val="Hyperlink"/>
                <w:rFonts w:ascii="Noto Sans" w:hAnsi="Noto Sans" w:cs="Noto Sans"/>
                <w:sz w:val="22"/>
                <w:szCs w:val="22"/>
              </w:rPr>
              <w:t>www.humanrights.gov.au</w:t>
            </w:r>
          </w:p>
        </w:tc>
        <w:tc>
          <w:tcPr>
            <w:tcW w:w="3482" w:type="pct"/>
          </w:tcPr>
          <w:p w14:paraId="2F74BEF2" w14:textId="77777777" w:rsidR="00BD5745" w:rsidRPr="00BD5745" w:rsidRDefault="00BD5745" w:rsidP="00BD5745">
            <w:pPr>
              <w:pStyle w:val="Default"/>
              <w:numPr>
                <w:ilvl w:val="0"/>
                <w:numId w:val="17"/>
              </w:numPr>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Accessible streetscapes </w:t>
            </w:r>
            <w:r w:rsidRPr="00BD5745">
              <w:rPr>
                <w:rFonts w:ascii="Noto Sans" w:hAnsi="Noto Sans" w:cs="Noto Sans"/>
                <w:sz w:val="22"/>
                <w:szCs w:val="22"/>
              </w:rPr>
              <w:t xml:space="preserve">– </w:t>
            </w:r>
            <w:r w:rsidRPr="00BD5745">
              <w:rPr>
                <w:rFonts w:ascii="Noto Sans" w:hAnsi="Noto Sans" w:cs="Noto Sans"/>
                <w:i/>
                <w:iCs/>
                <w:sz w:val="22"/>
                <w:szCs w:val="22"/>
              </w:rPr>
              <w:t xml:space="preserve">Section 3 </w:t>
            </w:r>
            <w:r w:rsidRPr="00BD5745">
              <w:rPr>
                <w:rFonts w:ascii="Noto Sans" w:hAnsi="Noto Sans" w:cs="Noto Sans"/>
                <w:sz w:val="22"/>
                <w:szCs w:val="22"/>
              </w:rPr>
              <w:t xml:space="preserve">and </w:t>
            </w:r>
            <w:r w:rsidRPr="00BD5745">
              <w:rPr>
                <w:rFonts w:ascii="Noto Sans" w:hAnsi="Noto Sans" w:cs="Noto Sans"/>
                <w:i/>
                <w:iCs/>
                <w:sz w:val="22"/>
                <w:szCs w:val="22"/>
              </w:rPr>
              <w:t>Section 8.7</w:t>
            </w:r>
            <w:r w:rsidRPr="00BD5745">
              <w:rPr>
                <w:rFonts w:ascii="Noto Sans" w:hAnsi="Noto Sans" w:cs="Noto Sans"/>
                <w:sz w:val="22"/>
                <w:szCs w:val="22"/>
              </w:rPr>
              <w:t xml:space="preserve">, AHRC </w:t>
            </w:r>
            <w:r w:rsidRPr="00BD5745">
              <w:rPr>
                <w:rFonts w:ascii="Noto Sans" w:hAnsi="Noto Sans" w:cs="Noto Sans"/>
                <w:i/>
                <w:iCs/>
                <w:sz w:val="22"/>
                <w:szCs w:val="22"/>
              </w:rPr>
              <w:t xml:space="preserve">Advisory Note on streetscape, public outdoor areas, fixtures, fittings and furniture </w:t>
            </w:r>
            <w:r w:rsidRPr="00BD5745">
              <w:rPr>
                <w:rFonts w:ascii="Noto Sans" w:hAnsi="Noto Sans" w:cs="Noto Sans"/>
                <w:sz w:val="22"/>
                <w:szCs w:val="22"/>
              </w:rPr>
              <w:t>(8 February 2013)</w:t>
            </w:r>
          </w:p>
          <w:p w14:paraId="2CCE0DF3" w14:textId="77777777" w:rsidR="00BD5745" w:rsidRPr="00BD5745" w:rsidRDefault="00BD5745" w:rsidP="00BD5745">
            <w:pPr>
              <w:pStyle w:val="Default"/>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p>
        </w:tc>
      </w:tr>
      <w:tr w:rsidR="00BD5745" w:rsidRPr="00BD5745" w14:paraId="46C0DD84" w14:textId="77777777" w:rsidTr="00BD5745">
        <w:trPr>
          <w:trHeight w:val="85"/>
        </w:trPr>
        <w:tc>
          <w:tcPr>
            <w:cnfStyle w:val="000010000000" w:firstRow="0" w:lastRow="0" w:firstColumn="0" w:lastColumn="0" w:oddVBand="1" w:evenVBand="0" w:oddHBand="0" w:evenHBand="0" w:firstRowFirstColumn="0" w:firstRowLastColumn="0" w:lastRowFirstColumn="0" w:lastRowLastColumn="0"/>
            <w:tcW w:w="1518" w:type="pct"/>
          </w:tcPr>
          <w:p w14:paraId="4C08BE3A"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 xml:space="preserve">Austroads Guides to Road Design, Traffic Management and Road Safety </w:t>
            </w:r>
          </w:p>
          <w:p w14:paraId="06768B85"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0CD315A2" w14:textId="77777777" w:rsidR="00BD5745" w:rsidRPr="00BD5745" w:rsidRDefault="00BD5745" w:rsidP="00BD5745">
            <w:pPr>
              <w:pStyle w:val="Default"/>
              <w:rPr>
                <w:rFonts w:ascii="Noto Sans" w:hAnsi="Noto Sans" w:cs="Noto Sans"/>
                <w:color w:val="auto"/>
                <w:sz w:val="22"/>
                <w:szCs w:val="22"/>
              </w:rPr>
            </w:pPr>
            <w:r w:rsidRPr="00BD5745">
              <w:rPr>
                <w:rStyle w:val="Hyperlink"/>
                <w:rFonts w:ascii="Noto Sans" w:hAnsi="Noto Sans" w:cs="Noto Sans"/>
                <w:sz w:val="22"/>
                <w:szCs w:val="22"/>
              </w:rPr>
              <w:t>www.austroads.com.au</w:t>
            </w:r>
          </w:p>
        </w:tc>
        <w:tc>
          <w:tcPr>
            <w:tcW w:w="3482" w:type="pct"/>
          </w:tcPr>
          <w:p w14:paraId="18F190B1"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Relationship between speed and injury</w:t>
            </w:r>
            <w:r w:rsidRPr="00BD5745">
              <w:rPr>
                <w:rFonts w:ascii="Noto Sans" w:hAnsi="Noto Sans" w:cs="Noto Sans"/>
                <w:sz w:val="22"/>
                <w:szCs w:val="22"/>
              </w:rPr>
              <w:t xml:space="preserve"> -</w:t>
            </w:r>
            <w:r w:rsidRPr="00BD5745">
              <w:rPr>
                <w:rFonts w:ascii="Noto Sans" w:hAnsi="Noto Sans" w:cs="Noto Sans"/>
                <w:i/>
                <w:iCs/>
                <w:sz w:val="22"/>
                <w:szCs w:val="22"/>
              </w:rPr>
              <w:t xml:space="preserve"> </w:t>
            </w:r>
            <w:r w:rsidRPr="00BD5745">
              <w:rPr>
                <w:rFonts w:ascii="Noto Sans" w:hAnsi="Noto Sans" w:cs="Noto Sans"/>
                <w:i/>
                <w:sz w:val="22"/>
                <w:szCs w:val="22"/>
                <w:lang w:val="en-US"/>
              </w:rPr>
              <w:t xml:space="preserve">Figure 2.1, </w:t>
            </w:r>
            <w:r w:rsidRPr="00BD5745">
              <w:rPr>
                <w:rFonts w:ascii="Noto Sans" w:hAnsi="Noto Sans" w:cs="Noto Sans"/>
                <w:sz w:val="22"/>
                <w:szCs w:val="22"/>
                <w:lang w:val="en-US"/>
              </w:rPr>
              <w:t xml:space="preserve">Austroads </w:t>
            </w:r>
            <w:r w:rsidRPr="00BD5745">
              <w:rPr>
                <w:rFonts w:ascii="Noto Sans" w:hAnsi="Noto Sans" w:cs="Noto Sans"/>
                <w:i/>
                <w:sz w:val="22"/>
                <w:szCs w:val="22"/>
              </w:rPr>
              <w:t>Guide to Road Safety Part 2: Safe Roads</w:t>
            </w:r>
            <w:r w:rsidRPr="00BD5745">
              <w:rPr>
                <w:rFonts w:ascii="Noto Sans" w:hAnsi="Noto Sans" w:cs="Noto Sans"/>
                <w:sz w:val="22"/>
                <w:szCs w:val="22"/>
              </w:rPr>
              <w:t xml:space="preserve"> (Jul 2021)</w:t>
            </w:r>
            <w:r w:rsidRPr="00BD5745" w:rsidDel="00D23E9E">
              <w:rPr>
                <w:rFonts w:ascii="Noto Sans" w:hAnsi="Noto Sans" w:cs="Noto Sans"/>
                <w:sz w:val="22"/>
                <w:szCs w:val="22"/>
              </w:rPr>
              <w:t xml:space="preserve"> </w:t>
            </w:r>
            <w:r w:rsidRPr="00BD5745">
              <w:rPr>
                <w:rFonts w:ascii="Noto Sans" w:hAnsi="Noto Sans" w:cs="Noto Sans"/>
                <w:sz w:val="22"/>
                <w:szCs w:val="22"/>
              </w:rPr>
              <w:t xml:space="preserve">[and </w:t>
            </w:r>
            <w:r w:rsidRPr="00BD5745">
              <w:rPr>
                <w:rFonts w:ascii="Noto Sans" w:hAnsi="Noto Sans" w:cs="Noto Sans"/>
                <w:i/>
                <w:iCs/>
                <w:sz w:val="22"/>
                <w:szCs w:val="22"/>
              </w:rPr>
              <w:t>Figure 2.4</w:t>
            </w:r>
            <w:r w:rsidRPr="00BD5745">
              <w:rPr>
                <w:rFonts w:ascii="Noto Sans" w:hAnsi="Noto Sans" w:cs="Noto Sans"/>
                <w:sz w:val="22"/>
                <w:szCs w:val="22"/>
              </w:rPr>
              <w:t xml:space="preserve"> in Austroads' </w:t>
            </w:r>
            <w:r w:rsidRPr="00BD5745">
              <w:rPr>
                <w:rFonts w:ascii="Noto Sans" w:hAnsi="Noto Sans" w:cs="Noto Sans"/>
                <w:i/>
                <w:iCs/>
                <w:sz w:val="22"/>
                <w:szCs w:val="22"/>
              </w:rPr>
              <w:t>Guide to Road Safety Part 2: Safe Roads</w:t>
            </w:r>
            <w:r w:rsidRPr="00BD5745">
              <w:rPr>
                <w:rFonts w:ascii="Noto Sans" w:hAnsi="Noto Sans" w:cs="Noto Sans"/>
                <w:sz w:val="22"/>
                <w:szCs w:val="22"/>
              </w:rPr>
              <w:t xml:space="preserve"> (Jul 2024)]</w:t>
            </w:r>
          </w:p>
          <w:p w14:paraId="0648898E"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 xml:space="preserve">Path joints - </w:t>
            </w:r>
            <w:r w:rsidRPr="00BD5745">
              <w:rPr>
                <w:rFonts w:ascii="Noto Sans" w:hAnsi="Noto Sans" w:cs="Noto Sans"/>
                <w:i/>
                <w:iCs/>
                <w:sz w:val="22"/>
                <w:szCs w:val="22"/>
              </w:rPr>
              <w:t>Figure C 4</w:t>
            </w:r>
            <w:r w:rsidRPr="00BD5745">
              <w:rPr>
                <w:rFonts w:ascii="Noto Sans" w:hAnsi="Noto Sans" w:cs="Noto Sans"/>
                <w:sz w:val="22"/>
                <w:szCs w:val="22"/>
              </w:rPr>
              <w:t xml:space="preserve">, Austroads </w:t>
            </w:r>
            <w:r w:rsidRPr="00BD5745">
              <w:rPr>
                <w:rFonts w:ascii="Noto Sans" w:hAnsi="Noto Sans" w:cs="Noto Sans"/>
                <w:i/>
                <w:iCs/>
                <w:sz w:val="22"/>
                <w:szCs w:val="22"/>
              </w:rPr>
              <w:t xml:space="preserve">Guide to Road Design Part 6A: Paths for Walking and Cycling </w:t>
            </w:r>
            <w:r w:rsidRPr="00BD5745">
              <w:rPr>
                <w:rFonts w:ascii="Noto Sans" w:hAnsi="Noto Sans" w:cs="Noto Sans"/>
                <w:sz w:val="22"/>
                <w:szCs w:val="22"/>
              </w:rPr>
              <w:t>(Feb 2021)</w:t>
            </w:r>
          </w:p>
          <w:p w14:paraId="27D1C95B"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i/>
                <w:iCs/>
                <w:sz w:val="22"/>
                <w:szCs w:val="22"/>
              </w:rPr>
            </w:pPr>
            <w:r w:rsidRPr="00BD5745">
              <w:rPr>
                <w:rFonts w:ascii="Noto Sans" w:hAnsi="Noto Sans" w:cs="Noto Sans"/>
                <w:b/>
                <w:bCs/>
                <w:sz w:val="22"/>
                <w:szCs w:val="22"/>
              </w:rPr>
              <w:t>Longitudinal grade</w:t>
            </w:r>
            <w:r w:rsidRPr="00BD5745">
              <w:rPr>
                <w:rFonts w:ascii="Noto Sans" w:hAnsi="Noto Sans" w:cs="Noto Sans"/>
                <w:sz w:val="22"/>
                <w:szCs w:val="22"/>
              </w:rPr>
              <w:t xml:space="preserve"> – </w:t>
            </w:r>
            <w:r w:rsidRPr="00BD5745">
              <w:rPr>
                <w:rFonts w:ascii="Noto Sans" w:hAnsi="Noto Sans" w:cs="Noto Sans"/>
                <w:i/>
                <w:iCs/>
                <w:sz w:val="22"/>
                <w:szCs w:val="22"/>
              </w:rPr>
              <w:t>Section 5.4, Section 5.4.1 and Table 5.8</w:t>
            </w:r>
            <w:r w:rsidRPr="00BD5745">
              <w:rPr>
                <w:rFonts w:ascii="Noto Sans" w:hAnsi="Noto Sans" w:cs="Noto Sans"/>
                <w:sz w:val="22"/>
                <w:szCs w:val="22"/>
              </w:rPr>
              <w:t xml:space="preserve">, Austroads </w:t>
            </w:r>
            <w:r w:rsidRPr="00BD5745">
              <w:rPr>
                <w:rFonts w:ascii="Noto Sans" w:hAnsi="Noto Sans" w:cs="Noto Sans"/>
                <w:i/>
                <w:iCs/>
                <w:sz w:val="22"/>
                <w:szCs w:val="22"/>
              </w:rPr>
              <w:t xml:space="preserve">Guide to Road Design </w:t>
            </w:r>
            <w:r w:rsidRPr="00BD5745">
              <w:rPr>
                <w:rFonts w:ascii="Noto Sans" w:hAnsi="Noto Sans" w:cs="Noto Sans"/>
                <w:sz w:val="22"/>
                <w:szCs w:val="22"/>
              </w:rPr>
              <w:t xml:space="preserve">(AGRD) </w:t>
            </w:r>
            <w:r w:rsidRPr="00BD5745">
              <w:rPr>
                <w:rFonts w:ascii="Noto Sans" w:hAnsi="Noto Sans" w:cs="Noto Sans"/>
                <w:i/>
                <w:iCs/>
                <w:sz w:val="22"/>
                <w:szCs w:val="22"/>
              </w:rPr>
              <w:t xml:space="preserve">Part 6A: Paths for Walking and Cycling </w:t>
            </w:r>
            <w:r w:rsidRPr="00BD5745">
              <w:rPr>
                <w:rFonts w:ascii="Noto Sans" w:hAnsi="Noto Sans" w:cs="Noto Sans"/>
                <w:sz w:val="22"/>
                <w:szCs w:val="22"/>
              </w:rPr>
              <w:t>(Feb 2021)</w:t>
            </w:r>
            <w:r w:rsidRPr="00BD5745">
              <w:rPr>
                <w:rFonts w:ascii="Noto Sans" w:hAnsi="Noto Sans" w:cs="Noto Sans"/>
                <w:i/>
                <w:iCs/>
                <w:sz w:val="22"/>
                <w:szCs w:val="22"/>
              </w:rPr>
              <w:t xml:space="preserve"> </w:t>
            </w:r>
          </w:p>
          <w:p w14:paraId="36266773" w14:textId="77777777"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Physical separation</w:t>
            </w:r>
            <w:r w:rsidRPr="00BD5745">
              <w:rPr>
                <w:rFonts w:ascii="Noto Sans" w:hAnsi="Noto Sans" w:cs="Noto Sans"/>
                <w:sz w:val="22"/>
                <w:szCs w:val="22"/>
              </w:rPr>
              <w:t xml:space="preserve"> -</w:t>
            </w:r>
            <w:r w:rsidRPr="00BD5745">
              <w:rPr>
                <w:rFonts w:ascii="Noto Sans" w:hAnsi="Noto Sans" w:cs="Noto Sans"/>
                <w:i/>
                <w:iCs/>
                <w:sz w:val="22"/>
                <w:szCs w:val="22"/>
              </w:rPr>
              <w:t xml:space="preserve"> Figure C9 1</w:t>
            </w:r>
            <w:r w:rsidRPr="00BD5745">
              <w:rPr>
                <w:rFonts w:ascii="Noto Sans" w:hAnsi="Noto Sans" w:cs="Noto Sans"/>
                <w:sz w:val="22"/>
                <w:szCs w:val="22"/>
              </w:rPr>
              <w:t>,</w:t>
            </w:r>
            <w:r w:rsidRPr="00BD5745">
              <w:rPr>
                <w:rFonts w:ascii="Noto Sans" w:hAnsi="Noto Sans" w:cs="Noto Sans"/>
                <w:i/>
                <w:iCs/>
                <w:sz w:val="22"/>
                <w:szCs w:val="22"/>
              </w:rPr>
              <w:t xml:space="preserve"> </w:t>
            </w:r>
            <w:r w:rsidRPr="00BD5745">
              <w:rPr>
                <w:rFonts w:ascii="Noto Sans" w:hAnsi="Noto Sans" w:cs="Noto Sans"/>
                <w:sz w:val="22"/>
                <w:szCs w:val="22"/>
              </w:rPr>
              <w:t xml:space="preserve">Austroads </w:t>
            </w:r>
            <w:r w:rsidRPr="00BD5745">
              <w:rPr>
                <w:rFonts w:ascii="Noto Sans" w:hAnsi="Noto Sans" w:cs="Noto Sans"/>
                <w:i/>
                <w:iCs/>
                <w:sz w:val="22"/>
                <w:szCs w:val="22"/>
              </w:rPr>
              <w:t xml:space="preserve">Guide to Traffic Management Part 4: Network Management Strategies </w:t>
            </w:r>
            <w:r w:rsidRPr="00BD5745">
              <w:rPr>
                <w:rFonts w:ascii="Noto Sans" w:hAnsi="Noto Sans" w:cs="Noto Sans"/>
                <w:sz w:val="22"/>
                <w:szCs w:val="22"/>
              </w:rPr>
              <w:t>(Apr 2020)</w:t>
            </w:r>
          </w:p>
          <w:p w14:paraId="2179550F" w14:textId="125294F3" w:rsidR="00BD5745" w:rsidRPr="00BD5745" w:rsidRDefault="00BD5745" w:rsidP="00BD5745">
            <w:pPr>
              <w:pStyle w:val="Default"/>
              <w:spacing w:after="120"/>
              <w:cnfStyle w:val="000000000000" w:firstRow="0" w:lastRow="0" w:firstColumn="0" w:lastColumn="0" w:oddVBand="0" w:evenVBand="0" w:oddHBand="0"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Bicycle transition ramps</w:t>
            </w:r>
            <w:r w:rsidRPr="00BD5745">
              <w:rPr>
                <w:rFonts w:ascii="Noto Sans" w:hAnsi="Noto Sans" w:cs="Noto Sans"/>
                <w:sz w:val="22"/>
                <w:szCs w:val="22"/>
              </w:rPr>
              <w:t xml:space="preserve"> -</w:t>
            </w:r>
            <w:r w:rsidRPr="00BD5745">
              <w:rPr>
                <w:rFonts w:ascii="Noto Sans" w:hAnsi="Noto Sans" w:cs="Noto Sans"/>
                <w:i/>
                <w:iCs/>
                <w:sz w:val="22"/>
                <w:szCs w:val="22"/>
              </w:rPr>
              <w:t xml:space="preserve"> Figure 4.45</w:t>
            </w:r>
            <w:r w:rsidRPr="00BD5745">
              <w:rPr>
                <w:rFonts w:ascii="Noto Sans" w:hAnsi="Noto Sans" w:cs="Noto Sans"/>
                <w:sz w:val="22"/>
                <w:szCs w:val="22"/>
              </w:rPr>
              <w:t xml:space="preserve">, Austroads </w:t>
            </w:r>
            <w:r w:rsidRPr="00BD5745">
              <w:rPr>
                <w:rFonts w:ascii="Noto Sans" w:hAnsi="Noto Sans" w:cs="Noto Sans"/>
                <w:i/>
                <w:iCs/>
                <w:sz w:val="22"/>
                <w:szCs w:val="22"/>
              </w:rPr>
              <w:t xml:space="preserve">Guide to Road Design Part 3: Geometric Design </w:t>
            </w:r>
            <w:r w:rsidRPr="00BD5745">
              <w:rPr>
                <w:rFonts w:ascii="Noto Sans" w:hAnsi="Noto Sans" w:cs="Noto Sans"/>
                <w:sz w:val="22"/>
                <w:szCs w:val="22"/>
              </w:rPr>
              <w:t>(Feb 2021)</w:t>
            </w:r>
          </w:p>
        </w:tc>
      </w:tr>
      <w:tr w:rsidR="00BD5745" w:rsidRPr="00BD5745" w14:paraId="7650D49B" w14:textId="77777777" w:rsidTr="00BD5745">
        <w:trPr>
          <w:cnfStyle w:val="000000100000" w:firstRow="0" w:lastRow="0" w:firstColumn="0" w:lastColumn="0" w:oddVBand="0" w:evenVBand="0" w:oddHBand="1" w:evenHBand="0" w:firstRowFirstColumn="0" w:firstRowLastColumn="0" w:lastRowFirstColumn="0" w:lastRowLastColumn="0"/>
          <w:trHeight w:val="85"/>
        </w:trPr>
        <w:tc>
          <w:tcPr>
            <w:cnfStyle w:val="000010000000" w:firstRow="0" w:lastRow="0" w:firstColumn="0" w:lastColumn="0" w:oddVBand="1" w:evenVBand="0" w:oddHBand="0" w:evenHBand="0" w:firstRowFirstColumn="0" w:firstRowLastColumn="0" w:lastRowFirstColumn="0" w:lastRowLastColumn="0"/>
            <w:tcW w:w="1518" w:type="pct"/>
          </w:tcPr>
          <w:p w14:paraId="6FFEEC37" w14:textId="77777777" w:rsidR="00BD5745" w:rsidRPr="00BD5745" w:rsidRDefault="00BD5745" w:rsidP="00BD5745">
            <w:pPr>
              <w:pStyle w:val="Default"/>
              <w:rPr>
                <w:rFonts w:ascii="Noto Sans" w:hAnsi="Noto Sans" w:cs="Noto Sans"/>
                <w:b/>
                <w:bCs/>
                <w:color w:val="auto"/>
                <w:sz w:val="22"/>
                <w:szCs w:val="22"/>
              </w:rPr>
            </w:pPr>
            <w:r w:rsidRPr="00BD5745">
              <w:rPr>
                <w:rFonts w:ascii="Noto Sans" w:hAnsi="Noto Sans" w:cs="Noto Sans"/>
                <w:b/>
                <w:bCs/>
                <w:color w:val="auto"/>
                <w:sz w:val="22"/>
                <w:szCs w:val="22"/>
              </w:rPr>
              <w:t>Australian Standards</w:t>
            </w:r>
          </w:p>
          <w:p w14:paraId="21B8DCF7" w14:textId="77777777" w:rsidR="00BD5745" w:rsidRPr="00BD5745" w:rsidRDefault="00BD5745" w:rsidP="00BD5745">
            <w:pPr>
              <w:pStyle w:val="Default"/>
              <w:rPr>
                <w:rFonts w:ascii="Noto Sans" w:hAnsi="Noto Sans" w:cs="Noto Sans"/>
                <w:color w:val="auto"/>
                <w:sz w:val="22"/>
                <w:szCs w:val="22"/>
              </w:rPr>
            </w:pPr>
            <w:r w:rsidRPr="00BD5745">
              <w:rPr>
                <w:rFonts w:ascii="Noto Sans" w:hAnsi="Noto Sans" w:cs="Noto Sans"/>
                <w:color w:val="auto"/>
                <w:sz w:val="22"/>
                <w:szCs w:val="22"/>
              </w:rPr>
              <w:t xml:space="preserve">Available at </w:t>
            </w:r>
          </w:p>
          <w:p w14:paraId="4C01A142" w14:textId="77777777" w:rsidR="00BD5745" w:rsidRPr="00BD5745" w:rsidRDefault="00BD5745" w:rsidP="00BD5745">
            <w:pPr>
              <w:pStyle w:val="Default"/>
              <w:rPr>
                <w:rFonts w:ascii="Noto Sans" w:hAnsi="Noto Sans" w:cs="Noto Sans"/>
                <w:color w:val="auto"/>
                <w:sz w:val="22"/>
                <w:szCs w:val="22"/>
              </w:rPr>
            </w:pPr>
            <w:r w:rsidRPr="00BD5745">
              <w:rPr>
                <w:rStyle w:val="Hyperlink"/>
                <w:rFonts w:ascii="Noto Sans" w:hAnsi="Noto Sans" w:cs="Noto Sans"/>
                <w:sz w:val="22"/>
                <w:szCs w:val="22"/>
              </w:rPr>
              <w:t>www.saiglobal.com</w:t>
            </w:r>
            <w:r w:rsidRPr="00BD5745">
              <w:rPr>
                <w:rFonts w:ascii="Noto Sans" w:hAnsi="Noto Sans" w:cs="Noto Sans"/>
                <w:color w:val="auto"/>
                <w:sz w:val="22"/>
                <w:szCs w:val="22"/>
              </w:rPr>
              <w:t xml:space="preserve"> </w:t>
            </w:r>
          </w:p>
        </w:tc>
        <w:tc>
          <w:tcPr>
            <w:tcW w:w="3482" w:type="pct"/>
          </w:tcPr>
          <w:p w14:paraId="75943D49"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Access Covers and Grates</w:t>
            </w:r>
            <w:r w:rsidRPr="00BD5745">
              <w:rPr>
                <w:rFonts w:ascii="Noto Sans" w:hAnsi="Noto Sans" w:cs="Noto Sans"/>
                <w:sz w:val="22"/>
                <w:szCs w:val="22"/>
              </w:rPr>
              <w:t xml:space="preserve"> - AS 3996</w:t>
            </w:r>
          </w:p>
          <w:p w14:paraId="53001154"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b/>
                <w:bCs/>
                <w:sz w:val="22"/>
                <w:szCs w:val="22"/>
              </w:rPr>
            </w:pPr>
            <w:r w:rsidRPr="00BD5745">
              <w:rPr>
                <w:rFonts w:ascii="Noto Sans" w:hAnsi="Noto Sans" w:cs="Noto Sans"/>
                <w:b/>
                <w:bCs/>
                <w:sz w:val="22"/>
                <w:szCs w:val="22"/>
              </w:rPr>
              <w:t>Design for Access and Mobility</w:t>
            </w:r>
            <w:r w:rsidRPr="00BD5745">
              <w:rPr>
                <w:rFonts w:ascii="Noto Sans" w:hAnsi="Noto Sans" w:cs="Noto Sans"/>
                <w:sz w:val="22"/>
                <w:szCs w:val="22"/>
              </w:rPr>
              <w:t xml:space="preserve"> – AS 1428.1</w:t>
            </w:r>
          </w:p>
          <w:p w14:paraId="44A5AE70" w14:textId="77777777"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Tactile Ground Surface Indicators (TGSI)</w:t>
            </w:r>
            <w:r w:rsidRPr="00BD5745">
              <w:rPr>
                <w:rFonts w:ascii="Noto Sans" w:hAnsi="Noto Sans" w:cs="Noto Sans"/>
                <w:sz w:val="22"/>
                <w:szCs w:val="22"/>
              </w:rPr>
              <w:t xml:space="preserve"> – AS 1428.4.1</w:t>
            </w:r>
          </w:p>
          <w:p w14:paraId="65A49764" w14:textId="0528D851" w:rsidR="00BD5745" w:rsidRPr="00BD5745" w:rsidRDefault="00BD5745" w:rsidP="00BD5745">
            <w:pPr>
              <w:pStyle w:val="Default"/>
              <w:spacing w:after="120"/>
              <w:cnfStyle w:val="000000100000" w:firstRow="0" w:lastRow="0" w:firstColumn="0" w:lastColumn="0" w:oddVBand="0" w:evenVBand="0" w:oddHBand="1" w:evenHBand="0" w:firstRowFirstColumn="0" w:firstRowLastColumn="0" w:lastRowFirstColumn="0" w:lastRowLastColumn="0"/>
              <w:rPr>
                <w:rFonts w:ascii="Noto Sans" w:hAnsi="Noto Sans" w:cs="Noto Sans"/>
                <w:sz w:val="22"/>
                <w:szCs w:val="22"/>
              </w:rPr>
            </w:pPr>
            <w:r w:rsidRPr="00BD5745">
              <w:rPr>
                <w:rFonts w:ascii="Noto Sans" w:hAnsi="Noto Sans" w:cs="Noto Sans"/>
                <w:b/>
                <w:bCs/>
                <w:sz w:val="22"/>
                <w:szCs w:val="22"/>
              </w:rPr>
              <w:t>Lighting for roads and public spaces</w:t>
            </w:r>
            <w:r w:rsidRPr="00BD5745">
              <w:rPr>
                <w:rFonts w:ascii="Noto Sans" w:hAnsi="Noto Sans" w:cs="Noto Sans"/>
                <w:sz w:val="22"/>
                <w:szCs w:val="22"/>
              </w:rPr>
              <w:t xml:space="preserve"> - AS 1158 (including AS 1158.0, AS 1158.1.1, AS 1158.1.2, AS 1158.2, AS 1158.3.1, AS 1158.4 and AS 1158.5)</w:t>
            </w:r>
          </w:p>
        </w:tc>
      </w:tr>
    </w:tbl>
    <w:p w14:paraId="622B227F" w14:textId="44955E62" w:rsidR="0084760C" w:rsidRPr="0084760C" w:rsidRDefault="0084760C" w:rsidP="0084760C">
      <w:pPr>
        <w:tabs>
          <w:tab w:val="left" w:pos="2257"/>
        </w:tabs>
        <w:rPr>
          <w:rFonts w:ascii="Noto Sans" w:eastAsia="Times New Roman" w:hAnsi="Noto Sans" w:cs="Noto Sans"/>
          <w:szCs w:val="24"/>
          <w:lang w:eastAsia="en-AU"/>
        </w:rPr>
      </w:pPr>
    </w:p>
    <w:sectPr w:rsidR="0084760C" w:rsidRPr="0084760C" w:rsidSect="00BD5745">
      <w:pgSz w:w="16838" w:h="11906" w:orient="landscape" w:code="9"/>
      <w:pgMar w:top="709" w:right="1135" w:bottom="1418"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20948C" w14:textId="77777777" w:rsidR="003F49A6" w:rsidRDefault="003F49A6" w:rsidP="00A9280E">
      <w:pPr>
        <w:spacing w:line="240" w:lineRule="auto"/>
      </w:pPr>
      <w:r>
        <w:separator/>
      </w:r>
    </w:p>
  </w:endnote>
  <w:endnote w:type="continuationSeparator" w:id="0">
    <w:p w14:paraId="49C43A1D" w14:textId="77777777" w:rsidR="003F49A6" w:rsidRDefault="003F49A6" w:rsidP="00A928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B772F" w14:textId="61BE3DCE" w:rsidR="00B94111" w:rsidRPr="0084760C" w:rsidRDefault="000126D6" w:rsidP="000126D6">
    <w:pPr>
      <w:pStyle w:val="Footer"/>
      <w:rPr>
        <w:rFonts w:ascii="Noto Sans" w:hAnsi="Noto Sans" w:cs="Noto Sans"/>
      </w:rPr>
    </w:pPr>
    <w:r w:rsidRPr="0084760C">
      <w:rPr>
        <w:rFonts w:ascii="Noto Sans" w:hAnsi="Noto Sans" w:cs="Noto Sans"/>
        <w:noProof/>
      </w:rPr>
      <mc:AlternateContent>
        <mc:Choice Requires="wps">
          <w:drawing>
            <wp:anchor distT="0" distB="0" distL="114300" distR="114300" simplePos="0" relativeHeight="251659264" behindDoc="0" locked="0" layoutInCell="1" allowOverlap="1" wp14:anchorId="65E570B6" wp14:editId="2E21E7EF">
              <wp:simplePos x="0" y="0"/>
              <wp:positionH relativeFrom="column">
                <wp:posOffset>635</wp:posOffset>
              </wp:positionH>
              <wp:positionV relativeFrom="paragraph">
                <wp:posOffset>-86534</wp:posOffset>
              </wp:positionV>
              <wp:extent cx="5756564" cy="0"/>
              <wp:effectExtent l="0" t="0" r="0" b="0"/>
              <wp:wrapNone/>
              <wp:docPr id="6" name="Straight Connector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FC9A0F" id="Straight Connector 6" o:spid="_x0000_s1026" alt="&quot;&quot;"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sdt>
      <w:sdtPr>
        <w:rPr>
          <w:rStyle w:val="Header2Char"/>
          <w:rFonts w:ascii="Noto Sans" w:hAnsi="Noto Sans" w:cs="Noto Sans"/>
        </w:rPr>
        <w:alias w:val="Title"/>
        <w:tag w:val=""/>
        <w:id w:val="918837648"/>
        <w:dataBinding w:prefixMappings="xmlns:ns0='http://purl.org/dc/elements/1.1/' xmlns:ns1='http://schemas.openxmlformats.org/package/2006/metadata/core-properties' " w:xpath="/ns1:coreProperties[1]/ns0:title[1]" w:storeItemID="{6C3C8BC8-F283-45AE-878A-BAB7291924A1}"/>
        <w:text/>
      </w:sdtPr>
      <w:sdtEndPr>
        <w:rPr>
          <w:rStyle w:val="Header2Char"/>
        </w:rPr>
      </w:sdtEndPr>
      <w:sdtContent>
        <w:r w:rsidR="00D82E4E" w:rsidRPr="0084760C">
          <w:rPr>
            <w:rStyle w:val="Header2Char"/>
            <w:rFonts w:ascii="Noto Sans" w:hAnsi="Noto Sans" w:cs="Noto Sans"/>
          </w:rPr>
          <w:t>Active Transport Investment Program Technical Guidance</w:t>
        </w:r>
      </w:sdtContent>
    </w:sdt>
    <w:r w:rsidR="000623DB" w:rsidRPr="0084760C">
      <w:rPr>
        <w:rFonts w:ascii="Noto Sans" w:hAnsi="Noto Sans" w:cs="Noto Sans"/>
      </w:rPr>
      <w:ptab w:relativeTo="margin" w:alignment="right" w:leader="none"/>
    </w:r>
    <w:r w:rsidR="000623DB" w:rsidRPr="0084760C">
      <w:rPr>
        <w:rFonts w:ascii="Noto Sans" w:hAnsi="Noto Sans" w:cs="Noto Sans"/>
      </w:rPr>
      <w:fldChar w:fldCharType="begin"/>
    </w:r>
    <w:r w:rsidR="000623DB" w:rsidRPr="0084760C">
      <w:rPr>
        <w:rFonts w:ascii="Noto Sans" w:hAnsi="Noto Sans" w:cs="Noto Sans"/>
      </w:rPr>
      <w:instrText xml:space="preserve"> PAGE  \* Arabic  \* MERGEFORMAT </w:instrText>
    </w:r>
    <w:r w:rsidR="000623DB" w:rsidRPr="0084760C">
      <w:rPr>
        <w:rFonts w:ascii="Noto Sans" w:hAnsi="Noto Sans" w:cs="Noto Sans"/>
      </w:rPr>
      <w:fldChar w:fldCharType="separate"/>
    </w:r>
    <w:r w:rsidR="000623DB" w:rsidRPr="0084760C">
      <w:rPr>
        <w:rFonts w:ascii="Noto Sans" w:hAnsi="Noto Sans" w:cs="Noto Sans"/>
        <w:noProof/>
      </w:rPr>
      <w:t>0</w:t>
    </w:r>
    <w:r w:rsidR="000623DB" w:rsidRPr="0084760C">
      <w:rPr>
        <w:rFonts w:ascii="Noto Sans" w:hAnsi="Noto Sans" w:cs="Noto San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200D6C" w14:textId="7D675953" w:rsidR="008113E9" w:rsidRPr="0084760C" w:rsidRDefault="008113E9" w:rsidP="008113E9">
    <w:pPr>
      <w:pStyle w:val="Footer"/>
      <w:rPr>
        <w:rFonts w:ascii="Noto Sans" w:hAnsi="Noto Sans" w:cs="Noto Sans"/>
      </w:rPr>
    </w:pPr>
    <w:r w:rsidRPr="0084760C">
      <w:rPr>
        <w:rFonts w:ascii="Noto Sans" w:hAnsi="Noto Sans" w:cs="Noto Sans"/>
        <w:noProof/>
      </w:rPr>
      <mc:AlternateContent>
        <mc:Choice Requires="wps">
          <w:drawing>
            <wp:anchor distT="0" distB="0" distL="114300" distR="114300" simplePos="0" relativeHeight="251663360" behindDoc="0" locked="0" layoutInCell="1" allowOverlap="1" wp14:anchorId="29A0F446" wp14:editId="1EC7DECC">
              <wp:simplePos x="0" y="0"/>
              <wp:positionH relativeFrom="column">
                <wp:posOffset>635</wp:posOffset>
              </wp:positionH>
              <wp:positionV relativeFrom="paragraph">
                <wp:posOffset>-86534</wp:posOffset>
              </wp:positionV>
              <wp:extent cx="5756564" cy="0"/>
              <wp:effectExtent l="0" t="0" r="0" b="0"/>
              <wp:wrapNone/>
              <wp:docPr id="1087462810" name="Straight Connector 10874628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56564" cy="0"/>
                      </a:xfrm>
                      <a:prstGeom prst="line">
                        <a:avLst/>
                      </a:prstGeom>
                      <a:ln w="6350">
                        <a:solidFill>
                          <a:schemeClr val="tx1">
                            <a:lumMod val="25000"/>
                            <a:lumOff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A19CC4E" id="Straight Connector 1087462810" o:spid="_x0000_s1026" alt="&quot;&quot;"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05pt,-6.8pt" to="453.3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" strokecolor="#c6c6c6 [829]" strokeweight=".5pt">
              <v:stroke joinstyle="miter"/>
            </v:line>
          </w:pict>
        </mc:Fallback>
      </mc:AlternateContent>
    </w:r>
    <w:sdt>
      <w:sdtPr>
        <w:rPr>
          <w:rStyle w:val="Header2Char"/>
          <w:rFonts w:ascii="Noto Sans" w:hAnsi="Noto Sans" w:cs="Noto Sans"/>
        </w:rPr>
        <w:alias w:val="Title"/>
        <w:tag w:val=""/>
        <w:id w:val="-644193747"/>
        <w:dataBinding w:prefixMappings="xmlns:ns0='http://purl.org/dc/elements/1.1/' xmlns:ns1='http://schemas.openxmlformats.org/package/2006/metadata/core-properties' " w:xpath="/ns1:coreProperties[1]/ns0:title[1]" w:storeItemID="{6C3C8BC8-F283-45AE-878A-BAB7291924A1}"/>
        <w:text/>
      </w:sdtPr>
      <w:sdtEndPr>
        <w:rPr>
          <w:rStyle w:val="Header2Char"/>
        </w:rPr>
      </w:sdtEndPr>
      <w:sdtContent>
        <w:r w:rsidR="00D82E4E" w:rsidRPr="0084760C">
          <w:rPr>
            <w:rStyle w:val="Header2Char"/>
            <w:rFonts w:ascii="Noto Sans" w:hAnsi="Noto Sans" w:cs="Noto Sans"/>
          </w:rPr>
          <w:t>Active Transport Investment Program Technical Guidance</w:t>
        </w:r>
      </w:sdtContent>
    </w:sdt>
    <w:r w:rsidRPr="0084760C">
      <w:rPr>
        <w:rFonts w:ascii="Noto Sans" w:hAnsi="Noto Sans" w:cs="Noto Sans"/>
      </w:rPr>
      <w:ptab w:relativeTo="margin" w:alignment="right" w:leader="none"/>
    </w:r>
    <w:r w:rsidRPr="0084760C">
      <w:rPr>
        <w:rFonts w:ascii="Noto Sans" w:hAnsi="Noto Sans" w:cs="Noto Sans"/>
      </w:rPr>
      <w:fldChar w:fldCharType="begin"/>
    </w:r>
    <w:r w:rsidRPr="0084760C">
      <w:rPr>
        <w:rFonts w:ascii="Noto Sans" w:hAnsi="Noto Sans" w:cs="Noto Sans"/>
      </w:rPr>
      <w:instrText xml:space="preserve"> PAGE  \* Arabic  \* MERGEFORMAT </w:instrText>
    </w:r>
    <w:r w:rsidRPr="0084760C">
      <w:rPr>
        <w:rFonts w:ascii="Noto Sans" w:hAnsi="Noto Sans" w:cs="Noto Sans"/>
      </w:rPr>
      <w:fldChar w:fldCharType="separate"/>
    </w:r>
    <w:r w:rsidRPr="0084760C">
      <w:rPr>
        <w:rFonts w:ascii="Noto Sans" w:hAnsi="Noto Sans" w:cs="Noto Sans"/>
      </w:rPr>
      <w:t>0</w:t>
    </w:r>
    <w:r w:rsidRPr="0084760C">
      <w:rPr>
        <w:rFonts w:ascii="Noto Sans" w:hAnsi="Noto Sans" w:cs="Noto San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2376DF" w14:textId="77777777" w:rsidR="003F49A6" w:rsidRDefault="003F49A6" w:rsidP="00A9280E">
      <w:pPr>
        <w:spacing w:line="240" w:lineRule="auto"/>
      </w:pPr>
      <w:r>
        <w:separator/>
      </w:r>
    </w:p>
  </w:footnote>
  <w:footnote w:type="continuationSeparator" w:id="0">
    <w:p w14:paraId="14F8EEAB" w14:textId="77777777" w:rsidR="003F49A6" w:rsidRDefault="003F49A6" w:rsidP="00A9280E">
      <w:pPr>
        <w:spacing w:line="240" w:lineRule="auto"/>
      </w:pPr>
      <w:r>
        <w:continuationSeparator/>
      </w:r>
    </w:p>
  </w:footnote>
  <w:footnote w:id="1">
    <w:p w14:paraId="22AFF466" w14:textId="77777777" w:rsidR="008E64C0" w:rsidRPr="00452DBC" w:rsidRDefault="008E64C0" w:rsidP="008E64C0">
      <w:pPr>
        <w:pStyle w:val="FootnoteText"/>
        <w:rPr>
          <w:rStyle w:val="ui-provider"/>
          <w:rFonts w:ascii="Noto Sans" w:hAnsi="Noto Sans" w:cs="Noto Sans"/>
        </w:rPr>
      </w:pPr>
      <w:bookmarkStart w:id="10" w:name="_Hlk168491506"/>
      <w:r w:rsidRPr="00452DBC">
        <w:rPr>
          <w:rStyle w:val="ui-provider"/>
          <w:rFonts w:ascii="Noto Sans" w:hAnsi="Noto Sans" w:cs="Noto Sans"/>
          <w:vertAlign w:val="superscript"/>
        </w:rPr>
        <w:footnoteRef/>
      </w:r>
      <w:bookmarkEnd w:id="10"/>
      <w:r w:rsidRPr="00452DBC">
        <w:rPr>
          <w:rStyle w:val="ui-provider"/>
          <w:rFonts w:ascii="Noto Sans" w:hAnsi="Noto Sans" w:cs="Noto Sans"/>
          <w:vertAlign w:val="superscript"/>
        </w:rPr>
        <w:t xml:space="preserve"> </w:t>
      </w:r>
      <w:r w:rsidRPr="00452DBC">
        <w:rPr>
          <w:rStyle w:val="ui-provider"/>
          <w:rFonts w:ascii="Noto Sans" w:hAnsi="Noto Sans" w:cs="Noto Sans"/>
        </w:rPr>
        <w:t>https://www.tmr.qld.gov.au/Safety/Road-safety/Road-Safety-Policy</w:t>
      </w:r>
    </w:p>
  </w:footnote>
  <w:footnote w:id="2">
    <w:p w14:paraId="533FBFB3" w14:textId="77777777" w:rsidR="008E64C0" w:rsidRPr="00452DBC" w:rsidRDefault="008E64C0" w:rsidP="008E64C0">
      <w:pPr>
        <w:pStyle w:val="FootnoteText"/>
        <w:rPr>
          <w:rStyle w:val="ui-provider"/>
          <w:rFonts w:ascii="Noto Sans" w:hAnsi="Noto Sans" w:cs="Noto Sans"/>
        </w:rPr>
      </w:pPr>
      <w:r w:rsidRPr="00452DBC">
        <w:rPr>
          <w:rStyle w:val="ui-provider"/>
          <w:rFonts w:ascii="Noto Sans" w:hAnsi="Noto Sans" w:cs="Noto Sans"/>
          <w:vertAlign w:val="superscript"/>
        </w:rPr>
        <w:footnoteRef/>
      </w:r>
      <w:r w:rsidRPr="00452DBC">
        <w:rPr>
          <w:rStyle w:val="ui-provider"/>
          <w:rFonts w:ascii="Noto Sans" w:hAnsi="Noto Sans" w:cs="Noto Sans"/>
          <w:vertAlign w:val="superscript"/>
        </w:rPr>
        <w:t xml:space="preserve"> </w:t>
      </w:r>
      <w:r w:rsidRPr="00452DBC">
        <w:rPr>
          <w:rStyle w:val="ui-provider"/>
          <w:rFonts w:ascii="Noto Sans" w:hAnsi="Noto Sans" w:cs="Noto Sans"/>
        </w:rPr>
        <w:t>In many instances paths are also used by people riding wheeled recreational devices (WRDs), motorised mobility devices (MMDs) and/or personal mobility devices (PMDs). People using these devices are valid path users, their utility, size, speed and interaction with other path users should be considered during infrastructure design.</w:t>
      </w:r>
    </w:p>
  </w:footnote>
  <w:footnote w:id="3">
    <w:p w14:paraId="4FAA1D47" w14:textId="77777777" w:rsidR="008E64C0" w:rsidRPr="005B4281" w:rsidRDefault="008E64C0" w:rsidP="008E64C0">
      <w:pPr>
        <w:pStyle w:val="FootnoteText"/>
        <w:rPr>
          <w:rStyle w:val="ui-provider"/>
          <w:sz w:val="18"/>
          <w:szCs w:val="18"/>
        </w:rPr>
      </w:pPr>
      <w:r w:rsidRPr="00452DBC">
        <w:rPr>
          <w:rStyle w:val="ui-provider"/>
          <w:rFonts w:ascii="Noto Sans" w:hAnsi="Noto Sans" w:cs="Noto Sans"/>
          <w:vertAlign w:val="superscript"/>
        </w:rPr>
        <w:footnoteRef/>
      </w:r>
      <w:r w:rsidRPr="00452DBC">
        <w:rPr>
          <w:rStyle w:val="ui-provider"/>
          <w:rFonts w:ascii="Noto Sans" w:hAnsi="Noto Sans" w:cs="Noto Sans"/>
          <w:vertAlign w:val="superscript"/>
        </w:rPr>
        <w:t xml:space="preserve"> </w:t>
      </w:r>
      <w:r w:rsidRPr="00452DBC">
        <w:rPr>
          <w:rStyle w:val="ui-provider"/>
          <w:rFonts w:ascii="Noto Sans" w:hAnsi="Noto Sans" w:cs="Noto Sans"/>
        </w:rPr>
        <w:t>Projects that provide only minimum provisions for bike riders rather than good practice are unlikely to be competitive for funding.</w:t>
      </w:r>
    </w:p>
  </w:footnote>
  <w:footnote w:id="4">
    <w:p w14:paraId="6767568E" w14:textId="3E003B5E" w:rsidR="008E64C0" w:rsidRPr="00452DBC" w:rsidRDefault="008E64C0" w:rsidP="008E64C0">
      <w:pPr>
        <w:pStyle w:val="FootnoteText"/>
        <w:rPr>
          <w:rFonts w:ascii="Noto Sans" w:hAnsi="Noto Sans" w:cs="Noto Sans"/>
          <w:lang w:val="en-US"/>
        </w:rPr>
      </w:pPr>
      <w:r w:rsidRPr="00452DBC">
        <w:rPr>
          <w:rStyle w:val="FootnoteReference"/>
          <w:rFonts w:ascii="Noto Sans" w:hAnsi="Noto Sans" w:cs="Noto Sans"/>
        </w:rPr>
        <w:footnoteRef/>
      </w:r>
      <w:r w:rsidRPr="00452DBC">
        <w:rPr>
          <w:rFonts w:ascii="Noto Sans" w:hAnsi="Noto Sans" w:cs="Noto Sans"/>
        </w:rPr>
        <w:t xml:space="preserve"> </w:t>
      </w:r>
      <w:r w:rsidRPr="00452DBC">
        <w:rPr>
          <w:rFonts w:ascii="Noto Sans" w:hAnsi="Noto Sans" w:cs="Noto Sans"/>
          <w:lang w:val="en-US"/>
        </w:rPr>
        <w:t xml:space="preserve">Refer </w:t>
      </w:r>
      <w:r w:rsidRPr="00452DBC">
        <w:rPr>
          <w:rFonts w:ascii="Noto Sans" w:hAnsi="Noto Sans" w:cs="Noto Sans"/>
          <w:i/>
          <w:lang w:val="en-US"/>
        </w:rPr>
        <w:t>Figure 2.2</w:t>
      </w:r>
      <w:r w:rsidRPr="00452DBC">
        <w:rPr>
          <w:rFonts w:ascii="Noto Sans" w:hAnsi="Noto Sans" w:cs="Noto Sans"/>
          <w:lang w:val="en-US"/>
        </w:rPr>
        <w:t xml:space="preserve"> in TMR’s </w:t>
      </w:r>
      <w:r w:rsidRPr="00452DBC">
        <w:rPr>
          <w:rFonts w:ascii="Noto Sans" w:hAnsi="Noto Sans" w:cs="Noto Sans"/>
        </w:rPr>
        <w:t>Selection and design of cycle tracks</w:t>
      </w:r>
      <w:r w:rsidRPr="00452DBC">
        <w:rPr>
          <w:rFonts w:ascii="Noto Sans" w:hAnsi="Noto Sans" w:cs="Noto Sans"/>
          <w:i/>
          <w:lang w:val="en-US"/>
        </w:rPr>
        <w:t xml:space="preserve"> </w:t>
      </w:r>
      <w:r w:rsidRPr="00452DBC">
        <w:rPr>
          <w:rFonts w:ascii="Noto Sans" w:hAnsi="Noto Sans" w:cs="Noto Sans"/>
          <w:lang w:val="en-US"/>
        </w:rPr>
        <w:t>guideline (Jul 2025)</w:t>
      </w:r>
    </w:p>
  </w:footnote>
  <w:footnote w:id="5">
    <w:p w14:paraId="2A897901" w14:textId="77777777" w:rsidR="008E64C0" w:rsidRPr="00452DBC" w:rsidRDefault="008E64C0" w:rsidP="008E64C0">
      <w:pPr>
        <w:pStyle w:val="FootnoteText"/>
        <w:rPr>
          <w:rFonts w:ascii="Noto Sans" w:hAnsi="Noto Sans" w:cs="Noto Sans"/>
          <w:lang w:val="en-US"/>
        </w:rPr>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rPr>
        <w:t xml:space="preserve">Figure C9 1 </w:t>
      </w:r>
      <w:r w:rsidRPr="00452DBC">
        <w:rPr>
          <w:rFonts w:ascii="Noto Sans" w:hAnsi="Noto Sans" w:cs="Noto Sans"/>
        </w:rPr>
        <w:t xml:space="preserve">in </w:t>
      </w:r>
      <w:bookmarkStart w:id="13" w:name="_Hlk196299000"/>
      <w:r w:rsidRPr="00452DBC">
        <w:rPr>
          <w:rFonts w:ascii="Noto Sans" w:hAnsi="Noto Sans" w:cs="Noto Sans"/>
        </w:rPr>
        <w:t xml:space="preserve">Austroads’ </w:t>
      </w:r>
      <w:r w:rsidRPr="00452DBC">
        <w:rPr>
          <w:rFonts w:ascii="Noto Sans" w:hAnsi="Noto Sans" w:cs="Noto Sans"/>
          <w:i/>
        </w:rPr>
        <w:t>Guide to Traffic Management Part 4: Network Management Strategies</w:t>
      </w:r>
      <w:r w:rsidRPr="00452DBC">
        <w:rPr>
          <w:rFonts w:ascii="Noto Sans" w:hAnsi="Noto Sans" w:cs="Noto Sans"/>
        </w:rPr>
        <w:t xml:space="preserve"> (Apr 2020)</w:t>
      </w:r>
      <w:bookmarkEnd w:id="13"/>
    </w:p>
  </w:footnote>
  <w:footnote w:id="6">
    <w:p w14:paraId="76F3F713" w14:textId="77777777" w:rsidR="008E64C0" w:rsidRPr="006E7CEF" w:rsidRDefault="008E64C0" w:rsidP="008E64C0">
      <w:pPr>
        <w:pStyle w:val="FootnoteText"/>
        <w:rPr>
          <w:lang w:val="en-US"/>
        </w:rPr>
      </w:pPr>
      <w:r>
        <w:rPr>
          <w:rStyle w:val="FootnoteReference"/>
        </w:rPr>
        <w:footnoteRef/>
      </w:r>
      <w:r>
        <w:t xml:space="preserve"> </w:t>
      </w:r>
      <w:r w:rsidRPr="00BC212A">
        <w:rPr>
          <w:sz w:val="18"/>
          <w:szCs w:val="18"/>
          <w:lang w:val="en-US"/>
        </w:rPr>
        <w:t xml:space="preserve">Refer </w:t>
      </w:r>
      <w:r w:rsidRPr="00BC212A">
        <w:rPr>
          <w:i/>
          <w:sz w:val="18"/>
          <w:szCs w:val="18"/>
          <w:lang w:val="en-US"/>
        </w:rPr>
        <w:t xml:space="preserve">Figure </w:t>
      </w:r>
      <w:r w:rsidRPr="00724CD1">
        <w:rPr>
          <w:i/>
          <w:sz w:val="18"/>
          <w:szCs w:val="18"/>
          <w:lang w:val="en-US"/>
        </w:rPr>
        <w:t>2</w:t>
      </w:r>
      <w:r>
        <w:rPr>
          <w:i/>
          <w:sz w:val="18"/>
          <w:szCs w:val="18"/>
          <w:lang w:val="en-US"/>
        </w:rPr>
        <w:t>.1</w:t>
      </w:r>
      <w:r w:rsidRPr="00BC212A">
        <w:rPr>
          <w:sz w:val="18"/>
          <w:szCs w:val="18"/>
          <w:lang w:val="en-US"/>
        </w:rPr>
        <w:t xml:space="preserve"> in Austroads’ </w:t>
      </w:r>
      <w:r w:rsidRPr="00BC212A">
        <w:rPr>
          <w:i/>
          <w:sz w:val="18"/>
          <w:szCs w:val="18"/>
        </w:rPr>
        <w:t xml:space="preserve">Guide to </w:t>
      </w:r>
      <w:r>
        <w:rPr>
          <w:i/>
          <w:sz w:val="18"/>
          <w:szCs w:val="18"/>
        </w:rPr>
        <w:t>Road Safety Part 2: Safe Roads</w:t>
      </w:r>
      <w:r w:rsidRPr="00BC212A">
        <w:rPr>
          <w:sz w:val="18"/>
          <w:szCs w:val="18"/>
        </w:rPr>
        <w:t xml:space="preserve"> (</w:t>
      </w:r>
      <w:r w:rsidRPr="00EE4030">
        <w:rPr>
          <w:sz w:val="18"/>
          <w:szCs w:val="18"/>
        </w:rPr>
        <w:t>Jul 2021</w:t>
      </w:r>
      <w:r w:rsidRPr="00BC212A">
        <w:rPr>
          <w:sz w:val="18"/>
          <w:szCs w:val="18"/>
        </w:rPr>
        <w:t>)</w:t>
      </w:r>
      <w:bookmarkStart w:id="14" w:name="_Hlk196300337"/>
      <w:r w:rsidDel="00D23E9E">
        <w:rPr>
          <w:sz w:val="18"/>
          <w:szCs w:val="18"/>
        </w:rPr>
        <w:t xml:space="preserve"> </w:t>
      </w:r>
      <w:r>
        <w:rPr>
          <w:sz w:val="18"/>
          <w:szCs w:val="18"/>
        </w:rPr>
        <w:t xml:space="preserve">[and </w:t>
      </w:r>
      <w:r>
        <w:rPr>
          <w:i/>
          <w:iCs/>
          <w:sz w:val="18"/>
          <w:szCs w:val="18"/>
        </w:rPr>
        <w:t>Figure 2.4</w:t>
      </w:r>
      <w:r>
        <w:rPr>
          <w:sz w:val="18"/>
          <w:szCs w:val="18"/>
        </w:rPr>
        <w:t xml:space="preserve"> in Austroads' </w:t>
      </w:r>
      <w:r>
        <w:rPr>
          <w:i/>
          <w:iCs/>
          <w:sz w:val="18"/>
          <w:szCs w:val="18"/>
        </w:rPr>
        <w:t>Guide to Road Safety Part 2: Safe Roads</w:t>
      </w:r>
      <w:r>
        <w:rPr>
          <w:sz w:val="18"/>
          <w:szCs w:val="18"/>
        </w:rPr>
        <w:t xml:space="preserve"> (Jul 2024</w:t>
      </w:r>
      <w:r w:rsidRPr="00724CD1">
        <w:rPr>
          <w:sz w:val="18"/>
          <w:szCs w:val="18"/>
        </w:rPr>
        <w:t>)]</w:t>
      </w:r>
      <w:bookmarkEnd w:id="14"/>
    </w:p>
    <w:p w14:paraId="085A7A55" w14:textId="77777777" w:rsidR="008E64C0" w:rsidRPr="00BC212A" w:rsidRDefault="008E64C0" w:rsidP="008E64C0">
      <w:pPr>
        <w:pStyle w:val="FootnoteText"/>
        <w:rPr>
          <w:lang w:val="en-US"/>
        </w:rPr>
      </w:pPr>
    </w:p>
  </w:footnote>
  <w:footnote w:id="7">
    <w:p w14:paraId="2E44151C" w14:textId="77777777" w:rsidR="008E64C0" w:rsidRPr="006E7CEF" w:rsidRDefault="008E64C0" w:rsidP="008E64C0">
      <w:pPr>
        <w:pStyle w:val="FootnoteText"/>
        <w:rPr>
          <w:lang w:val="en-US"/>
        </w:rPr>
      </w:pPr>
      <w:r>
        <w:rPr>
          <w:rStyle w:val="FootnoteReference"/>
        </w:rPr>
        <w:footnoteRef/>
      </w:r>
      <w:r>
        <w:t xml:space="preserve"> </w:t>
      </w:r>
      <w:r w:rsidRPr="00BC212A">
        <w:rPr>
          <w:sz w:val="18"/>
          <w:szCs w:val="18"/>
          <w:lang w:val="en-US"/>
        </w:rPr>
        <w:t>Refer</w:t>
      </w:r>
      <w:r>
        <w:rPr>
          <w:i/>
          <w:iCs/>
          <w:sz w:val="18"/>
          <w:szCs w:val="18"/>
          <w:lang w:val="en-US"/>
        </w:rPr>
        <w:t xml:space="preserve"> Figure 2.2</w:t>
      </w:r>
      <w:r w:rsidRPr="00BC212A">
        <w:rPr>
          <w:sz w:val="18"/>
          <w:szCs w:val="18"/>
          <w:lang w:val="en-US"/>
        </w:rPr>
        <w:t xml:space="preserve"> in Austroads’ </w:t>
      </w:r>
      <w:r w:rsidRPr="00BC212A">
        <w:rPr>
          <w:i/>
          <w:sz w:val="18"/>
          <w:szCs w:val="18"/>
        </w:rPr>
        <w:t xml:space="preserve">Guide to </w:t>
      </w:r>
      <w:r>
        <w:rPr>
          <w:i/>
          <w:sz w:val="18"/>
          <w:szCs w:val="18"/>
        </w:rPr>
        <w:t>Road Safety Part 2: Safe Roads</w:t>
      </w:r>
      <w:r w:rsidRPr="00BC212A">
        <w:rPr>
          <w:sz w:val="18"/>
          <w:szCs w:val="18"/>
        </w:rPr>
        <w:t xml:space="preserve"> (</w:t>
      </w:r>
      <w:r w:rsidRPr="00EE4030">
        <w:rPr>
          <w:sz w:val="18"/>
          <w:szCs w:val="18"/>
        </w:rPr>
        <w:t>Jul 2021</w:t>
      </w:r>
      <w:r w:rsidRPr="00BC212A">
        <w:rPr>
          <w:sz w:val="18"/>
          <w:szCs w:val="18"/>
        </w:rPr>
        <w:t>)</w:t>
      </w:r>
      <w:r w:rsidDel="00D23E9E">
        <w:rPr>
          <w:sz w:val="18"/>
          <w:szCs w:val="18"/>
        </w:rPr>
        <w:t xml:space="preserve"> </w:t>
      </w:r>
      <w:r>
        <w:rPr>
          <w:sz w:val="18"/>
          <w:szCs w:val="18"/>
        </w:rPr>
        <w:t xml:space="preserve">[and </w:t>
      </w:r>
      <w:r>
        <w:rPr>
          <w:i/>
          <w:iCs/>
          <w:sz w:val="18"/>
          <w:szCs w:val="18"/>
        </w:rPr>
        <w:t>Figure 7.1</w:t>
      </w:r>
      <w:r>
        <w:rPr>
          <w:sz w:val="18"/>
          <w:szCs w:val="18"/>
        </w:rPr>
        <w:t xml:space="preserve"> in Austroads' </w:t>
      </w:r>
      <w:r>
        <w:rPr>
          <w:i/>
          <w:iCs/>
          <w:sz w:val="18"/>
          <w:szCs w:val="18"/>
        </w:rPr>
        <w:t>Guide to Road Safety Part 2: Safe Roads</w:t>
      </w:r>
      <w:r>
        <w:rPr>
          <w:sz w:val="18"/>
          <w:szCs w:val="18"/>
        </w:rPr>
        <w:t xml:space="preserve"> (Jul 2024)]</w:t>
      </w:r>
    </w:p>
    <w:p w14:paraId="04EA8E72" w14:textId="77777777" w:rsidR="008E64C0" w:rsidRPr="00BC212A" w:rsidRDefault="008E64C0" w:rsidP="008E64C0">
      <w:pPr>
        <w:pStyle w:val="FootnoteText"/>
        <w:rPr>
          <w:lang w:val="en-US"/>
        </w:rPr>
      </w:pPr>
    </w:p>
  </w:footnote>
  <w:footnote w:id="8">
    <w:p w14:paraId="3D55135C" w14:textId="77777777" w:rsidR="00D61569" w:rsidRPr="00452DBC" w:rsidRDefault="00D61569" w:rsidP="00D61569">
      <w:pPr>
        <w:pStyle w:val="FootnoteText"/>
        <w:rPr>
          <w:rFonts w:ascii="Noto Sans" w:hAnsi="Noto Sans" w:cs="Noto Sans"/>
        </w:rPr>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rPr>
        <w:t>Section 6.4</w:t>
      </w:r>
      <w:r w:rsidRPr="00452DBC">
        <w:rPr>
          <w:rFonts w:ascii="Noto Sans" w:hAnsi="Noto Sans" w:cs="Noto Sans"/>
        </w:rPr>
        <w:t xml:space="preserve">, TMR RPDM Edition 2 Volume 3 </w:t>
      </w:r>
      <w:r w:rsidRPr="00452DBC">
        <w:rPr>
          <w:rFonts w:ascii="Noto Sans" w:hAnsi="Noto Sans" w:cs="Noto Sans"/>
          <w:i/>
        </w:rPr>
        <w:t>Supplement to Austroads Guide to Road Design Part 6A: Paths for Walking and Cycling</w:t>
      </w:r>
      <w:r w:rsidRPr="00452DBC">
        <w:rPr>
          <w:rFonts w:ascii="Noto Sans" w:hAnsi="Noto Sans" w:cs="Noto Sans"/>
        </w:rPr>
        <w:t xml:space="preserve"> (Jul 2025)</w:t>
      </w:r>
    </w:p>
  </w:footnote>
  <w:footnote w:id="9">
    <w:p w14:paraId="03D482C6" w14:textId="77777777" w:rsidR="00D61569" w:rsidRPr="00452DBC" w:rsidRDefault="00D61569" w:rsidP="00D61569">
      <w:pPr>
        <w:pStyle w:val="FootnoteText"/>
        <w:rPr>
          <w:rFonts w:ascii="Noto Sans" w:hAnsi="Noto Sans" w:cs="Noto Sans"/>
          <w:lang w:val="en-US"/>
        </w:rPr>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iCs/>
        </w:rPr>
        <w:t>Section 5.1</w:t>
      </w:r>
      <w:r w:rsidRPr="00452DBC">
        <w:rPr>
          <w:rFonts w:ascii="Noto Sans" w:hAnsi="Noto Sans" w:cs="Noto Sans"/>
        </w:rPr>
        <w:t xml:space="preserve">, TMR RPDM Edition 2 Volume 3 </w:t>
      </w:r>
      <w:r w:rsidRPr="00452DBC">
        <w:rPr>
          <w:rFonts w:ascii="Noto Sans" w:hAnsi="Noto Sans" w:cs="Noto Sans"/>
          <w:i/>
          <w:iCs/>
        </w:rPr>
        <w:t xml:space="preserve">Supplement to Austroads Guide to Road Design Part 6A: Paths for Walking and Cycling </w:t>
      </w:r>
      <w:r w:rsidRPr="00452DBC">
        <w:rPr>
          <w:rFonts w:ascii="Noto Sans" w:hAnsi="Noto Sans" w:cs="Noto Sans"/>
        </w:rPr>
        <w:t>(Jul 2025)</w:t>
      </w:r>
    </w:p>
  </w:footnote>
  <w:footnote w:id="10">
    <w:p w14:paraId="6DE44971" w14:textId="77777777" w:rsidR="00FD6F82" w:rsidRPr="00452DBC" w:rsidRDefault="00FD6F82" w:rsidP="00FD6F82">
      <w:pPr>
        <w:pStyle w:val="FootnoteText"/>
        <w:rPr>
          <w:rFonts w:ascii="Noto Sans" w:hAnsi="Noto Sans" w:cs="Noto Sans"/>
        </w:rPr>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rPr>
        <w:t>Figure 6A-2</w:t>
      </w:r>
      <w:r w:rsidRPr="00452DBC">
        <w:rPr>
          <w:rFonts w:ascii="Noto Sans" w:hAnsi="Noto Sans" w:cs="Noto Sans"/>
        </w:rPr>
        <w:t xml:space="preserve">, TMR RPDM Edition 2 Volume 3 </w:t>
      </w:r>
      <w:r w:rsidRPr="00452DBC">
        <w:rPr>
          <w:rFonts w:ascii="Noto Sans" w:hAnsi="Noto Sans" w:cs="Noto Sans"/>
          <w:i/>
        </w:rPr>
        <w:t>Supplement to Austroads Guide to Road Design Part 6A: Paths for Walking and Cycling</w:t>
      </w:r>
      <w:r w:rsidRPr="00452DBC">
        <w:rPr>
          <w:rFonts w:ascii="Noto Sans" w:hAnsi="Noto Sans" w:cs="Noto Sans"/>
        </w:rPr>
        <w:t xml:space="preserve"> (Jul 2025)</w:t>
      </w:r>
    </w:p>
  </w:footnote>
  <w:footnote w:id="11">
    <w:p w14:paraId="69E26A10" w14:textId="77777777" w:rsidR="00FD6F82" w:rsidRDefault="00FD6F82" w:rsidP="00FD6F82">
      <w:pPr>
        <w:pStyle w:val="FootnoteText"/>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rPr>
        <w:t>Section 5.7</w:t>
      </w:r>
      <w:r w:rsidRPr="00452DBC">
        <w:rPr>
          <w:rFonts w:ascii="Noto Sans" w:hAnsi="Noto Sans" w:cs="Noto Sans"/>
        </w:rPr>
        <w:t xml:space="preserve">, TMR RPDM Edition 2 Volume 3 </w:t>
      </w:r>
      <w:r w:rsidRPr="00452DBC">
        <w:rPr>
          <w:rFonts w:ascii="Noto Sans" w:hAnsi="Noto Sans" w:cs="Noto Sans"/>
          <w:i/>
        </w:rPr>
        <w:t>Supplement to Austroads Guide to Road Design Part 6A: Paths for Walking and Cycling</w:t>
      </w:r>
      <w:r w:rsidRPr="00452DBC">
        <w:rPr>
          <w:rFonts w:ascii="Noto Sans" w:hAnsi="Noto Sans" w:cs="Noto Sans"/>
        </w:rPr>
        <w:t xml:space="preserve"> (Jul 2025)</w:t>
      </w:r>
    </w:p>
  </w:footnote>
  <w:footnote w:id="12">
    <w:p w14:paraId="2E0BC4F3" w14:textId="77777777" w:rsidR="00FD6F82" w:rsidRPr="00452DBC" w:rsidRDefault="00FD6F82" w:rsidP="00FD6F82">
      <w:pPr>
        <w:pStyle w:val="FootnoteText"/>
        <w:rPr>
          <w:rFonts w:ascii="Noto Sans" w:hAnsi="Noto Sans" w:cs="Noto Sans"/>
        </w:rPr>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rPr>
        <w:t>Figure C 4</w:t>
      </w:r>
      <w:r w:rsidRPr="00452DBC">
        <w:rPr>
          <w:rFonts w:ascii="Noto Sans" w:hAnsi="Noto Sans" w:cs="Noto Sans"/>
        </w:rPr>
        <w:t xml:space="preserve">, </w:t>
      </w:r>
      <w:bookmarkStart w:id="49" w:name="_Hlk196301323"/>
      <w:r w:rsidRPr="00452DBC">
        <w:rPr>
          <w:rFonts w:ascii="Noto Sans" w:hAnsi="Noto Sans" w:cs="Noto Sans"/>
        </w:rPr>
        <w:t xml:space="preserve">Austroads </w:t>
      </w:r>
      <w:r w:rsidRPr="00452DBC">
        <w:rPr>
          <w:rFonts w:ascii="Noto Sans" w:hAnsi="Noto Sans" w:cs="Noto Sans"/>
          <w:i/>
        </w:rPr>
        <w:t>Guide to Road Design Part 6A: Paths for Walking and Cycling</w:t>
      </w:r>
      <w:r w:rsidRPr="00452DBC">
        <w:rPr>
          <w:rFonts w:ascii="Noto Sans" w:hAnsi="Noto Sans" w:cs="Noto Sans"/>
        </w:rPr>
        <w:t xml:space="preserve"> (Feb 2021)</w:t>
      </w:r>
      <w:bookmarkEnd w:id="49"/>
    </w:p>
  </w:footnote>
  <w:footnote w:id="13">
    <w:p w14:paraId="148F6FA7" w14:textId="77777777" w:rsidR="00FD6F82" w:rsidRPr="00A546B1" w:rsidRDefault="00FD6F82" w:rsidP="00FD6F82">
      <w:pPr>
        <w:pStyle w:val="FootnoteText"/>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iCs/>
        </w:rPr>
        <w:t>Part 9</w:t>
      </w:r>
      <w:r w:rsidRPr="00452DBC">
        <w:rPr>
          <w:rFonts w:ascii="Noto Sans" w:hAnsi="Noto Sans" w:cs="Noto Sans"/>
        </w:rPr>
        <w:t xml:space="preserve">, </w:t>
      </w:r>
      <w:bookmarkStart w:id="54" w:name="_Hlk196301497"/>
      <w:r w:rsidRPr="00452DBC">
        <w:rPr>
          <w:rFonts w:ascii="Noto Sans" w:hAnsi="Noto Sans" w:cs="Noto Sans"/>
          <w:i/>
          <w:iCs/>
        </w:rPr>
        <w:t>Queensland Manual of Uniform Traffic Control Devices</w:t>
      </w:r>
      <w:r w:rsidRPr="00452DBC">
        <w:rPr>
          <w:rFonts w:ascii="Noto Sans" w:hAnsi="Noto Sans" w:cs="Noto Sans"/>
        </w:rPr>
        <w:t xml:space="preserve"> (Jul 2024)</w:t>
      </w:r>
      <w:bookmarkEnd w:id="54"/>
    </w:p>
  </w:footnote>
  <w:footnote w:id="14">
    <w:p w14:paraId="613CE656" w14:textId="77777777" w:rsidR="00EF3327" w:rsidRPr="00452DBC" w:rsidRDefault="00EF3327" w:rsidP="00EF3327">
      <w:pPr>
        <w:pStyle w:val="FootnoteText"/>
        <w:rPr>
          <w:rFonts w:ascii="Noto Sans" w:hAnsi="Noto Sans" w:cs="Noto Sans"/>
        </w:rPr>
      </w:pPr>
      <w:r w:rsidRPr="00452DBC">
        <w:rPr>
          <w:rStyle w:val="FootnoteReference"/>
          <w:rFonts w:ascii="Noto Sans" w:hAnsi="Noto Sans" w:cs="Noto Sans"/>
        </w:rPr>
        <w:footnoteRef/>
      </w:r>
      <w:r w:rsidRPr="00452DBC">
        <w:rPr>
          <w:rFonts w:ascii="Noto Sans" w:hAnsi="Noto Sans" w:cs="Noto Sans"/>
        </w:rPr>
        <w:t xml:space="preserve"> </w:t>
      </w:r>
      <w:r w:rsidRPr="00452DBC">
        <w:rPr>
          <w:rFonts w:ascii="Noto Sans" w:hAnsi="Noto Sans" w:cs="Noto Sans"/>
          <w:lang w:val="en-US"/>
        </w:rPr>
        <w:t xml:space="preserve">Refer </w:t>
      </w:r>
      <w:bookmarkStart w:id="57" w:name="_Hlk196301781"/>
      <w:r w:rsidRPr="00452DBC">
        <w:rPr>
          <w:rFonts w:ascii="Noto Sans" w:hAnsi="Noto Sans" w:cs="Noto Sans"/>
          <w:lang w:val="en-US"/>
        </w:rPr>
        <w:t xml:space="preserve">TMR </w:t>
      </w:r>
      <w:r w:rsidRPr="00452DBC">
        <w:rPr>
          <w:rFonts w:ascii="Noto Sans" w:hAnsi="Noto Sans" w:cs="Noto Sans"/>
          <w:i/>
          <w:lang w:val="en-US"/>
        </w:rPr>
        <w:t xml:space="preserve">Treatment options to improve safety of pedestrians, bicycle riders and other path users at driveways </w:t>
      </w:r>
      <w:r w:rsidRPr="00452DBC">
        <w:rPr>
          <w:rFonts w:ascii="Noto Sans" w:hAnsi="Noto Sans" w:cs="Noto Sans"/>
          <w:lang w:val="en-US"/>
        </w:rPr>
        <w:t>guideline (Feb 2021)</w:t>
      </w:r>
      <w:bookmarkEnd w:id="57"/>
    </w:p>
  </w:footnote>
  <w:footnote w:id="15">
    <w:p w14:paraId="785D4994" w14:textId="77777777" w:rsidR="00EF3327" w:rsidRPr="00452DBC" w:rsidRDefault="00EF3327" w:rsidP="00EF3327">
      <w:pPr>
        <w:pStyle w:val="FootnoteText"/>
        <w:rPr>
          <w:rFonts w:ascii="Noto Sans" w:hAnsi="Noto Sans" w:cs="Noto Sans"/>
          <w:lang w:val="en-US"/>
        </w:rPr>
      </w:pPr>
      <w:r w:rsidRPr="00452DBC">
        <w:rPr>
          <w:rStyle w:val="FootnoteReference"/>
          <w:rFonts w:ascii="Noto Sans" w:hAnsi="Noto Sans" w:cs="Noto Sans"/>
        </w:rPr>
        <w:footnoteRef/>
      </w:r>
      <w:r w:rsidRPr="00452DBC">
        <w:rPr>
          <w:rFonts w:ascii="Noto Sans" w:hAnsi="Noto Sans" w:cs="Noto Sans"/>
        </w:rPr>
        <w:t xml:space="preserve"> </w:t>
      </w:r>
      <w:r w:rsidRPr="00452DBC">
        <w:rPr>
          <w:rFonts w:ascii="Noto Sans" w:hAnsi="Noto Sans" w:cs="Noto Sans"/>
          <w:lang w:val="en-US"/>
        </w:rPr>
        <w:t xml:space="preserve">Refer TMR </w:t>
      </w:r>
      <w:r w:rsidRPr="00452DBC">
        <w:rPr>
          <w:rFonts w:ascii="Noto Sans" w:hAnsi="Noto Sans" w:cs="Noto Sans"/>
          <w:i/>
          <w:lang w:val="en-US"/>
        </w:rPr>
        <w:t xml:space="preserve">Treatment options to improve safety of pedestrians, bicycle riders and other path users at driveways </w:t>
      </w:r>
      <w:r w:rsidRPr="00452DBC">
        <w:rPr>
          <w:rFonts w:ascii="Noto Sans" w:hAnsi="Noto Sans" w:cs="Noto Sans"/>
          <w:lang w:val="en-US"/>
        </w:rPr>
        <w:t>guideline (Feb 2021)</w:t>
      </w:r>
    </w:p>
  </w:footnote>
  <w:footnote w:id="16">
    <w:p w14:paraId="2DDCB8E4" w14:textId="77777777" w:rsidR="00EF3327" w:rsidRPr="00DE3D2F" w:rsidRDefault="00EF3327" w:rsidP="00EF3327">
      <w:pPr>
        <w:pStyle w:val="FootnoteText"/>
        <w:rPr>
          <w:lang w:val="en-US"/>
        </w:rPr>
      </w:pPr>
      <w:r w:rsidRPr="00452DBC">
        <w:rPr>
          <w:rStyle w:val="FootnoteReference"/>
          <w:rFonts w:ascii="Noto Sans" w:hAnsi="Noto Sans" w:cs="Noto Sans"/>
        </w:rPr>
        <w:footnoteRef/>
      </w:r>
      <w:r w:rsidRPr="00452DBC">
        <w:rPr>
          <w:rFonts w:ascii="Noto Sans" w:hAnsi="Noto Sans" w:cs="Noto Sans"/>
        </w:rPr>
        <w:t xml:space="preserve"> </w:t>
      </w:r>
      <w:r w:rsidRPr="00452DBC">
        <w:rPr>
          <w:rFonts w:ascii="Noto Sans" w:hAnsi="Noto Sans" w:cs="Noto Sans"/>
          <w:lang w:val="en-US"/>
        </w:rPr>
        <w:t xml:space="preserve">Refer TMR </w:t>
      </w:r>
      <w:r w:rsidRPr="00452DBC">
        <w:rPr>
          <w:rFonts w:ascii="Noto Sans" w:hAnsi="Noto Sans" w:cs="Noto Sans"/>
          <w:i/>
          <w:lang w:val="en-US"/>
        </w:rPr>
        <w:t xml:space="preserve">Treatment options to improve safety of pedestrians, bicycle riders and other path users at driveways </w:t>
      </w:r>
      <w:r w:rsidRPr="00452DBC">
        <w:rPr>
          <w:rFonts w:ascii="Noto Sans" w:hAnsi="Noto Sans" w:cs="Noto Sans"/>
          <w:lang w:val="en-US"/>
        </w:rPr>
        <w:t>guideline (Feb 2021)</w:t>
      </w:r>
    </w:p>
  </w:footnote>
  <w:footnote w:id="17">
    <w:p w14:paraId="5F148088" w14:textId="77777777" w:rsidR="00EF6437" w:rsidRPr="00452DBC" w:rsidRDefault="00EF6437" w:rsidP="00EF6437">
      <w:pPr>
        <w:pStyle w:val="FootnoteText"/>
        <w:rPr>
          <w:rFonts w:ascii="Noto Sans" w:hAnsi="Noto Sans" w:cs="Noto Sans"/>
        </w:rPr>
      </w:pPr>
      <w:r w:rsidRPr="00452DBC">
        <w:rPr>
          <w:rStyle w:val="FootnoteReference"/>
          <w:rFonts w:ascii="Noto Sans" w:hAnsi="Noto Sans" w:cs="Noto Sans"/>
        </w:rPr>
        <w:footnoteRef/>
      </w:r>
      <w:r w:rsidRPr="00452DBC">
        <w:rPr>
          <w:rFonts w:ascii="Noto Sans" w:hAnsi="Noto Sans" w:cs="Noto Sans"/>
        </w:rPr>
        <w:t xml:space="preserve"> https://www.legislation.gov.au/C2004A04426/latest/text</w:t>
      </w:r>
    </w:p>
  </w:footnote>
  <w:footnote w:id="18">
    <w:p w14:paraId="3093C85C" w14:textId="77777777" w:rsidR="00EF6437" w:rsidRPr="00452DBC" w:rsidRDefault="00EF6437" w:rsidP="00EF6437">
      <w:pPr>
        <w:pStyle w:val="FootnoteText"/>
        <w:rPr>
          <w:rFonts w:ascii="Noto Sans" w:hAnsi="Noto Sans" w:cs="Noto Sans"/>
          <w:lang w:val="en-US"/>
        </w:rPr>
      </w:pPr>
      <w:r w:rsidRPr="00452DBC">
        <w:rPr>
          <w:rStyle w:val="FootnoteReference"/>
          <w:rFonts w:ascii="Noto Sans" w:hAnsi="Noto Sans" w:cs="Noto Sans"/>
        </w:rPr>
        <w:footnoteRef/>
      </w:r>
      <w:r w:rsidRPr="00452DBC">
        <w:rPr>
          <w:rFonts w:ascii="Noto Sans" w:hAnsi="Noto Sans" w:cs="Noto Sans"/>
        </w:rPr>
        <w:t xml:space="preserve"> https://humanrights.gov.au/our-work/disability-rights/publications/advisory-note-streetscape-public-outdoor-areas-fixtures</w:t>
      </w:r>
    </w:p>
  </w:footnote>
  <w:footnote w:id="19">
    <w:p w14:paraId="307A3AEE" w14:textId="77777777" w:rsidR="00EF6437" w:rsidRPr="00DE3D2F" w:rsidRDefault="00EF6437" w:rsidP="00EF6437">
      <w:pPr>
        <w:pStyle w:val="FootnoteText"/>
        <w:rPr>
          <w:lang w:val="en-US"/>
        </w:rPr>
      </w:pPr>
      <w:r w:rsidRPr="00452DBC">
        <w:rPr>
          <w:rStyle w:val="FootnoteReference"/>
          <w:rFonts w:ascii="Noto Sans" w:hAnsi="Noto Sans" w:cs="Noto Sans"/>
        </w:rPr>
        <w:footnoteRef/>
      </w:r>
      <w:r w:rsidRPr="00452DBC">
        <w:rPr>
          <w:rFonts w:ascii="Noto Sans" w:hAnsi="Noto Sans" w:cs="Noto Sans"/>
        </w:rPr>
        <w:t xml:space="preserve"> https://www.tmr.qld.gov.au/About-us/Our-organisation/Accessibility-and-inclusion</w:t>
      </w:r>
    </w:p>
  </w:footnote>
  <w:footnote w:id="20">
    <w:p w14:paraId="5C337734" w14:textId="77777777" w:rsidR="00EF6437" w:rsidRPr="00452DBC" w:rsidRDefault="00EF6437" w:rsidP="00EF6437">
      <w:pPr>
        <w:pStyle w:val="BodyText"/>
        <w:spacing w:before="0"/>
        <w:rPr>
          <w:rFonts w:ascii="Noto Sans" w:hAnsi="Noto Sans" w:cs="Noto Sans"/>
        </w:rPr>
      </w:pPr>
      <w:r w:rsidRPr="00452DBC">
        <w:rPr>
          <w:rStyle w:val="FootnoteReference"/>
          <w:rFonts w:ascii="Noto Sans" w:hAnsi="Noto Sans" w:cs="Noto Sans"/>
        </w:rPr>
        <w:footnoteRef/>
      </w:r>
      <w:r w:rsidRPr="00452DBC">
        <w:rPr>
          <w:rFonts w:ascii="Noto Sans" w:hAnsi="Noto Sans" w:cs="Noto Sans"/>
        </w:rPr>
        <w:t xml:space="preserve"> Refer </w:t>
      </w:r>
      <w:r w:rsidRPr="00452DBC">
        <w:rPr>
          <w:rFonts w:ascii="Noto Sans" w:hAnsi="Noto Sans" w:cs="Noto Sans"/>
          <w:i/>
          <w:iCs/>
        </w:rPr>
        <w:t>Section 5.4</w:t>
      </w:r>
      <w:r w:rsidRPr="00452DBC">
        <w:rPr>
          <w:rFonts w:ascii="Noto Sans" w:hAnsi="Noto Sans" w:cs="Noto Sans"/>
        </w:rPr>
        <w:t xml:space="preserve">, TMR’s RPDM Edition 2 Volume 3 </w:t>
      </w:r>
      <w:r w:rsidRPr="00452DBC">
        <w:rPr>
          <w:rFonts w:ascii="Noto Sans" w:hAnsi="Noto Sans" w:cs="Noto Sans"/>
          <w:i/>
        </w:rPr>
        <w:t xml:space="preserve">Supplement to Austroads Guide to Road Design Part 6A: Paths for Walking and Cycling </w:t>
      </w:r>
      <w:r w:rsidRPr="00452DBC">
        <w:rPr>
          <w:rFonts w:ascii="Noto Sans" w:hAnsi="Noto Sans" w:cs="Noto Sans"/>
          <w:iCs/>
        </w:rPr>
        <w:t xml:space="preserve">(Jul 2025); TMR's </w:t>
      </w:r>
      <w:r w:rsidRPr="00452DBC">
        <w:rPr>
          <w:rFonts w:ascii="Noto Sans" w:hAnsi="Noto Sans" w:cs="Noto Sans"/>
        </w:rPr>
        <w:t xml:space="preserve">RPDM Edition 2 Volume 3 </w:t>
      </w:r>
      <w:r w:rsidRPr="00452DBC">
        <w:rPr>
          <w:rFonts w:ascii="Noto Sans" w:hAnsi="Noto Sans" w:cs="Noto Sans"/>
          <w:i/>
        </w:rPr>
        <w:t xml:space="preserve">Supplement to Austroads Guide to Road Design Part 1 </w:t>
      </w:r>
      <w:r w:rsidRPr="00452DBC">
        <w:rPr>
          <w:rFonts w:ascii="Noto Sans" w:hAnsi="Noto Sans" w:cs="Noto Sans"/>
        </w:rPr>
        <w:t xml:space="preserve">(formally </w:t>
      </w:r>
      <w:r w:rsidRPr="00452DBC">
        <w:rPr>
          <w:rFonts w:ascii="Noto Sans" w:hAnsi="Noto Sans" w:cs="Noto Sans"/>
          <w:i/>
        </w:rPr>
        <w:t>RPDM</w:t>
      </w:r>
      <w:r w:rsidRPr="00452DBC">
        <w:rPr>
          <w:rFonts w:ascii="Noto Sans" w:hAnsi="Noto Sans" w:cs="Noto Sans"/>
        </w:rPr>
        <w:t xml:space="preserve"> and </w:t>
      </w:r>
      <w:r w:rsidRPr="00452DBC">
        <w:rPr>
          <w:rFonts w:ascii="Noto Sans" w:hAnsi="Noto Sans" w:cs="Noto Sans"/>
          <w:i/>
          <w:szCs w:val="22"/>
        </w:rPr>
        <w:t>Guidelines for road design on brownfield sites</w:t>
      </w:r>
      <w:r w:rsidRPr="00452DBC">
        <w:rPr>
          <w:rFonts w:ascii="Noto Sans" w:hAnsi="Noto Sans" w:cs="Noto Sans"/>
          <w:szCs w:val="22"/>
        </w:rPr>
        <w:t>);</w:t>
      </w:r>
      <w:r w:rsidRPr="00452DBC">
        <w:rPr>
          <w:rFonts w:ascii="Noto Sans" w:hAnsi="Noto Sans" w:cs="Noto Sans"/>
        </w:rPr>
        <w:t xml:space="preserve"> and the DD Act; for further detail.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92B23" w14:textId="77777777" w:rsidR="008113E9" w:rsidRDefault="008113E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A747C0" w14:textId="77777777" w:rsidR="008113E9" w:rsidRPr="00BD5745" w:rsidRDefault="008113E9" w:rsidP="00BD5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5D511B4"/>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FB28C5"/>
    <w:multiLevelType w:val="multilevel"/>
    <w:tmpl w:val="11C64328"/>
    <w:styleLink w:val="ListParagraph0"/>
    <w:lvl w:ilvl="0">
      <w:start w:val="1"/>
      <w:numFmt w:val="none"/>
      <w:suff w:val="nothing"/>
      <w:lvlText w:val=""/>
      <w:lvlJc w:val="left"/>
      <w:pPr>
        <w:ind w:left="284" w:firstLine="0"/>
      </w:pPr>
      <w:rPr>
        <w:rFonts w:asciiTheme="minorHAnsi" w:hAnsiTheme="minorHAnsi" w:hint="default"/>
        <w:color w:val="auto"/>
      </w:rPr>
    </w:lvl>
    <w:lvl w:ilvl="1">
      <w:start w:val="1"/>
      <w:numFmt w:val="none"/>
      <w:suff w:val="nothing"/>
      <w:lvlText w:val=""/>
      <w:lvlJc w:val="left"/>
      <w:pPr>
        <w:ind w:left="567" w:firstLine="0"/>
      </w:pPr>
      <w:rPr>
        <w:rFonts w:asciiTheme="minorHAnsi" w:hAnsiTheme="minorHAnsi" w:hint="default"/>
        <w:color w:val="auto"/>
      </w:rPr>
    </w:lvl>
    <w:lvl w:ilvl="2">
      <w:start w:val="1"/>
      <w:numFmt w:val="none"/>
      <w:suff w:val="nothing"/>
      <w:lvlText w:val=""/>
      <w:lvlJc w:val="left"/>
      <w:pPr>
        <w:ind w:left="851" w:firstLine="0"/>
      </w:pPr>
      <w:rPr>
        <w:rFonts w:asciiTheme="minorHAnsi" w:hAnsiTheme="minorHAnsi" w:hint="default"/>
        <w:color w:val="auto"/>
      </w:rPr>
    </w:lvl>
    <w:lvl w:ilvl="3">
      <w:start w:val="1"/>
      <w:numFmt w:val="none"/>
      <w:suff w:val="nothing"/>
      <w:lvlText w:val=""/>
      <w:lvlJc w:val="left"/>
      <w:pPr>
        <w:ind w:left="1134" w:firstLine="0"/>
      </w:pPr>
      <w:rPr>
        <w:rFonts w:asciiTheme="minorHAnsi" w:hAnsiTheme="minorHAnsi" w:hint="default"/>
        <w:color w:val="auto"/>
      </w:rPr>
    </w:lvl>
    <w:lvl w:ilvl="4">
      <w:start w:val="1"/>
      <w:numFmt w:val="none"/>
      <w:suff w:val="nothing"/>
      <w:lvlText w:val=""/>
      <w:lvlJc w:val="left"/>
      <w:pPr>
        <w:ind w:left="1418" w:firstLine="0"/>
      </w:pPr>
      <w:rPr>
        <w:rFonts w:asciiTheme="minorHAnsi" w:hAnsiTheme="minorHAnsi" w:hint="default"/>
        <w:color w:val="auto"/>
      </w:rPr>
    </w:lvl>
    <w:lvl w:ilvl="5">
      <w:start w:val="1"/>
      <w:numFmt w:val="none"/>
      <w:suff w:val="nothing"/>
      <w:lvlText w:val=""/>
      <w:lvlJc w:val="left"/>
      <w:pPr>
        <w:ind w:left="1701" w:firstLine="0"/>
      </w:pPr>
      <w:rPr>
        <w:rFonts w:asciiTheme="minorHAnsi" w:hAnsiTheme="minorHAnsi" w:hint="default"/>
        <w:color w:val="auto"/>
      </w:rPr>
    </w:lvl>
    <w:lvl w:ilvl="6">
      <w:start w:val="1"/>
      <w:numFmt w:val="none"/>
      <w:suff w:val="nothing"/>
      <w:lvlText w:val=""/>
      <w:lvlJc w:val="left"/>
      <w:pPr>
        <w:ind w:left="1985" w:firstLine="0"/>
      </w:pPr>
      <w:rPr>
        <w:rFonts w:hint="default"/>
        <w:color w:val="000000"/>
      </w:rPr>
    </w:lvl>
    <w:lvl w:ilvl="7">
      <w:start w:val="1"/>
      <w:numFmt w:val="none"/>
      <w:suff w:val="nothing"/>
      <w:lvlText w:val=""/>
      <w:lvlJc w:val="left"/>
      <w:pPr>
        <w:ind w:left="2268" w:firstLine="0"/>
      </w:pPr>
      <w:rPr>
        <w:rFonts w:hint="default"/>
      </w:rPr>
    </w:lvl>
    <w:lvl w:ilvl="8">
      <w:numFmt w:val="none"/>
      <w:lvlText w:val=""/>
      <w:lvlJc w:val="left"/>
      <w:pPr>
        <w:tabs>
          <w:tab w:val="num" w:pos="3123"/>
        </w:tabs>
        <w:ind w:left="2552" w:firstLine="0"/>
      </w:pPr>
      <w:rPr>
        <w:rFonts w:hint="default"/>
      </w:rPr>
    </w:lvl>
  </w:abstractNum>
  <w:abstractNum w:abstractNumId="2" w15:restartNumberingAfterBreak="0">
    <w:nsid w:val="0D1803F3"/>
    <w:multiLevelType w:val="hybridMultilevel"/>
    <w:tmpl w:val="1BA27DB2"/>
    <w:lvl w:ilvl="0" w:tplc="0C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5B19E5"/>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18482694"/>
    <w:multiLevelType w:val="hybridMultilevel"/>
    <w:tmpl w:val="7512B3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7F7F8C"/>
    <w:multiLevelType w:val="hybridMultilevel"/>
    <w:tmpl w:val="05D893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6A12BAB"/>
    <w:multiLevelType w:val="hybridMultilevel"/>
    <w:tmpl w:val="0EC61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0071FAE"/>
    <w:multiLevelType w:val="multilevel"/>
    <w:tmpl w:val="08B0AAC0"/>
    <w:styleLink w:val="ListNumberedHeadings"/>
    <w:lvl w:ilvl="0">
      <w:start w:val="1"/>
      <w:numFmt w:val="decimal"/>
      <w:pStyle w:val="AltHeading1"/>
      <w:lvlText w:val="%1."/>
      <w:lvlJc w:val="left"/>
      <w:pPr>
        <w:tabs>
          <w:tab w:val="num" w:pos="1134"/>
        </w:tabs>
        <w:ind w:left="1134" w:hanging="1134"/>
      </w:pPr>
      <w:rPr>
        <w:rFonts w:asciiTheme="majorHAnsi" w:hAnsiTheme="majorHAnsi" w:hint="default"/>
        <w:color w:val="002549" w:themeColor="accent1"/>
      </w:rPr>
    </w:lvl>
    <w:lvl w:ilvl="1">
      <w:start w:val="1"/>
      <w:numFmt w:val="decimal"/>
      <w:pStyle w:val="AltHeading2"/>
      <w:lvlText w:val="%1.%2"/>
      <w:lvlJc w:val="left"/>
      <w:pPr>
        <w:tabs>
          <w:tab w:val="num" w:pos="1134"/>
        </w:tabs>
        <w:ind w:left="1134" w:hanging="1134"/>
      </w:pPr>
      <w:rPr>
        <w:rFonts w:asciiTheme="majorHAnsi" w:hAnsiTheme="majorHAnsi" w:hint="default"/>
        <w:color w:val="004180" w:themeColor="accent2"/>
      </w:rPr>
    </w:lvl>
    <w:lvl w:ilvl="2">
      <w:start w:val="1"/>
      <w:numFmt w:val="decimal"/>
      <w:pStyle w:val="AltHeading3"/>
      <w:lvlText w:val="%1.%2.%3"/>
      <w:lvlJc w:val="left"/>
      <w:pPr>
        <w:tabs>
          <w:tab w:val="num" w:pos="1134"/>
        </w:tabs>
        <w:ind w:left="1134" w:hanging="1134"/>
      </w:pPr>
      <w:rPr>
        <w:rFonts w:asciiTheme="majorHAnsi" w:hAnsiTheme="majorHAnsi" w:hint="default"/>
        <w:color w:val="002549" w:themeColor="accent1"/>
      </w:rPr>
    </w:lvl>
    <w:lvl w:ilvl="3">
      <w:start w:val="1"/>
      <w:numFmt w:val="decimal"/>
      <w:pStyle w:val="AltHeading4"/>
      <w:lvlText w:val="%1.%2.%3.%4"/>
      <w:lvlJc w:val="left"/>
      <w:pPr>
        <w:tabs>
          <w:tab w:val="num" w:pos="1134"/>
        </w:tabs>
        <w:ind w:left="1134" w:hanging="1134"/>
      </w:pPr>
      <w:rPr>
        <w:rFonts w:asciiTheme="majorHAnsi" w:hAnsiTheme="majorHAnsi" w:hint="default"/>
        <w:color w:val="004180" w:themeColor="accent2"/>
        <w:sz w:val="20"/>
      </w:rPr>
    </w:lvl>
    <w:lvl w:ilvl="4">
      <w:start w:val="1"/>
      <w:numFmt w:val="decimal"/>
      <w:pStyle w:val="AltHeading5"/>
      <w:lvlText w:val="%1.%2.%3.%4.%5"/>
      <w:lvlJc w:val="left"/>
      <w:pPr>
        <w:tabs>
          <w:tab w:val="num" w:pos="1134"/>
        </w:tabs>
        <w:ind w:left="1134" w:hanging="1134"/>
      </w:pPr>
      <w:rPr>
        <w:rFonts w:asciiTheme="majorHAnsi" w:hAnsiTheme="majorHAnsi" w:hint="default"/>
        <w:color w:val="auto"/>
        <w:sz w:val="20"/>
      </w:rPr>
    </w:lvl>
    <w:lvl w:ilvl="5">
      <w:start w:val="1"/>
      <w:numFmt w:val="none"/>
      <w:lvlText w:val=""/>
      <w:lvlJc w:val="left"/>
      <w:pPr>
        <w:ind w:left="-32767" w:firstLine="0"/>
      </w:pPr>
      <w:rPr>
        <w:rFonts w:hint="default"/>
      </w:rPr>
    </w:lvl>
    <w:lvl w:ilvl="6">
      <w:start w:val="1"/>
      <w:numFmt w:val="none"/>
      <w:lvlRestart w:val="1"/>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space"/>
      <w:lvlText w:val=""/>
      <w:lvlJc w:val="left"/>
      <w:pPr>
        <w:ind w:left="0" w:firstLine="0"/>
      </w:pPr>
      <w:rPr>
        <w:rFonts w:hint="default"/>
      </w:rPr>
    </w:lvl>
  </w:abstractNum>
  <w:abstractNum w:abstractNumId="8" w15:restartNumberingAfterBreak="0">
    <w:nsid w:val="47EC5EDA"/>
    <w:multiLevelType w:val="hybridMultilevel"/>
    <w:tmpl w:val="8586D2F2"/>
    <w:lvl w:ilvl="0" w:tplc="0DC81C44">
      <w:start w:val="1"/>
      <w:numFmt w:val="bullet"/>
      <w:pStyle w:val="List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0">
    <w:nsid w:val="4F3558FE"/>
    <w:multiLevelType w:val="multilevel"/>
    <w:tmpl w:val="08B0AAC0"/>
    <w:numStyleLink w:val="ListNumberedHeadings"/>
  </w:abstractNum>
  <w:abstractNum w:abstractNumId="10" w15:restartNumberingAfterBreak="0">
    <w:nsid w:val="4FEA0B11"/>
    <w:multiLevelType w:val="hybridMultilevel"/>
    <w:tmpl w:val="7C7C217E"/>
    <w:lvl w:ilvl="0" w:tplc="2A6AA58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61A7199E"/>
    <w:multiLevelType w:val="hybridMultilevel"/>
    <w:tmpl w:val="F91659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3D246ED"/>
    <w:multiLevelType w:val="multilevel"/>
    <w:tmpl w:val="C9D46C44"/>
    <w:name w:val="Number List"/>
    <w:lvl w:ilvl="0">
      <w:start w:val="1"/>
      <w:numFmt w:val="decimal"/>
      <w:lvlRestart w:val="0"/>
      <w:pStyle w:val="ListNumber"/>
      <w:lvlText w:val="%1"/>
      <w:lvlJc w:val="left"/>
      <w:pPr>
        <w:tabs>
          <w:tab w:val="num" w:pos="567"/>
        </w:tabs>
        <w:ind w:left="567" w:hanging="567"/>
      </w:pPr>
    </w:lvl>
    <w:lvl w:ilvl="1">
      <w:start w:val="1"/>
      <w:numFmt w:val="decimal"/>
      <w:pStyle w:val="ListNumber2"/>
      <w:lvlText w:val="%1.%2"/>
      <w:lvlJc w:val="left"/>
      <w:pPr>
        <w:tabs>
          <w:tab w:val="num" w:pos="567"/>
        </w:tabs>
        <w:ind w:left="567" w:hanging="567"/>
      </w:pPr>
    </w:lvl>
    <w:lvl w:ilvl="2">
      <w:start w:val="1"/>
      <w:numFmt w:val="decimal"/>
      <w:pStyle w:val="ListNumber3"/>
      <w:lvlText w:val="%1.%2.%3"/>
      <w:lvlJc w:val="left"/>
      <w:pPr>
        <w:tabs>
          <w:tab w:val="num" w:pos="720"/>
        </w:tabs>
        <w:ind w:left="567" w:hanging="567"/>
      </w:pPr>
    </w:lvl>
    <w:lvl w:ilvl="3">
      <w:start w:val="1"/>
      <w:numFmt w:val="decimal"/>
      <w:lvlText w:val="%1.%2.%3.%4."/>
      <w:lvlJc w:val="left"/>
      <w:pPr>
        <w:tabs>
          <w:tab w:val="num" w:pos="1440"/>
        </w:tabs>
        <w:ind w:left="1366" w:hanging="646"/>
      </w:pPr>
    </w:lvl>
    <w:lvl w:ilvl="4">
      <w:start w:val="1"/>
      <w:numFmt w:val="decimal"/>
      <w:lvlText w:val="%1.%2.%3.%4.%5."/>
      <w:lvlJc w:val="left"/>
      <w:pPr>
        <w:tabs>
          <w:tab w:val="num" w:pos="2880"/>
        </w:tabs>
        <w:ind w:left="1871" w:hanging="794"/>
      </w:pPr>
    </w:lvl>
    <w:lvl w:ilvl="5">
      <w:start w:val="1"/>
      <w:numFmt w:val="decimal"/>
      <w:lvlText w:val="%1.%2.%3.%4.%5.%6."/>
      <w:lvlJc w:val="left"/>
      <w:pPr>
        <w:tabs>
          <w:tab w:val="num" w:pos="3600"/>
        </w:tabs>
        <w:ind w:left="2375" w:hanging="935"/>
      </w:pPr>
    </w:lvl>
    <w:lvl w:ilvl="6">
      <w:start w:val="1"/>
      <w:numFmt w:val="decimal"/>
      <w:lvlText w:val="%1.%2.%3.%4.%5.%6.%7."/>
      <w:lvlJc w:val="left"/>
      <w:pPr>
        <w:tabs>
          <w:tab w:val="num" w:pos="4320"/>
        </w:tabs>
        <w:ind w:left="2880" w:hanging="1083"/>
      </w:pPr>
    </w:lvl>
    <w:lvl w:ilvl="7">
      <w:start w:val="1"/>
      <w:numFmt w:val="decimal"/>
      <w:lvlText w:val="%1.%2.%3.%4.%5.%6.%7.%8."/>
      <w:lvlJc w:val="left"/>
      <w:pPr>
        <w:tabs>
          <w:tab w:val="num" w:pos="5040"/>
        </w:tabs>
        <w:ind w:left="3385" w:hanging="1225"/>
      </w:pPr>
    </w:lvl>
    <w:lvl w:ilvl="8">
      <w:start w:val="1"/>
      <w:numFmt w:val="decimal"/>
      <w:lvlText w:val="%1.%2.%3.%4.%5.%6.%7.%8.%9."/>
      <w:lvlJc w:val="left"/>
      <w:pPr>
        <w:tabs>
          <w:tab w:val="num" w:pos="5760"/>
        </w:tabs>
        <w:ind w:left="3957" w:hanging="1440"/>
      </w:pPr>
    </w:lvl>
  </w:abstractNum>
  <w:abstractNum w:abstractNumId="13" w15:restartNumberingAfterBreak="0">
    <w:nsid w:val="67655653"/>
    <w:multiLevelType w:val="singleLevel"/>
    <w:tmpl w:val="F626B85E"/>
    <w:name w:val="Bullet List 3"/>
    <w:lvl w:ilvl="0">
      <w:start w:val="1"/>
      <w:numFmt w:val="bullet"/>
      <w:pStyle w:val="ListBullet3"/>
      <w:lvlText w:val="○"/>
      <w:lvlJc w:val="left"/>
      <w:pPr>
        <w:ind w:left="1000" w:hanging="360"/>
      </w:pPr>
      <w:rPr>
        <w:rFonts w:ascii="Arial" w:hAnsi="Arial" w:hint="default"/>
      </w:rPr>
    </w:lvl>
  </w:abstractNum>
  <w:abstractNum w:abstractNumId="14" w15:restartNumberingAfterBreak="0">
    <w:nsid w:val="695C2B03"/>
    <w:multiLevelType w:val="hybridMultilevel"/>
    <w:tmpl w:val="83B43870"/>
    <w:lvl w:ilvl="0" w:tplc="6C8E15A6">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6DAF2C13"/>
    <w:multiLevelType w:val="hybridMultilevel"/>
    <w:tmpl w:val="197400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E61285D"/>
    <w:multiLevelType w:val="singleLevel"/>
    <w:tmpl w:val="DADE1A62"/>
    <w:name w:val="Bullet List 1"/>
    <w:lvl w:ilvl="0">
      <w:start w:val="1"/>
      <w:numFmt w:val="bullet"/>
      <w:lvlRestart w:val="0"/>
      <w:lvlText w:val=""/>
      <w:lvlJc w:val="left"/>
      <w:pPr>
        <w:tabs>
          <w:tab w:val="num" w:pos="567"/>
        </w:tabs>
        <w:ind w:left="567" w:hanging="567"/>
      </w:pPr>
      <w:rPr>
        <w:rFonts w:ascii="Symbol" w:hAnsi="Symbol" w:hint="default"/>
      </w:rPr>
    </w:lvl>
  </w:abstractNum>
  <w:abstractNum w:abstractNumId="17" w15:restartNumberingAfterBreak="0">
    <w:nsid w:val="7FB7528C"/>
    <w:multiLevelType w:val="singleLevel"/>
    <w:tmpl w:val="A8E2679A"/>
    <w:lvl w:ilvl="0">
      <w:start w:val="1"/>
      <w:numFmt w:val="bullet"/>
      <w:pStyle w:val="ListBullet2"/>
      <w:lvlText w:val="̶"/>
      <w:lvlJc w:val="left"/>
      <w:pPr>
        <w:ind w:left="720" w:hanging="360"/>
      </w:pPr>
      <w:rPr>
        <w:rFonts w:ascii="Arial" w:hAnsi="Arial" w:hint="default"/>
      </w:rPr>
    </w:lvl>
  </w:abstractNum>
  <w:num w:numId="1" w16cid:durableId="611714971">
    <w:abstractNumId w:val="12"/>
  </w:num>
  <w:num w:numId="2" w16cid:durableId="1764453121">
    <w:abstractNumId w:val="17"/>
  </w:num>
  <w:num w:numId="3" w16cid:durableId="1647666585">
    <w:abstractNumId w:val="13"/>
  </w:num>
  <w:num w:numId="4" w16cid:durableId="1921984302">
    <w:abstractNumId w:val="8"/>
  </w:num>
  <w:num w:numId="5" w16cid:durableId="615719700">
    <w:abstractNumId w:val="15"/>
  </w:num>
  <w:num w:numId="6" w16cid:durableId="689769231">
    <w:abstractNumId w:val="11"/>
  </w:num>
  <w:num w:numId="7" w16cid:durableId="1353339746">
    <w:abstractNumId w:val="5"/>
  </w:num>
  <w:num w:numId="8" w16cid:durableId="20782602">
    <w:abstractNumId w:val="6"/>
  </w:num>
  <w:num w:numId="9" w16cid:durableId="1521551010">
    <w:abstractNumId w:val="4"/>
  </w:num>
  <w:num w:numId="10" w16cid:durableId="96685082">
    <w:abstractNumId w:val="7"/>
  </w:num>
  <w:num w:numId="11" w16cid:durableId="65810866">
    <w:abstractNumId w:val="9"/>
  </w:num>
  <w:num w:numId="12" w16cid:durableId="1473401663">
    <w:abstractNumId w:val="1"/>
  </w:num>
  <w:num w:numId="13" w16cid:durableId="2077391993">
    <w:abstractNumId w:val="2"/>
  </w:num>
  <w:num w:numId="14" w16cid:durableId="1267617938">
    <w:abstractNumId w:val="14"/>
  </w:num>
  <w:num w:numId="15" w16cid:durableId="746734301">
    <w:abstractNumId w:val="10"/>
  </w:num>
  <w:num w:numId="16" w16cid:durableId="2053773683">
    <w:abstractNumId w:val="3"/>
  </w:num>
  <w:num w:numId="17" w16cid:durableId="1946034198">
    <w:abstractNumId w:val="0"/>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90"/>
  <w:hideSpellingErrors/>
  <w:hideGrammaticalErrors/>
  <w:proofState w:spelling="clean" w:grammar="clean"/>
  <w:attachedTemplate r:id="rId1"/>
  <w:stylePaneFormatFilter w:val="9704" w:allStyles="0" w:customStyles="0" w:latentStyles="1" w:stylesInUse="0" w:headingStyles="0" w:numberingStyles="0" w:tableStyles="0" w:directFormattingOnRuns="1" w:directFormattingOnParagraphs="1" w:directFormattingOnNumbering="1" w:directFormattingOnTables="0" w:clearFormatting="1" w:top3HeadingStyles="0" w:visibleStyles="0" w:alternateStyleNames="1"/>
  <w:stylePaneSortMethod w:val="0004"/>
  <w:defaultTabStop w:val="567"/>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E4E"/>
    <w:rsid w:val="000126D6"/>
    <w:rsid w:val="00012CAD"/>
    <w:rsid w:val="000134FE"/>
    <w:rsid w:val="0001356D"/>
    <w:rsid w:val="00024C73"/>
    <w:rsid w:val="00040D81"/>
    <w:rsid w:val="00046AF8"/>
    <w:rsid w:val="00050E8B"/>
    <w:rsid w:val="000623DB"/>
    <w:rsid w:val="00063EC5"/>
    <w:rsid w:val="00067CCE"/>
    <w:rsid w:val="00073B95"/>
    <w:rsid w:val="00076F45"/>
    <w:rsid w:val="000852B6"/>
    <w:rsid w:val="000919D4"/>
    <w:rsid w:val="00091EDD"/>
    <w:rsid w:val="000A21FE"/>
    <w:rsid w:val="000B62D3"/>
    <w:rsid w:val="000C4ABA"/>
    <w:rsid w:val="000E2C2F"/>
    <w:rsid w:val="00101A73"/>
    <w:rsid w:val="00140CB2"/>
    <w:rsid w:val="00154AB7"/>
    <w:rsid w:val="00171882"/>
    <w:rsid w:val="00172F20"/>
    <w:rsid w:val="00181F04"/>
    <w:rsid w:val="0018390F"/>
    <w:rsid w:val="0018783A"/>
    <w:rsid w:val="00190D28"/>
    <w:rsid w:val="001A3FDE"/>
    <w:rsid w:val="001D17A2"/>
    <w:rsid w:val="001E3F0A"/>
    <w:rsid w:val="001F3F89"/>
    <w:rsid w:val="00204A19"/>
    <w:rsid w:val="00216C9B"/>
    <w:rsid w:val="002203EC"/>
    <w:rsid w:val="00235916"/>
    <w:rsid w:val="00242092"/>
    <w:rsid w:val="00251AA3"/>
    <w:rsid w:val="00267FDF"/>
    <w:rsid w:val="00281FEA"/>
    <w:rsid w:val="002909B5"/>
    <w:rsid w:val="00293985"/>
    <w:rsid w:val="002A2709"/>
    <w:rsid w:val="002A3D0E"/>
    <w:rsid w:val="002A7912"/>
    <w:rsid w:val="002D34A2"/>
    <w:rsid w:val="002D489B"/>
    <w:rsid w:val="002D7D2F"/>
    <w:rsid w:val="002F2965"/>
    <w:rsid w:val="002F2FF2"/>
    <w:rsid w:val="002F3A2B"/>
    <w:rsid w:val="003054BF"/>
    <w:rsid w:val="00321BB9"/>
    <w:rsid w:val="00330284"/>
    <w:rsid w:val="0034090D"/>
    <w:rsid w:val="003533A6"/>
    <w:rsid w:val="003703DD"/>
    <w:rsid w:val="00374FDC"/>
    <w:rsid w:val="00394461"/>
    <w:rsid w:val="003B4322"/>
    <w:rsid w:val="003C73AE"/>
    <w:rsid w:val="003D3DDE"/>
    <w:rsid w:val="003E0083"/>
    <w:rsid w:val="003F021E"/>
    <w:rsid w:val="003F49A6"/>
    <w:rsid w:val="0042018F"/>
    <w:rsid w:val="004207B9"/>
    <w:rsid w:val="00435625"/>
    <w:rsid w:val="00444D2D"/>
    <w:rsid w:val="004473C8"/>
    <w:rsid w:val="004478BB"/>
    <w:rsid w:val="00452DBC"/>
    <w:rsid w:val="0046251B"/>
    <w:rsid w:val="00482035"/>
    <w:rsid w:val="00485A2E"/>
    <w:rsid w:val="00486E3B"/>
    <w:rsid w:val="00492B82"/>
    <w:rsid w:val="00492FF4"/>
    <w:rsid w:val="004B1945"/>
    <w:rsid w:val="004B404F"/>
    <w:rsid w:val="004B5948"/>
    <w:rsid w:val="004C6FAE"/>
    <w:rsid w:val="004D56A9"/>
    <w:rsid w:val="004F108A"/>
    <w:rsid w:val="00503AD7"/>
    <w:rsid w:val="005075D9"/>
    <w:rsid w:val="00511F74"/>
    <w:rsid w:val="005241D3"/>
    <w:rsid w:val="005356D0"/>
    <w:rsid w:val="00545452"/>
    <w:rsid w:val="00546311"/>
    <w:rsid w:val="00554223"/>
    <w:rsid w:val="00560347"/>
    <w:rsid w:val="00567279"/>
    <w:rsid w:val="00572ECD"/>
    <w:rsid w:val="0057777A"/>
    <w:rsid w:val="00596985"/>
    <w:rsid w:val="005A3D7D"/>
    <w:rsid w:val="005B366A"/>
    <w:rsid w:val="005B4843"/>
    <w:rsid w:val="005B5D84"/>
    <w:rsid w:val="005B5DD8"/>
    <w:rsid w:val="005C435D"/>
    <w:rsid w:val="005F07A0"/>
    <w:rsid w:val="00601688"/>
    <w:rsid w:val="00650A5D"/>
    <w:rsid w:val="0067263C"/>
    <w:rsid w:val="0067596A"/>
    <w:rsid w:val="006763E1"/>
    <w:rsid w:val="0068573B"/>
    <w:rsid w:val="006902D2"/>
    <w:rsid w:val="00692703"/>
    <w:rsid w:val="00692EE8"/>
    <w:rsid w:val="006A257D"/>
    <w:rsid w:val="006B4C1E"/>
    <w:rsid w:val="006D1AE9"/>
    <w:rsid w:val="006E4323"/>
    <w:rsid w:val="006F44A2"/>
    <w:rsid w:val="006F7B3D"/>
    <w:rsid w:val="00715DBD"/>
    <w:rsid w:val="00723604"/>
    <w:rsid w:val="00731467"/>
    <w:rsid w:val="00737BE9"/>
    <w:rsid w:val="00737DCA"/>
    <w:rsid w:val="00747BA3"/>
    <w:rsid w:val="007617E3"/>
    <w:rsid w:val="007777F6"/>
    <w:rsid w:val="00794876"/>
    <w:rsid w:val="00794CEF"/>
    <w:rsid w:val="007A6B20"/>
    <w:rsid w:val="007B1D1E"/>
    <w:rsid w:val="007B55B4"/>
    <w:rsid w:val="007B5787"/>
    <w:rsid w:val="007E0CD4"/>
    <w:rsid w:val="007E45D3"/>
    <w:rsid w:val="007E5D9B"/>
    <w:rsid w:val="007E6613"/>
    <w:rsid w:val="007F00CE"/>
    <w:rsid w:val="007F7402"/>
    <w:rsid w:val="00805CF7"/>
    <w:rsid w:val="008113E9"/>
    <w:rsid w:val="00812BEF"/>
    <w:rsid w:val="00817400"/>
    <w:rsid w:val="00831DDA"/>
    <w:rsid w:val="00832E05"/>
    <w:rsid w:val="0084404D"/>
    <w:rsid w:val="00846D66"/>
    <w:rsid w:val="0084760C"/>
    <w:rsid w:val="00850F61"/>
    <w:rsid w:val="00873D82"/>
    <w:rsid w:val="00875BA4"/>
    <w:rsid w:val="0088793C"/>
    <w:rsid w:val="008938DB"/>
    <w:rsid w:val="008A05EE"/>
    <w:rsid w:val="008A7368"/>
    <w:rsid w:val="008C0F00"/>
    <w:rsid w:val="008D375B"/>
    <w:rsid w:val="008D4272"/>
    <w:rsid w:val="008D45CD"/>
    <w:rsid w:val="008E08B2"/>
    <w:rsid w:val="008E64C0"/>
    <w:rsid w:val="008F1000"/>
    <w:rsid w:val="008F15FD"/>
    <w:rsid w:val="008F1746"/>
    <w:rsid w:val="008F79AE"/>
    <w:rsid w:val="00900DEE"/>
    <w:rsid w:val="00901C93"/>
    <w:rsid w:val="00910872"/>
    <w:rsid w:val="0091457F"/>
    <w:rsid w:val="00923EA4"/>
    <w:rsid w:val="00924579"/>
    <w:rsid w:val="00936D2C"/>
    <w:rsid w:val="0094184C"/>
    <w:rsid w:val="009512DA"/>
    <w:rsid w:val="00954EB3"/>
    <w:rsid w:val="00955CFE"/>
    <w:rsid w:val="00966CEB"/>
    <w:rsid w:val="00984F2A"/>
    <w:rsid w:val="009868A8"/>
    <w:rsid w:val="009A127C"/>
    <w:rsid w:val="009A496D"/>
    <w:rsid w:val="009A4AED"/>
    <w:rsid w:val="009B024D"/>
    <w:rsid w:val="009C476A"/>
    <w:rsid w:val="009C6CFA"/>
    <w:rsid w:val="009D1120"/>
    <w:rsid w:val="009E5987"/>
    <w:rsid w:val="00A1201C"/>
    <w:rsid w:val="00A13321"/>
    <w:rsid w:val="00A250D6"/>
    <w:rsid w:val="00A35033"/>
    <w:rsid w:val="00A37FFC"/>
    <w:rsid w:val="00A51CDC"/>
    <w:rsid w:val="00A60320"/>
    <w:rsid w:val="00A63DCB"/>
    <w:rsid w:val="00A67B95"/>
    <w:rsid w:val="00A77553"/>
    <w:rsid w:val="00A82D38"/>
    <w:rsid w:val="00A9280E"/>
    <w:rsid w:val="00AA320A"/>
    <w:rsid w:val="00AE2692"/>
    <w:rsid w:val="00B01571"/>
    <w:rsid w:val="00B02107"/>
    <w:rsid w:val="00B0588B"/>
    <w:rsid w:val="00B1179E"/>
    <w:rsid w:val="00B15F3B"/>
    <w:rsid w:val="00B31724"/>
    <w:rsid w:val="00B4496A"/>
    <w:rsid w:val="00B44A61"/>
    <w:rsid w:val="00B46CA8"/>
    <w:rsid w:val="00B54845"/>
    <w:rsid w:val="00B56ABB"/>
    <w:rsid w:val="00B608ED"/>
    <w:rsid w:val="00B65437"/>
    <w:rsid w:val="00B66564"/>
    <w:rsid w:val="00B67177"/>
    <w:rsid w:val="00B70360"/>
    <w:rsid w:val="00B86906"/>
    <w:rsid w:val="00B94111"/>
    <w:rsid w:val="00BB1F42"/>
    <w:rsid w:val="00BB29BA"/>
    <w:rsid w:val="00BB35E9"/>
    <w:rsid w:val="00BC1C7D"/>
    <w:rsid w:val="00BD5745"/>
    <w:rsid w:val="00BE0BE9"/>
    <w:rsid w:val="00C0623C"/>
    <w:rsid w:val="00C074A1"/>
    <w:rsid w:val="00C12AC8"/>
    <w:rsid w:val="00C26415"/>
    <w:rsid w:val="00C27875"/>
    <w:rsid w:val="00C358A6"/>
    <w:rsid w:val="00C371CC"/>
    <w:rsid w:val="00C37DC0"/>
    <w:rsid w:val="00C40E01"/>
    <w:rsid w:val="00C4248B"/>
    <w:rsid w:val="00C434F5"/>
    <w:rsid w:val="00C55332"/>
    <w:rsid w:val="00C61610"/>
    <w:rsid w:val="00C622B1"/>
    <w:rsid w:val="00C6493C"/>
    <w:rsid w:val="00C85784"/>
    <w:rsid w:val="00CA455D"/>
    <w:rsid w:val="00CA4F8B"/>
    <w:rsid w:val="00CB03AE"/>
    <w:rsid w:val="00CB5194"/>
    <w:rsid w:val="00CB6F7C"/>
    <w:rsid w:val="00CC196A"/>
    <w:rsid w:val="00CC58D5"/>
    <w:rsid w:val="00CE0A90"/>
    <w:rsid w:val="00CE0CFA"/>
    <w:rsid w:val="00D242AE"/>
    <w:rsid w:val="00D310FD"/>
    <w:rsid w:val="00D34E36"/>
    <w:rsid w:val="00D37356"/>
    <w:rsid w:val="00D61569"/>
    <w:rsid w:val="00D62542"/>
    <w:rsid w:val="00D77F76"/>
    <w:rsid w:val="00D8103A"/>
    <w:rsid w:val="00D82E4E"/>
    <w:rsid w:val="00D840FD"/>
    <w:rsid w:val="00D91F41"/>
    <w:rsid w:val="00DB782F"/>
    <w:rsid w:val="00DC0880"/>
    <w:rsid w:val="00DC6AD5"/>
    <w:rsid w:val="00DC7CAF"/>
    <w:rsid w:val="00DD7258"/>
    <w:rsid w:val="00DE0712"/>
    <w:rsid w:val="00DF29E6"/>
    <w:rsid w:val="00E044A0"/>
    <w:rsid w:val="00E40381"/>
    <w:rsid w:val="00E4305A"/>
    <w:rsid w:val="00E43405"/>
    <w:rsid w:val="00E434E1"/>
    <w:rsid w:val="00E712EE"/>
    <w:rsid w:val="00E74A3E"/>
    <w:rsid w:val="00E91489"/>
    <w:rsid w:val="00EA3B4D"/>
    <w:rsid w:val="00EB21D5"/>
    <w:rsid w:val="00EB3C3D"/>
    <w:rsid w:val="00ED7449"/>
    <w:rsid w:val="00EF3327"/>
    <w:rsid w:val="00EF4EAD"/>
    <w:rsid w:val="00EF6437"/>
    <w:rsid w:val="00F06129"/>
    <w:rsid w:val="00F12B31"/>
    <w:rsid w:val="00F1727E"/>
    <w:rsid w:val="00F17E91"/>
    <w:rsid w:val="00F26233"/>
    <w:rsid w:val="00F266F9"/>
    <w:rsid w:val="00F353AC"/>
    <w:rsid w:val="00F3649F"/>
    <w:rsid w:val="00F518AD"/>
    <w:rsid w:val="00F52CEB"/>
    <w:rsid w:val="00F67C32"/>
    <w:rsid w:val="00F77ECC"/>
    <w:rsid w:val="00F82919"/>
    <w:rsid w:val="00F872AD"/>
    <w:rsid w:val="00FA5628"/>
    <w:rsid w:val="00FC76B9"/>
    <w:rsid w:val="00FD0817"/>
    <w:rsid w:val="00FD1276"/>
    <w:rsid w:val="00FD24F6"/>
    <w:rsid w:val="00FD6042"/>
    <w:rsid w:val="00FD6F82"/>
    <w:rsid w:val="00FE56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FAFEF9"/>
  <w15:chartTrackingRefBased/>
  <w15:docId w15:val="{A18818FC-A2C2-46DC-8667-04E78E0409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locked="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1" w:uiPriority="33"/>
    <w:lsdException w:name="Bibliography" w:semiHidden="1" w:uiPriority="37" w:unhideWhenUsed="1"/>
    <w:lsdException w:name="TOC Heading" w:semiHidden="1" w:uiPriority="39" w:unhideWhenUsed="1" w:qFormat="1"/>
    <w:lsdException w:name="Plain Table 1" w:locked="1" w:uiPriority="41"/>
    <w:lsdException w:name="Plain Table 2" w:locked="1" w:uiPriority="42"/>
    <w:lsdException w:name="Plain Table 3" w:locked="1" w:uiPriority="43"/>
    <w:lsdException w:name="Plain Table 4" w:locked="1" w:uiPriority="44"/>
    <w:lsdException w:name="Plain Table 5" w:locked="1" w:uiPriority="45"/>
    <w:lsdException w:name="Grid Table Light" w:locked="1" w:uiPriority="40"/>
    <w:lsdException w:name="Grid Table 1 Light" w:uiPriority="46"/>
    <w:lsdException w:name="Grid Table 2" w:locked="1" w:uiPriority="47"/>
    <w:lsdException w:name="Grid Table 3" w:locked="1" w:uiPriority="48"/>
    <w:lsdException w:name="Grid Table 4" w:locked="1" w:uiPriority="49"/>
    <w:lsdException w:name="Grid Table 5 Dark" w:locked="1" w:uiPriority="50"/>
    <w:lsdException w:name="Grid Table 6 Colorful" w:locked="1" w:uiPriority="51"/>
    <w:lsdException w:name="Grid Table 7 Colorful" w:locked="1" w:uiPriority="52"/>
    <w:lsdException w:name="Grid Table 1 Light Accent 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locked="1" w:uiPriority="47"/>
    <w:lsdException w:name="Grid Table 3 Accent 5" w:locked="1" w:uiPriority="48"/>
    <w:lsdException w:name="Grid Table 4 Accent 5" w:locked="1" w:uiPriority="49"/>
    <w:lsdException w:name="Grid Table 5 Dark Accent 5" w:locked="1" w:uiPriority="50"/>
    <w:lsdException w:name="Grid Table 6 Colorful Accent 5" w:locked="1" w:uiPriority="51"/>
    <w:lsdException w:name="Grid Table 7 Colorful Accent 5" w:locked="1" w:uiPriority="52"/>
    <w:lsdException w:name="Grid Table 1 Light Accent 6"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locked="1" w:uiPriority="46"/>
    <w:lsdException w:name="List Table 2" w:locked="1" w:uiPriority="47"/>
    <w:lsdException w:name="List Table 3" w:locked="1" w:uiPriority="48"/>
    <w:lsdException w:name="List Table 4" w:locked="1" w:uiPriority="49"/>
    <w:lsdException w:name="List Table 5 Dark" w:locked="1" w:uiPriority="50"/>
    <w:lsdException w:name="List Table 6 Colorful" w:locked="1" w:uiPriority="51"/>
    <w:lsdException w:name="List Table 7 Colorful" w:locked="1"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locked="1" w:uiPriority="46"/>
    <w:lsdException w:name="List Table 2 Accent 5" w:locked="1" w:uiPriority="47"/>
    <w:lsdException w:name="List Table 3 Accent 5" w:locked="1" w:uiPriority="48"/>
    <w:lsdException w:name="List Table 4 Accent 5" w:locked="1" w:uiPriority="49"/>
    <w:lsdException w:name="List Table 5 Dark Accent 5" w:locked="1" w:uiPriority="50"/>
    <w:lsdException w:name="List Table 6 Colorful Accent 5" w:locked="1" w:uiPriority="51"/>
    <w:lsdException w:name="List Table 7 Colorful Accent 5" w:locked="1"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3E9"/>
    <w:pPr>
      <w:suppressAutoHyphens/>
      <w:spacing w:before="160" w:after="240" w:line="320" w:lineRule="atLeast"/>
    </w:pPr>
    <w:rPr>
      <w:rFonts w:ascii="Arial" w:hAnsi="Arial"/>
      <w:color w:val="2F2F2F" w:themeColor="text1" w:themeTint="E6"/>
      <w:sz w:val="24"/>
    </w:rPr>
  </w:style>
  <w:style w:type="paragraph" w:styleId="Heading1">
    <w:name w:val="heading 1"/>
    <w:basedOn w:val="Normal"/>
    <w:next w:val="Normal"/>
    <w:link w:val="Heading1Char"/>
    <w:uiPriority w:val="9"/>
    <w:qFormat/>
    <w:rsid w:val="00486E3B"/>
    <w:pPr>
      <w:keepNext/>
      <w:keepLines/>
      <w:spacing w:before="480" w:line="680" w:lineRule="atLeast"/>
      <w:outlineLvl w:val="0"/>
    </w:pPr>
    <w:rPr>
      <w:rFonts w:eastAsiaTheme="majorEastAsia" w:cstheme="majorBidi"/>
      <w:color w:val="003E69"/>
      <w:sz w:val="60"/>
      <w:szCs w:val="36"/>
    </w:rPr>
  </w:style>
  <w:style w:type="paragraph" w:styleId="Heading2">
    <w:name w:val="heading 2"/>
    <w:basedOn w:val="Heading1"/>
    <w:next w:val="Normal"/>
    <w:link w:val="Heading2Char"/>
    <w:uiPriority w:val="9"/>
    <w:unhideWhenUsed/>
    <w:qFormat/>
    <w:rsid w:val="003054BF"/>
    <w:pPr>
      <w:spacing w:line="520" w:lineRule="atLeast"/>
      <w:outlineLvl w:val="1"/>
    </w:pPr>
    <w:rPr>
      <w:color w:val="0B1824" w:themeColor="background2" w:themeShade="1A"/>
      <w:sz w:val="44"/>
      <w:szCs w:val="32"/>
    </w:rPr>
  </w:style>
  <w:style w:type="paragraph" w:styleId="Heading3">
    <w:name w:val="heading 3"/>
    <w:basedOn w:val="Heading1"/>
    <w:next w:val="Normal"/>
    <w:link w:val="Heading3Char"/>
    <w:uiPriority w:val="9"/>
    <w:unhideWhenUsed/>
    <w:qFormat/>
    <w:rsid w:val="008F1000"/>
    <w:pPr>
      <w:spacing w:line="440" w:lineRule="atLeast"/>
      <w:outlineLvl w:val="2"/>
    </w:pPr>
    <w:rPr>
      <w:sz w:val="36"/>
      <w:szCs w:val="28"/>
    </w:rPr>
  </w:style>
  <w:style w:type="paragraph" w:styleId="Heading4">
    <w:name w:val="heading 4"/>
    <w:basedOn w:val="Heading1"/>
    <w:next w:val="Normal"/>
    <w:link w:val="Heading4Char"/>
    <w:autoRedefine/>
    <w:uiPriority w:val="9"/>
    <w:unhideWhenUsed/>
    <w:qFormat/>
    <w:rsid w:val="005B5DD8"/>
    <w:pPr>
      <w:spacing w:line="360" w:lineRule="atLeast"/>
      <w:outlineLvl w:val="3"/>
    </w:pPr>
    <w:rPr>
      <w:color w:val="002549" w:themeColor="accent1"/>
      <w:sz w:val="28"/>
      <w:szCs w:val="24"/>
    </w:rPr>
  </w:style>
  <w:style w:type="paragraph" w:styleId="Heading5">
    <w:name w:val="heading 5"/>
    <w:basedOn w:val="Normal"/>
    <w:next w:val="Normal"/>
    <w:link w:val="Heading5Char"/>
    <w:uiPriority w:val="9"/>
    <w:unhideWhenUsed/>
    <w:qFormat/>
    <w:rsid w:val="005B5DD8"/>
    <w:pPr>
      <w:keepNext/>
      <w:keepLines/>
      <w:spacing w:before="480"/>
      <w:outlineLvl w:val="4"/>
    </w:pPr>
    <w:rPr>
      <w:rFonts w:asciiTheme="majorHAnsi" w:eastAsiaTheme="majorEastAsia" w:hAnsiTheme="majorHAnsi" w:cstheme="majorBidi"/>
      <w:b/>
      <w:color w:val="001224" w:themeColor="text2"/>
    </w:rPr>
  </w:style>
  <w:style w:type="paragraph" w:styleId="Heading6">
    <w:name w:val="heading 6"/>
    <w:basedOn w:val="Normal"/>
    <w:next w:val="Normal"/>
    <w:link w:val="Heading6Char"/>
    <w:uiPriority w:val="9"/>
    <w:unhideWhenUsed/>
    <w:qFormat/>
    <w:rsid w:val="00B56ABB"/>
    <w:pPr>
      <w:keepNext/>
      <w:keepLines/>
      <w:spacing w:before="40"/>
      <w:outlineLvl w:val="5"/>
    </w:pPr>
    <w:rPr>
      <w:rFonts w:asciiTheme="majorHAnsi" w:eastAsiaTheme="majorEastAsia" w:hAnsiTheme="majorHAnsi" w:cstheme="majorBidi"/>
      <w:i/>
      <w:iCs/>
      <w:caps/>
      <w:color w:val="001224" w:themeColor="accent1" w:themeShade="80"/>
    </w:rPr>
  </w:style>
  <w:style w:type="paragraph" w:styleId="Heading7">
    <w:name w:val="heading 7"/>
    <w:basedOn w:val="Normal"/>
    <w:next w:val="Normal"/>
    <w:link w:val="Heading7Char"/>
    <w:uiPriority w:val="9"/>
    <w:semiHidden/>
    <w:unhideWhenUsed/>
    <w:qFormat/>
    <w:rsid w:val="00B56ABB"/>
    <w:pPr>
      <w:keepNext/>
      <w:keepLines/>
      <w:spacing w:before="40"/>
      <w:outlineLvl w:val="6"/>
    </w:pPr>
    <w:rPr>
      <w:rFonts w:asciiTheme="majorHAnsi" w:eastAsiaTheme="majorEastAsia" w:hAnsiTheme="majorHAnsi" w:cstheme="majorBidi"/>
      <w:b/>
      <w:bCs/>
      <w:color w:val="001224" w:themeColor="accent1" w:themeShade="80"/>
    </w:rPr>
  </w:style>
  <w:style w:type="paragraph" w:styleId="Heading8">
    <w:name w:val="heading 8"/>
    <w:basedOn w:val="Normal"/>
    <w:next w:val="Normal"/>
    <w:link w:val="Heading8Char"/>
    <w:uiPriority w:val="9"/>
    <w:semiHidden/>
    <w:unhideWhenUsed/>
    <w:qFormat/>
    <w:rsid w:val="00B56ABB"/>
    <w:pPr>
      <w:keepNext/>
      <w:keepLines/>
      <w:spacing w:before="40"/>
      <w:outlineLvl w:val="7"/>
    </w:pPr>
    <w:rPr>
      <w:rFonts w:asciiTheme="majorHAnsi" w:eastAsiaTheme="majorEastAsia" w:hAnsiTheme="majorHAnsi" w:cstheme="majorBidi"/>
      <w:b/>
      <w:bCs/>
      <w:i/>
      <w:iCs/>
      <w:color w:val="001224" w:themeColor="accent1" w:themeShade="80"/>
    </w:rPr>
  </w:style>
  <w:style w:type="paragraph" w:styleId="Heading9">
    <w:name w:val="heading 9"/>
    <w:basedOn w:val="Normal"/>
    <w:next w:val="Normal"/>
    <w:link w:val="Heading9Char"/>
    <w:uiPriority w:val="9"/>
    <w:semiHidden/>
    <w:unhideWhenUsed/>
    <w:qFormat/>
    <w:rsid w:val="00B56ABB"/>
    <w:pPr>
      <w:keepNext/>
      <w:keepLines/>
      <w:spacing w:before="40"/>
      <w:outlineLvl w:val="8"/>
    </w:pPr>
    <w:rPr>
      <w:rFonts w:asciiTheme="majorHAnsi" w:eastAsiaTheme="majorEastAsia" w:hAnsiTheme="majorHAnsi" w:cstheme="majorBidi"/>
      <w:i/>
      <w:iCs/>
      <w:color w:val="001224"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uiPriority w:val="99"/>
    <w:unhideWhenUsed/>
    <w:rsid w:val="00A51CDC"/>
    <w:pPr>
      <w:framePr w:wrap="around" w:vAnchor="text" w:hAnchor="text" w:y="1"/>
      <w:pBdr>
        <w:top w:val="single" w:sz="2" w:space="8" w:color="C5C5C5" w:themeColor="text1" w:themeTint="40"/>
        <w:left w:val="single" w:sz="2" w:space="8" w:color="C5C5C5" w:themeColor="text1" w:themeTint="40"/>
        <w:bottom w:val="single" w:sz="2" w:space="8" w:color="C5C5C5" w:themeColor="text1" w:themeTint="40"/>
        <w:right w:val="single" w:sz="2" w:space="8" w:color="C5C5C5" w:themeColor="text1" w:themeTint="40"/>
      </w:pBdr>
      <w:ind w:left="640" w:right="640"/>
    </w:pPr>
    <w:rPr>
      <w:rFonts w:asciiTheme="minorHAnsi" w:eastAsiaTheme="minorEastAsia" w:hAnsiTheme="minorHAnsi"/>
      <w:iCs/>
      <w:color w:val="0B1824" w:themeColor="background2" w:themeShade="1A"/>
    </w:rPr>
  </w:style>
  <w:style w:type="paragraph" w:styleId="MessageHeader">
    <w:name w:val="Message Header"/>
    <w:basedOn w:val="Normal"/>
    <w:link w:val="MessageHeaderChar"/>
    <w:uiPriority w:val="99"/>
    <w:unhideWhenUsed/>
    <w:rsid w:val="00A51CDC"/>
    <w:pPr>
      <w:pBdr>
        <w:top w:val="single" w:sz="6" w:space="8" w:color="C5C5C5" w:themeColor="text1" w:themeTint="40"/>
        <w:left w:val="single" w:sz="6" w:space="8" w:color="C5C5C5" w:themeColor="text1" w:themeTint="40"/>
        <w:bottom w:val="single" w:sz="6" w:space="8" w:color="C5C5C5" w:themeColor="text1" w:themeTint="40"/>
        <w:right w:val="single" w:sz="6" w:space="8" w:color="C5C5C5" w:themeColor="text1" w:themeTint="40"/>
      </w:pBdr>
      <w:shd w:val="clear" w:color="auto" w:fill="E5EEF7" w:themeFill="background2"/>
      <w:spacing w:before="480" w:after="480"/>
    </w:pPr>
    <w:rPr>
      <w:rFonts w:asciiTheme="majorHAnsi" w:eastAsiaTheme="majorEastAsia" w:hAnsiTheme="majorHAnsi" w:cstheme="majorBidi"/>
      <w:szCs w:val="24"/>
    </w:rPr>
  </w:style>
  <w:style w:type="paragraph" w:styleId="Footer">
    <w:name w:val="footer"/>
    <w:basedOn w:val="Normal"/>
    <w:link w:val="FooterChar"/>
    <w:uiPriority w:val="99"/>
    <w:unhideWhenUsed/>
    <w:rsid w:val="00D37356"/>
    <w:pPr>
      <w:tabs>
        <w:tab w:val="center" w:pos="4536"/>
        <w:tab w:val="right" w:pos="9072"/>
      </w:tabs>
      <w:spacing w:after="160" w:line="280" w:lineRule="exact"/>
    </w:pPr>
    <w:rPr>
      <w:color w:val="525252" w:themeColor="text1" w:themeTint="BF"/>
      <w:sz w:val="20"/>
    </w:rPr>
  </w:style>
  <w:style w:type="character" w:customStyle="1" w:styleId="FooterChar">
    <w:name w:val="Footer Char"/>
    <w:basedOn w:val="DefaultParagraphFont"/>
    <w:link w:val="Footer"/>
    <w:uiPriority w:val="99"/>
    <w:rsid w:val="000126D6"/>
    <w:rPr>
      <w:rFonts w:ascii="Arial" w:hAnsi="Arial"/>
      <w:color w:val="525252" w:themeColor="text1" w:themeTint="BF"/>
      <w:sz w:val="20"/>
    </w:rPr>
  </w:style>
  <w:style w:type="paragraph" w:styleId="Header">
    <w:name w:val="header"/>
    <w:basedOn w:val="Footer"/>
    <w:link w:val="HeaderChar"/>
    <w:uiPriority w:val="99"/>
    <w:unhideWhenUsed/>
    <w:rsid w:val="003054BF"/>
  </w:style>
  <w:style w:type="character" w:customStyle="1" w:styleId="HeaderChar">
    <w:name w:val="Header Char"/>
    <w:basedOn w:val="DefaultParagraphFont"/>
    <w:link w:val="Header"/>
    <w:uiPriority w:val="99"/>
    <w:rsid w:val="003054BF"/>
    <w:rPr>
      <w:rFonts w:ascii="Arial" w:hAnsi="Arial"/>
      <w:color w:val="525252" w:themeColor="text1" w:themeTint="BF"/>
      <w:sz w:val="20"/>
    </w:rPr>
  </w:style>
  <w:style w:type="paragraph" w:customStyle="1" w:styleId="Header2">
    <w:name w:val="Header 2"/>
    <w:basedOn w:val="Footer"/>
    <w:link w:val="Header2Char"/>
    <w:rsid w:val="00D37356"/>
  </w:style>
  <w:style w:type="character" w:customStyle="1" w:styleId="Header2Char">
    <w:name w:val="Header 2 Char"/>
    <w:basedOn w:val="DefaultParagraphFont"/>
    <w:link w:val="Header2"/>
    <w:rsid w:val="00D37356"/>
    <w:rPr>
      <w:rFonts w:ascii="Arial" w:hAnsi="Arial"/>
      <w:color w:val="525252" w:themeColor="text1" w:themeTint="BF"/>
      <w:sz w:val="20"/>
    </w:rPr>
  </w:style>
  <w:style w:type="paragraph" w:customStyle="1" w:styleId="Footer2">
    <w:name w:val="Footer 2"/>
    <w:basedOn w:val="Footer"/>
    <w:link w:val="Footer2Char"/>
    <w:rsid w:val="003054BF"/>
  </w:style>
  <w:style w:type="character" w:customStyle="1" w:styleId="Footer2Char">
    <w:name w:val="Footer 2 Char"/>
    <w:basedOn w:val="DefaultParagraphFont"/>
    <w:link w:val="Footer2"/>
    <w:rsid w:val="003054BF"/>
    <w:rPr>
      <w:rFonts w:ascii="Arial" w:hAnsi="Arial"/>
      <w:color w:val="525252" w:themeColor="text1" w:themeTint="BF"/>
      <w:sz w:val="20"/>
    </w:rPr>
  </w:style>
  <w:style w:type="paragraph" w:styleId="ListNumber">
    <w:name w:val="List Number"/>
    <w:basedOn w:val="Normal"/>
    <w:uiPriority w:val="99"/>
    <w:unhideWhenUsed/>
    <w:rsid w:val="00F82919"/>
    <w:pPr>
      <w:numPr>
        <w:numId w:val="1"/>
      </w:numPr>
      <w:tabs>
        <w:tab w:val="num" w:pos="320"/>
      </w:tabs>
      <w:spacing w:before="0" w:after="0"/>
      <w:ind w:left="318" w:hanging="318"/>
      <w:contextualSpacing/>
    </w:pPr>
  </w:style>
  <w:style w:type="paragraph" w:styleId="ListNumber2">
    <w:name w:val="List Number 2"/>
    <w:basedOn w:val="Normal"/>
    <w:uiPriority w:val="99"/>
    <w:unhideWhenUsed/>
    <w:rsid w:val="00F82919"/>
    <w:pPr>
      <w:numPr>
        <w:ilvl w:val="1"/>
        <w:numId w:val="1"/>
      </w:numPr>
      <w:tabs>
        <w:tab w:val="num" w:pos="320"/>
      </w:tabs>
      <w:spacing w:before="0" w:after="0"/>
      <w:ind w:left="879" w:hanging="561"/>
      <w:contextualSpacing/>
    </w:pPr>
  </w:style>
  <w:style w:type="paragraph" w:styleId="ListNumber3">
    <w:name w:val="List Number 3"/>
    <w:basedOn w:val="Normal"/>
    <w:uiPriority w:val="99"/>
    <w:unhideWhenUsed/>
    <w:rsid w:val="00F82919"/>
    <w:pPr>
      <w:numPr>
        <w:ilvl w:val="2"/>
        <w:numId w:val="1"/>
      </w:numPr>
      <w:spacing w:before="0" w:after="0"/>
      <w:ind w:left="1446"/>
      <w:contextualSpacing/>
    </w:pPr>
  </w:style>
  <w:style w:type="paragraph" w:styleId="ListBullet">
    <w:name w:val="List Bullet"/>
    <w:basedOn w:val="Normal"/>
    <w:uiPriority w:val="99"/>
    <w:unhideWhenUsed/>
    <w:rsid w:val="005B5DD8"/>
    <w:pPr>
      <w:numPr>
        <w:numId w:val="4"/>
      </w:numPr>
      <w:spacing w:before="0" w:after="0"/>
      <w:ind w:left="357" w:hanging="357"/>
      <w:contextualSpacing/>
    </w:pPr>
    <w:rPr>
      <w:lang w:eastAsia="en-AU"/>
    </w:rPr>
  </w:style>
  <w:style w:type="paragraph" w:styleId="ListBullet2">
    <w:name w:val="List Bullet 2"/>
    <w:basedOn w:val="Normal"/>
    <w:uiPriority w:val="99"/>
    <w:unhideWhenUsed/>
    <w:rsid w:val="005B5DD8"/>
    <w:pPr>
      <w:numPr>
        <w:numId w:val="2"/>
      </w:numPr>
      <w:tabs>
        <w:tab w:val="left" w:pos="160"/>
      </w:tabs>
      <w:spacing w:before="0" w:after="0"/>
      <w:ind w:left="918" w:hanging="357"/>
      <w:contextualSpacing/>
    </w:pPr>
  </w:style>
  <w:style w:type="paragraph" w:styleId="ListBullet3">
    <w:name w:val="List Bullet 3"/>
    <w:basedOn w:val="Normal"/>
    <w:autoRedefine/>
    <w:uiPriority w:val="99"/>
    <w:unhideWhenUsed/>
    <w:rsid w:val="005B5DD8"/>
    <w:pPr>
      <w:numPr>
        <w:numId w:val="3"/>
      </w:numPr>
      <w:tabs>
        <w:tab w:val="num" w:pos="1701"/>
      </w:tabs>
      <w:spacing w:before="0" w:after="0"/>
      <w:ind w:left="1236" w:hanging="357"/>
      <w:contextualSpacing/>
    </w:pPr>
  </w:style>
  <w:style w:type="paragraph" w:styleId="EnvelopeAddress">
    <w:name w:val="envelope address"/>
    <w:basedOn w:val="Normal"/>
    <w:uiPriority w:val="99"/>
    <w:semiHidden/>
    <w:unhideWhenUsed/>
    <w:rsid w:val="00D37356"/>
    <w:pPr>
      <w:framePr w:w="7920" w:h="1980" w:hRule="exact" w:hSpace="180" w:wrap="auto" w:hAnchor="page" w:xAlign="center" w:yAlign="bottom"/>
      <w:ind w:left="2880"/>
    </w:pPr>
    <w:rPr>
      <w:rFonts w:ascii="Times New Roman" w:eastAsiaTheme="majorEastAsia" w:hAnsi="Times New Roman" w:cs="Times New Roman"/>
      <w:szCs w:val="24"/>
    </w:rPr>
  </w:style>
  <w:style w:type="character" w:customStyle="1" w:styleId="Heading1Char">
    <w:name w:val="Heading 1 Char"/>
    <w:basedOn w:val="DefaultParagraphFont"/>
    <w:link w:val="Heading1"/>
    <w:uiPriority w:val="9"/>
    <w:rsid w:val="00486E3B"/>
    <w:rPr>
      <w:rFonts w:ascii="Arial" w:eastAsiaTheme="majorEastAsia" w:hAnsi="Arial" w:cstheme="majorBidi"/>
      <w:color w:val="003E69"/>
      <w:sz w:val="60"/>
      <w:szCs w:val="36"/>
    </w:rPr>
  </w:style>
  <w:style w:type="character" w:customStyle="1" w:styleId="Heading3Char">
    <w:name w:val="Heading 3 Char"/>
    <w:basedOn w:val="DefaultParagraphFont"/>
    <w:link w:val="Heading3"/>
    <w:uiPriority w:val="9"/>
    <w:rsid w:val="008F1000"/>
    <w:rPr>
      <w:rFonts w:ascii="Arial" w:eastAsiaTheme="majorEastAsia" w:hAnsi="Arial" w:cstheme="majorBidi"/>
      <w:color w:val="003E69"/>
      <w:sz w:val="36"/>
      <w:szCs w:val="28"/>
    </w:rPr>
  </w:style>
  <w:style w:type="character" w:customStyle="1" w:styleId="Heading4Char">
    <w:name w:val="Heading 4 Char"/>
    <w:basedOn w:val="DefaultParagraphFont"/>
    <w:link w:val="Heading4"/>
    <w:uiPriority w:val="9"/>
    <w:rsid w:val="005B5DD8"/>
    <w:rPr>
      <w:rFonts w:ascii="Arial" w:eastAsiaTheme="majorEastAsia" w:hAnsi="Arial" w:cstheme="majorBidi"/>
      <w:color w:val="002549" w:themeColor="accent1"/>
      <w:sz w:val="28"/>
      <w:szCs w:val="24"/>
    </w:rPr>
  </w:style>
  <w:style w:type="character" w:styleId="IntenseEmphasis">
    <w:name w:val="Intense Emphasis"/>
    <w:basedOn w:val="DefaultParagraphFont"/>
    <w:uiPriority w:val="21"/>
    <w:qFormat/>
    <w:rsid w:val="00B56ABB"/>
    <w:rPr>
      <w:b/>
      <w:bCs/>
      <w:i/>
      <w:iCs/>
    </w:rPr>
  </w:style>
  <w:style w:type="paragraph" w:styleId="IntenseQuote">
    <w:name w:val="Intense Quote"/>
    <w:basedOn w:val="Normal"/>
    <w:next w:val="Normal"/>
    <w:link w:val="IntenseQuoteChar"/>
    <w:uiPriority w:val="30"/>
    <w:qFormat/>
    <w:rsid w:val="00A51CDC"/>
    <w:pPr>
      <w:spacing w:before="480" w:after="480" w:line="360" w:lineRule="atLeast"/>
      <w:jc w:val="center"/>
    </w:pPr>
    <w:rPr>
      <w:rFonts w:asciiTheme="majorHAnsi" w:eastAsiaTheme="majorEastAsia" w:hAnsiTheme="majorHAnsi" w:cstheme="majorBidi"/>
      <w:b/>
      <w:i/>
      <w:color w:val="001224" w:themeColor="text2"/>
      <w:spacing w:val="-6"/>
      <w:sz w:val="28"/>
      <w:szCs w:val="32"/>
    </w:rPr>
  </w:style>
  <w:style w:type="character" w:customStyle="1" w:styleId="IntenseQuoteChar">
    <w:name w:val="Intense Quote Char"/>
    <w:basedOn w:val="DefaultParagraphFont"/>
    <w:link w:val="IntenseQuote"/>
    <w:uiPriority w:val="30"/>
    <w:rsid w:val="00A51CDC"/>
    <w:rPr>
      <w:rFonts w:asciiTheme="majorHAnsi" w:eastAsiaTheme="majorEastAsia" w:hAnsiTheme="majorHAnsi" w:cstheme="majorBidi"/>
      <w:b/>
      <w:i/>
      <w:color w:val="001224" w:themeColor="text2"/>
      <w:spacing w:val="-6"/>
      <w:sz w:val="28"/>
      <w:szCs w:val="32"/>
    </w:rPr>
  </w:style>
  <w:style w:type="paragraph" w:styleId="ListParagraph">
    <w:name w:val="List Paragraph"/>
    <w:aliases w:val="Bullet points"/>
    <w:basedOn w:val="Normal"/>
    <w:link w:val="ListParagraphChar"/>
    <w:uiPriority w:val="34"/>
    <w:qFormat/>
    <w:rsid w:val="00B56ABB"/>
    <w:pPr>
      <w:ind w:left="720"/>
      <w:contextualSpacing/>
    </w:pPr>
  </w:style>
  <w:style w:type="character" w:customStyle="1" w:styleId="Heading2Char">
    <w:name w:val="Heading 2 Char"/>
    <w:basedOn w:val="DefaultParagraphFont"/>
    <w:link w:val="Heading2"/>
    <w:uiPriority w:val="9"/>
    <w:rsid w:val="003054BF"/>
    <w:rPr>
      <w:rFonts w:ascii="Arial" w:eastAsiaTheme="majorEastAsia" w:hAnsi="Arial" w:cstheme="majorBidi"/>
      <w:color w:val="0B1824" w:themeColor="background2" w:themeShade="1A"/>
      <w:sz w:val="44"/>
      <w:szCs w:val="32"/>
    </w:rPr>
  </w:style>
  <w:style w:type="character" w:customStyle="1" w:styleId="Heading5Char">
    <w:name w:val="Heading 5 Char"/>
    <w:basedOn w:val="DefaultParagraphFont"/>
    <w:link w:val="Heading5"/>
    <w:uiPriority w:val="9"/>
    <w:rsid w:val="005B5DD8"/>
    <w:rPr>
      <w:rFonts w:asciiTheme="majorHAnsi" w:eastAsiaTheme="majorEastAsia" w:hAnsiTheme="majorHAnsi" w:cstheme="majorBidi"/>
      <w:b/>
      <w:color w:val="001224" w:themeColor="text2"/>
      <w:sz w:val="24"/>
    </w:rPr>
  </w:style>
  <w:style w:type="character" w:customStyle="1" w:styleId="Heading6Char">
    <w:name w:val="Heading 6 Char"/>
    <w:basedOn w:val="DefaultParagraphFont"/>
    <w:link w:val="Heading6"/>
    <w:uiPriority w:val="9"/>
    <w:rsid w:val="00B56ABB"/>
    <w:rPr>
      <w:rFonts w:asciiTheme="majorHAnsi" w:eastAsiaTheme="majorEastAsia" w:hAnsiTheme="majorHAnsi" w:cstheme="majorBidi"/>
      <w:i/>
      <w:iCs/>
      <w:caps/>
      <w:color w:val="001224" w:themeColor="accent1" w:themeShade="80"/>
    </w:rPr>
  </w:style>
  <w:style w:type="character" w:customStyle="1" w:styleId="Heading7Char">
    <w:name w:val="Heading 7 Char"/>
    <w:basedOn w:val="DefaultParagraphFont"/>
    <w:link w:val="Heading7"/>
    <w:uiPriority w:val="9"/>
    <w:semiHidden/>
    <w:rsid w:val="00B56ABB"/>
    <w:rPr>
      <w:rFonts w:asciiTheme="majorHAnsi" w:eastAsiaTheme="majorEastAsia" w:hAnsiTheme="majorHAnsi" w:cstheme="majorBidi"/>
      <w:b/>
      <w:bCs/>
      <w:color w:val="001224" w:themeColor="accent1" w:themeShade="80"/>
    </w:rPr>
  </w:style>
  <w:style w:type="character" w:customStyle="1" w:styleId="Heading8Char">
    <w:name w:val="Heading 8 Char"/>
    <w:basedOn w:val="DefaultParagraphFont"/>
    <w:link w:val="Heading8"/>
    <w:uiPriority w:val="9"/>
    <w:semiHidden/>
    <w:rsid w:val="00B56ABB"/>
    <w:rPr>
      <w:rFonts w:asciiTheme="majorHAnsi" w:eastAsiaTheme="majorEastAsia" w:hAnsiTheme="majorHAnsi" w:cstheme="majorBidi"/>
      <w:b/>
      <w:bCs/>
      <w:i/>
      <w:iCs/>
      <w:color w:val="001224" w:themeColor="accent1" w:themeShade="80"/>
    </w:rPr>
  </w:style>
  <w:style w:type="character" w:customStyle="1" w:styleId="Heading9Char">
    <w:name w:val="Heading 9 Char"/>
    <w:basedOn w:val="DefaultParagraphFont"/>
    <w:link w:val="Heading9"/>
    <w:uiPriority w:val="9"/>
    <w:semiHidden/>
    <w:rsid w:val="00B56ABB"/>
    <w:rPr>
      <w:rFonts w:asciiTheme="majorHAnsi" w:eastAsiaTheme="majorEastAsia" w:hAnsiTheme="majorHAnsi" w:cstheme="majorBidi"/>
      <w:i/>
      <w:iCs/>
      <w:color w:val="001224" w:themeColor="accent1" w:themeShade="80"/>
    </w:rPr>
  </w:style>
  <w:style w:type="paragraph" w:styleId="Caption">
    <w:name w:val="caption"/>
    <w:basedOn w:val="Normal"/>
    <w:next w:val="Normal"/>
    <w:uiPriority w:val="99"/>
    <w:unhideWhenUsed/>
    <w:qFormat/>
    <w:rsid w:val="00BC1C7D"/>
    <w:pPr>
      <w:spacing w:before="0" w:line="280" w:lineRule="atLeast"/>
    </w:pPr>
    <w:rPr>
      <w:bCs/>
      <w:color w:val="4D4D4D"/>
      <w:sz w:val="20"/>
    </w:rPr>
  </w:style>
  <w:style w:type="paragraph" w:styleId="Subtitle">
    <w:name w:val="Subtitle"/>
    <w:basedOn w:val="Normal"/>
    <w:next w:val="Normal"/>
    <w:link w:val="SubtitleChar"/>
    <w:uiPriority w:val="8"/>
    <w:qFormat/>
    <w:rsid w:val="00EA3B4D"/>
    <w:pPr>
      <w:numPr>
        <w:ilvl w:val="1"/>
      </w:numPr>
      <w:spacing w:before="0" w:after="480" w:line="520" w:lineRule="atLeast"/>
    </w:pPr>
    <w:rPr>
      <w:rFonts w:eastAsiaTheme="majorEastAsia" w:cstheme="majorBidi"/>
      <w:color w:val="004180" w:themeColor="accent2"/>
      <w:sz w:val="44"/>
      <w:szCs w:val="28"/>
    </w:rPr>
  </w:style>
  <w:style w:type="character" w:customStyle="1" w:styleId="SubtitleChar">
    <w:name w:val="Subtitle Char"/>
    <w:basedOn w:val="DefaultParagraphFont"/>
    <w:link w:val="Subtitle"/>
    <w:uiPriority w:val="8"/>
    <w:rsid w:val="00EA3B4D"/>
    <w:rPr>
      <w:rFonts w:ascii="Arial" w:eastAsiaTheme="majorEastAsia" w:hAnsi="Arial" w:cstheme="majorBidi"/>
      <w:color w:val="004180" w:themeColor="accent2"/>
      <w:sz w:val="44"/>
      <w:szCs w:val="28"/>
    </w:rPr>
  </w:style>
  <w:style w:type="character" w:styleId="Strong">
    <w:name w:val="Strong"/>
    <w:basedOn w:val="DefaultParagraphFont"/>
    <w:uiPriority w:val="22"/>
    <w:qFormat/>
    <w:rsid w:val="00B56ABB"/>
    <w:rPr>
      <w:b/>
      <w:bCs/>
    </w:rPr>
  </w:style>
  <w:style w:type="character" w:styleId="Emphasis">
    <w:name w:val="Emphasis"/>
    <w:basedOn w:val="DefaultParagraphFont"/>
    <w:uiPriority w:val="20"/>
    <w:qFormat/>
    <w:locked/>
    <w:rsid w:val="00B56ABB"/>
    <w:rPr>
      <w:i/>
      <w:iCs/>
    </w:rPr>
  </w:style>
  <w:style w:type="paragraph" w:styleId="Quote">
    <w:name w:val="Quote"/>
    <w:basedOn w:val="Normal"/>
    <w:next w:val="Normal"/>
    <w:link w:val="QuoteChar"/>
    <w:uiPriority w:val="29"/>
    <w:qFormat/>
    <w:rsid w:val="00C6493C"/>
    <w:pPr>
      <w:spacing w:before="480" w:after="480"/>
      <w:jc w:val="center"/>
    </w:pPr>
    <w:rPr>
      <w:i/>
      <w:color w:val="001224" w:themeColor="text2"/>
      <w:szCs w:val="24"/>
    </w:rPr>
  </w:style>
  <w:style w:type="character" w:customStyle="1" w:styleId="QuoteChar">
    <w:name w:val="Quote Char"/>
    <w:basedOn w:val="DefaultParagraphFont"/>
    <w:link w:val="Quote"/>
    <w:uiPriority w:val="29"/>
    <w:rsid w:val="00C6493C"/>
    <w:rPr>
      <w:rFonts w:ascii="Arial" w:hAnsi="Arial"/>
      <w:i/>
      <w:color w:val="001224" w:themeColor="text2"/>
      <w:sz w:val="24"/>
      <w:szCs w:val="24"/>
    </w:rPr>
  </w:style>
  <w:style w:type="character" w:styleId="SubtleEmphasis">
    <w:name w:val="Subtle Emphasis"/>
    <w:basedOn w:val="DefaultParagraphFont"/>
    <w:uiPriority w:val="19"/>
    <w:qFormat/>
    <w:rsid w:val="00F872AD"/>
    <w:rPr>
      <w:i/>
      <w:iCs/>
      <w:color w:val="525252" w:themeColor="text1" w:themeTint="BF"/>
    </w:rPr>
  </w:style>
  <w:style w:type="character" w:styleId="SubtleReference">
    <w:name w:val="Subtle Reference"/>
    <w:basedOn w:val="DefaultParagraphFont"/>
    <w:uiPriority w:val="31"/>
    <w:qFormat/>
    <w:rsid w:val="00F872AD"/>
    <w:rPr>
      <w:caps w:val="0"/>
      <w:smallCaps w:val="0"/>
      <w:color w:val="525252" w:themeColor="text1" w:themeTint="BF"/>
      <w:u w:val="none" w:color="8B8B8B" w:themeColor="text1" w:themeTint="80"/>
      <w:bdr w:val="none" w:sz="0" w:space="0" w:color="auto"/>
    </w:rPr>
  </w:style>
  <w:style w:type="character" w:styleId="IntenseReference">
    <w:name w:val="Intense Reference"/>
    <w:basedOn w:val="DefaultParagraphFont"/>
    <w:uiPriority w:val="32"/>
    <w:qFormat/>
    <w:rsid w:val="00F872AD"/>
    <w:rPr>
      <w:b/>
      <w:bCs/>
      <w:i/>
      <w:caps w:val="0"/>
      <w:smallCaps w:val="0"/>
      <w:color w:val="001224" w:themeColor="text2"/>
      <w:u w:val="none"/>
    </w:rPr>
  </w:style>
  <w:style w:type="character" w:customStyle="1" w:styleId="MessageHeaderChar">
    <w:name w:val="Message Header Char"/>
    <w:basedOn w:val="DefaultParagraphFont"/>
    <w:link w:val="MessageHeader"/>
    <w:uiPriority w:val="99"/>
    <w:rsid w:val="00A51CDC"/>
    <w:rPr>
      <w:rFonts w:asciiTheme="majorHAnsi" w:eastAsiaTheme="majorEastAsia" w:hAnsiTheme="majorHAnsi" w:cstheme="majorBidi"/>
      <w:color w:val="2F2F2F" w:themeColor="text1" w:themeTint="E6"/>
      <w:sz w:val="24"/>
      <w:szCs w:val="24"/>
      <w:shd w:val="clear" w:color="auto" w:fill="E5EEF7" w:themeFill="background2"/>
    </w:rPr>
  </w:style>
  <w:style w:type="paragraph" w:styleId="TOCHeading">
    <w:name w:val="TOC Heading"/>
    <w:basedOn w:val="Heading1"/>
    <w:next w:val="Normal"/>
    <w:uiPriority w:val="39"/>
    <w:unhideWhenUsed/>
    <w:qFormat/>
    <w:rsid w:val="008A7368"/>
    <w:pPr>
      <w:spacing w:line="520" w:lineRule="atLeast"/>
      <w:outlineLvl w:val="9"/>
    </w:pPr>
    <w:rPr>
      <w:color w:val="001224" w:themeColor="text2"/>
      <w:sz w:val="44"/>
    </w:rPr>
  </w:style>
  <w:style w:type="table" w:styleId="TableGrid">
    <w:name w:val="Table Grid"/>
    <w:aliases w:val="Simple Table"/>
    <w:basedOn w:val="TableNormal"/>
    <w:uiPriority w:val="39"/>
    <w:locked/>
    <w:rsid w:val="003533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MRDefault">
    <w:name w:val="TMR – Default"/>
    <w:basedOn w:val="TableNormal"/>
    <w:uiPriority w:val="99"/>
    <w:rsid w:val="008F1000"/>
    <w:pPr>
      <w:spacing w:after="0" w:line="240" w:lineRule="atLeast"/>
    </w:pPr>
    <w:rPr>
      <w:rFonts w:ascii="Arial" w:hAnsi="Arial"/>
      <w:color w:val="000812" w:themeColor="text2" w:themeShade="80"/>
      <w:sz w:val="20"/>
    </w:rPr>
    <w:tblPr>
      <w:tblStyleRowBandSize w:val="1"/>
      <w:tblBorders>
        <w:insideH w:val="dotted" w:sz="4" w:space="0" w:color="002549" w:themeColor="accent1"/>
        <w:insideV w:val="dotted" w:sz="4" w:space="0" w:color="002549" w:themeColor="accent1"/>
      </w:tblBorders>
      <w:tblCellMar>
        <w:top w:w="45" w:type="dxa"/>
        <w:left w:w="45" w:type="dxa"/>
        <w:bottom w:w="45" w:type="dxa"/>
        <w:right w:w="45" w:type="dxa"/>
      </w:tblCellMar>
    </w:tblPr>
    <w:tcPr>
      <w:shd w:val="clear" w:color="auto" w:fill="FFFFFF" w:themeFill="background1"/>
      <w:vAlign w:val="bottom"/>
    </w:tcPr>
    <w:tblStylePr w:type="firstRow">
      <w:rPr>
        <w:rFonts w:asciiTheme="minorHAnsi" w:hAnsiTheme="minorHAnsi"/>
        <w:b/>
        <w:color w:val="E5EEF7" w:themeColor="background2"/>
        <w:sz w:val="20"/>
      </w:rPr>
      <w:tblPr/>
      <w:tcPr>
        <w:tcBorders>
          <w:top w:val="nil"/>
          <w:left w:val="nil"/>
          <w:bottom w:val="single" w:sz="8" w:space="0" w:color="004180" w:themeColor="accent2"/>
          <w:right w:val="nil"/>
          <w:insideH w:val="nil"/>
          <w:insideV w:val="nil"/>
          <w:tl2br w:val="nil"/>
          <w:tr2bl w:val="nil"/>
        </w:tcBorders>
        <w:shd w:val="clear" w:color="auto" w:fill="FFFFFF" w:themeFill="background1"/>
      </w:tcPr>
    </w:tblStylePr>
    <w:tblStylePr w:type="lastRow">
      <w:rPr>
        <w:rFonts w:ascii="Arial" w:hAnsi="Arial"/>
        <w:b/>
        <w:sz w:val="20"/>
      </w:rPr>
      <w:tblPr/>
      <w:tcPr>
        <w:tcBorders>
          <w:top w:val="thinThickSmallGap" w:sz="12" w:space="0" w:color="525252" w:themeColor="text1" w:themeTint="BF"/>
        </w:tcBorders>
        <w:shd w:val="clear" w:color="auto" w:fill="FFFFFF" w:themeFill="background1"/>
      </w:tcPr>
    </w:tblStylePr>
    <w:tblStylePr w:type="band1Horz">
      <w:tblPr/>
      <w:tcPr>
        <w:shd w:val="clear" w:color="auto" w:fill="ECF6FD"/>
      </w:tcPr>
    </w:tblStylePr>
  </w:style>
  <w:style w:type="paragraph" w:styleId="Title">
    <w:name w:val="Title"/>
    <w:basedOn w:val="Heading1"/>
    <w:next w:val="Normal"/>
    <w:link w:val="TitleChar"/>
    <w:uiPriority w:val="9"/>
    <w:qFormat/>
    <w:locked/>
    <w:rsid w:val="00EA3B4D"/>
    <w:pPr>
      <w:spacing w:before="0" w:line="240" w:lineRule="auto"/>
      <w:contextualSpacing/>
    </w:pPr>
    <w:rPr>
      <w:rFonts w:asciiTheme="majorHAnsi" w:hAnsiTheme="majorHAnsi"/>
      <w:b/>
      <w:color w:val="005EB8" w:themeColor="accent3"/>
      <w:spacing w:val="-10"/>
      <w:kern w:val="28"/>
      <w:sz w:val="72"/>
      <w:szCs w:val="56"/>
    </w:rPr>
  </w:style>
  <w:style w:type="character" w:customStyle="1" w:styleId="TitleChar">
    <w:name w:val="Title Char"/>
    <w:basedOn w:val="DefaultParagraphFont"/>
    <w:link w:val="Title"/>
    <w:uiPriority w:val="9"/>
    <w:rsid w:val="00EA3B4D"/>
    <w:rPr>
      <w:rFonts w:asciiTheme="majorHAnsi" w:eastAsiaTheme="majorEastAsia" w:hAnsiTheme="majorHAnsi" w:cstheme="majorBidi"/>
      <w:b/>
      <w:color w:val="005EB8" w:themeColor="accent3"/>
      <w:spacing w:val="-10"/>
      <w:kern w:val="28"/>
      <w:sz w:val="72"/>
      <w:szCs w:val="56"/>
    </w:rPr>
  </w:style>
  <w:style w:type="paragraph" w:styleId="HTMLPreformatted">
    <w:name w:val="HTML Preformatted"/>
    <w:basedOn w:val="Normal"/>
    <w:link w:val="HTMLPreformattedChar"/>
    <w:uiPriority w:val="99"/>
    <w:unhideWhenUsed/>
    <w:rsid w:val="0018783A"/>
    <w:pPr>
      <w:spacing w:before="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18783A"/>
    <w:rPr>
      <w:rFonts w:ascii="Consolas" w:hAnsi="Consolas"/>
      <w:color w:val="2F2F2F" w:themeColor="text1" w:themeTint="E6"/>
      <w:sz w:val="20"/>
      <w:szCs w:val="20"/>
    </w:rPr>
  </w:style>
  <w:style w:type="paragraph" w:styleId="TOC1">
    <w:name w:val="toc 1"/>
    <w:basedOn w:val="Normal"/>
    <w:next w:val="Normal"/>
    <w:autoRedefine/>
    <w:uiPriority w:val="39"/>
    <w:unhideWhenUsed/>
    <w:rsid w:val="008A7368"/>
    <w:pPr>
      <w:tabs>
        <w:tab w:val="right" w:leader="dot" w:pos="9060"/>
      </w:tabs>
      <w:spacing w:before="120" w:after="0"/>
    </w:pPr>
    <w:rPr>
      <w:b/>
    </w:rPr>
  </w:style>
  <w:style w:type="paragraph" w:customStyle="1" w:styleId="FigureCaption">
    <w:name w:val="Figure Caption"/>
    <w:basedOn w:val="Caption"/>
    <w:next w:val="Normal"/>
    <w:qFormat/>
    <w:rsid w:val="00BC1C7D"/>
    <w:pPr>
      <w:keepNext/>
      <w:spacing w:before="160" w:after="160"/>
    </w:pPr>
    <w:rPr>
      <w:b/>
      <w:color w:val="525252" w:themeColor="text1" w:themeTint="BF"/>
    </w:rPr>
  </w:style>
  <w:style w:type="character" w:styleId="PlaceholderText">
    <w:name w:val="Placeholder Text"/>
    <w:basedOn w:val="DefaultParagraphFont"/>
    <w:uiPriority w:val="99"/>
    <w:semiHidden/>
    <w:rsid w:val="0042018F"/>
    <w:rPr>
      <w:color w:val="808080"/>
    </w:rPr>
  </w:style>
  <w:style w:type="paragraph" w:styleId="NormalWeb">
    <w:name w:val="Normal (Web)"/>
    <w:basedOn w:val="Normal"/>
    <w:uiPriority w:val="99"/>
    <w:semiHidden/>
    <w:unhideWhenUsed/>
    <w:rsid w:val="00C85784"/>
    <w:pPr>
      <w:spacing w:before="100" w:beforeAutospacing="1" w:after="100" w:afterAutospacing="1" w:line="240" w:lineRule="auto"/>
    </w:pPr>
    <w:rPr>
      <w:rFonts w:ascii="Times New Roman" w:eastAsia="Times New Roman" w:hAnsi="Times New Roman" w:cs="Times New Roman"/>
      <w:szCs w:val="24"/>
      <w:lang w:eastAsia="en-AU"/>
    </w:rPr>
  </w:style>
  <w:style w:type="paragraph" w:styleId="List3">
    <w:name w:val="List 3"/>
    <w:basedOn w:val="Normal"/>
    <w:uiPriority w:val="99"/>
    <w:unhideWhenUsed/>
    <w:rsid w:val="00CB03AE"/>
    <w:pPr>
      <w:ind w:left="1480"/>
      <w:contextualSpacing/>
    </w:pPr>
  </w:style>
  <w:style w:type="paragraph" w:styleId="List2">
    <w:name w:val="List 2"/>
    <w:basedOn w:val="Normal"/>
    <w:uiPriority w:val="99"/>
    <w:unhideWhenUsed/>
    <w:rsid w:val="00CB03AE"/>
    <w:pPr>
      <w:ind w:left="879"/>
      <w:contextualSpacing/>
    </w:pPr>
  </w:style>
  <w:style w:type="character" w:styleId="Hyperlink">
    <w:name w:val="Hyperlink"/>
    <w:basedOn w:val="DefaultParagraphFont"/>
    <w:uiPriority w:val="99"/>
    <w:unhideWhenUsed/>
    <w:rsid w:val="00F353AC"/>
    <w:rPr>
      <w:color w:val="0000FF"/>
      <w:u w:val="single"/>
    </w:rPr>
  </w:style>
  <w:style w:type="character" w:customStyle="1" w:styleId="qg-blank-notice">
    <w:name w:val="qg-blank-notice"/>
    <w:basedOn w:val="DefaultParagraphFont"/>
    <w:rsid w:val="00F353AC"/>
  </w:style>
  <w:style w:type="table" w:styleId="ListTable3-Accent1">
    <w:name w:val="List Table 3 Accent 1"/>
    <w:basedOn w:val="TableNormal"/>
    <w:uiPriority w:val="48"/>
    <w:locked/>
    <w:rsid w:val="00DC7CAF"/>
    <w:pPr>
      <w:spacing w:after="0" w:line="240" w:lineRule="auto"/>
    </w:pPr>
    <w:tblPr>
      <w:tblStyleRowBandSize w:val="1"/>
      <w:tblStyleColBandSize w:val="1"/>
      <w:tblBorders>
        <w:top w:val="single" w:sz="4" w:space="0" w:color="002549" w:themeColor="accent1"/>
        <w:left w:val="single" w:sz="4" w:space="0" w:color="002549" w:themeColor="accent1"/>
        <w:bottom w:val="single" w:sz="4" w:space="0" w:color="002549" w:themeColor="accent1"/>
        <w:right w:val="single" w:sz="4" w:space="0" w:color="002549" w:themeColor="accent1"/>
      </w:tblBorders>
    </w:tblPr>
    <w:tblStylePr w:type="firstRow">
      <w:rPr>
        <w:b/>
        <w:bCs/>
        <w:color w:val="FFFFFF" w:themeColor="background1"/>
      </w:rPr>
      <w:tblPr/>
      <w:tcPr>
        <w:shd w:val="clear" w:color="auto" w:fill="002549" w:themeFill="accent1"/>
      </w:tcPr>
    </w:tblStylePr>
    <w:tblStylePr w:type="lastRow">
      <w:rPr>
        <w:b/>
        <w:bCs/>
      </w:rPr>
      <w:tblPr/>
      <w:tcPr>
        <w:tcBorders>
          <w:top w:val="double" w:sz="4" w:space="0" w:color="002549"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549" w:themeColor="accent1"/>
          <w:right w:val="single" w:sz="4" w:space="0" w:color="002549" w:themeColor="accent1"/>
        </w:tcBorders>
      </w:tcPr>
    </w:tblStylePr>
    <w:tblStylePr w:type="band1Horz">
      <w:tblPr/>
      <w:tcPr>
        <w:tcBorders>
          <w:top w:val="single" w:sz="4" w:space="0" w:color="002549" w:themeColor="accent1"/>
          <w:bottom w:val="single" w:sz="4" w:space="0" w:color="002549"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549" w:themeColor="accent1"/>
          <w:left w:val="nil"/>
        </w:tcBorders>
      </w:tcPr>
    </w:tblStylePr>
    <w:tblStylePr w:type="swCell">
      <w:tblPr/>
      <w:tcPr>
        <w:tcBorders>
          <w:top w:val="double" w:sz="4" w:space="0" w:color="002549" w:themeColor="accent1"/>
          <w:right w:val="nil"/>
        </w:tcBorders>
      </w:tcPr>
    </w:tblStylePr>
  </w:style>
  <w:style w:type="paragraph" w:styleId="TOC2">
    <w:name w:val="toc 2"/>
    <w:basedOn w:val="Normal"/>
    <w:next w:val="Normal"/>
    <w:autoRedefine/>
    <w:uiPriority w:val="39"/>
    <w:unhideWhenUsed/>
    <w:rsid w:val="008A7368"/>
    <w:pPr>
      <w:spacing w:before="60" w:after="0"/>
      <w:ind w:left="238"/>
    </w:pPr>
  </w:style>
  <w:style w:type="paragraph" w:styleId="TOC3">
    <w:name w:val="toc 3"/>
    <w:basedOn w:val="Normal"/>
    <w:next w:val="Normal"/>
    <w:autoRedefine/>
    <w:uiPriority w:val="39"/>
    <w:unhideWhenUsed/>
    <w:rsid w:val="008A7368"/>
    <w:pPr>
      <w:spacing w:before="60" w:after="0"/>
      <w:ind w:left="482"/>
    </w:pPr>
    <w:rPr>
      <w:i/>
    </w:rPr>
  </w:style>
  <w:style w:type="paragraph" w:styleId="TOC4">
    <w:name w:val="toc 4"/>
    <w:basedOn w:val="Normal"/>
    <w:next w:val="Normal"/>
    <w:autoRedefine/>
    <w:uiPriority w:val="39"/>
    <w:semiHidden/>
    <w:unhideWhenUsed/>
    <w:rsid w:val="00747BA3"/>
    <w:pPr>
      <w:spacing w:before="80"/>
      <w:ind w:left="720"/>
    </w:pPr>
  </w:style>
  <w:style w:type="paragraph" w:styleId="TOC5">
    <w:name w:val="toc 5"/>
    <w:basedOn w:val="Normal"/>
    <w:next w:val="Normal"/>
    <w:autoRedefine/>
    <w:uiPriority w:val="39"/>
    <w:semiHidden/>
    <w:unhideWhenUsed/>
    <w:rsid w:val="00747BA3"/>
    <w:pPr>
      <w:spacing w:before="80"/>
      <w:ind w:left="958"/>
    </w:pPr>
  </w:style>
  <w:style w:type="paragraph" w:styleId="Bibliography">
    <w:name w:val="Bibliography"/>
    <w:basedOn w:val="Normal"/>
    <w:next w:val="Normal"/>
    <w:uiPriority w:val="37"/>
    <w:unhideWhenUsed/>
    <w:rsid w:val="00C371CC"/>
  </w:style>
  <w:style w:type="paragraph" w:styleId="ListContinue5">
    <w:name w:val="List Continue 5"/>
    <w:basedOn w:val="Normal"/>
    <w:uiPriority w:val="99"/>
    <w:unhideWhenUsed/>
    <w:rsid w:val="00DF29E6"/>
    <w:pPr>
      <w:spacing w:after="120"/>
      <w:ind w:left="1415"/>
      <w:contextualSpacing/>
    </w:pPr>
  </w:style>
  <w:style w:type="paragraph" w:styleId="List">
    <w:name w:val="List"/>
    <w:basedOn w:val="Normal"/>
    <w:uiPriority w:val="99"/>
    <w:unhideWhenUsed/>
    <w:rsid w:val="00CB03AE"/>
    <w:pPr>
      <w:ind w:left="318"/>
      <w:contextualSpacing/>
    </w:pPr>
  </w:style>
  <w:style w:type="paragraph" w:styleId="List4">
    <w:name w:val="List 4"/>
    <w:basedOn w:val="Normal"/>
    <w:uiPriority w:val="99"/>
    <w:unhideWhenUsed/>
    <w:rsid w:val="001E3F0A"/>
    <w:pPr>
      <w:ind w:left="1132" w:hanging="283"/>
      <w:contextualSpacing/>
    </w:pPr>
  </w:style>
  <w:style w:type="paragraph" w:styleId="List5">
    <w:name w:val="List 5"/>
    <w:basedOn w:val="Normal"/>
    <w:uiPriority w:val="99"/>
    <w:unhideWhenUsed/>
    <w:rsid w:val="001E3F0A"/>
    <w:pPr>
      <w:ind w:left="1415" w:hanging="283"/>
      <w:contextualSpacing/>
    </w:pPr>
  </w:style>
  <w:style w:type="paragraph" w:styleId="TOC6">
    <w:name w:val="toc 6"/>
    <w:basedOn w:val="Normal"/>
    <w:next w:val="Normal"/>
    <w:autoRedefine/>
    <w:uiPriority w:val="39"/>
    <w:semiHidden/>
    <w:unhideWhenUsed/>
    <w:rsid w:val="00747BA3"/>
    <w:pPr>
      <w:spacing w:before="80"/>
      <w:ind w:left="1202"/>
    </w:pPr>
  </w:style>
  <w:style w:type="paragraph" w:styleId="TOC7">
    <w:name w:val="toc 7"/>
    <w:basedOn w:val="Normal"/>
    <w:next w:val="Normal"/>
    <w:autoRedefine/>
    <w:uiPriority w:val="39"/>
    <w:semiHidden/>
    <w:unhideWhenUsed/>
    <w:rsid w:val="00747BA3"/>
    <w:pPr>
      <w:spacing w:before="80"/>
      <w:ind w:left="1440"/>
    </w:pPr>
  </w:style>
  <w:style w:type="paragraph" w:styleId="TOC8">
    <w:name w:val="toc 8"/>
    <w:basedOn w:val="Normal"/>
    <w:next w:val="Normal"/>
    <w:autoRedefine/>
    <w:uiPriority w:val="39"/>
    <w:semiHidden/>
    <w:unhideWhenUsed/>
    <w:rsid w:val="00747BA3"/>
    <w:pPr>
      <w:spacing w:before="80"/>
      <w:ind w:left="1678"/>
    </w:pPr>
  </w:style>
  <w:style w:type="paragraph" w:styleId="TOC9">
    <w:name w:val="toc 9"/>
    <w:basedOn w:val="Normal"/>
    <w:next w:val="Normal"/>
    <w:autoRedefine/>
    <w:uiPriority w:val="39"/>
    <w:semiHidden/>
    <w:unhideWhenUsed/>
    <w:rsid w:val="00747BA3"/>
    <w:pPr>
      <w:spacing w:before="80"/>
      <w:ind w:left="1922"/>
    </w:pPr>
  </w:style>
  <w:style w:type="paragraph" w:styleId="TableofFigures">
    <w:name w:val="table of figures"/>
    <w:basedOn w:val="Normal"/>
    <w:next w:val="Normal"/>
    <w:uiPriority w:val="99"/>
    <w:unhideWhenUsed/>
    <w:rsid w:val="00737DCA"/>
  </w:style>
  <w:style w:type="paragraph" w:styleId="TableofAuthorities">
    <w:name w:val="table of authorities"/>
    <w:basedOn w:val="Normal"/>
    <w:next w:val="Normal"/>
    <w:uiPriority w:val="99"/>
    <w:unhideWhenUsed/>
    <w:rsid w:val="00737DCA"/>
    <w:pPr>
      <w:ind w:left="240" w:hanging="240"/>
    </w:pPr>
  </w:style>
  <w:style w:type="paragraph" w:styleId="NoSpacing">
    <w:name w:val="No Spacing"/>
    <w:uiPriority w:val="1"/>
    <w:qFormat/>
    <w:locked/>
    <w:rsid w:val="000852B6"/>
    <w:pPr>
      <w:spacing w:after="0" w:line="240" w:lineRule="auto"/>
    </w:pPr>
    <w:rPr>
      <w:rFonts w:ascii="Arial" w:hAnsi="Arial"/>
      <w:color w:val="2F2F2F" w:themeColor="text1" w:themeTint="E6"/>
      <w:sz w:val="20"/>
    </w:rPr>
  </w:style>
  <w:style w:type="table" w:styleId="TableGridLight">
    <w:name w:val="Grid Table Light"/>
    <w:basedOn w:val="TableNormal"/>
    <w:uiPriority w:val="40"/>
    <w:locked/>
    <w:rsid w:val="00E4038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locked/>
    <w:rsid w:val="00E40381"/>
    <w:pPr>
      <w:spacing w:after="0" w:line="240" w:lineRule="auto"/>
    </w:pPr>
    <w:tblPr>
      <w:tblStyleRowBandSize w:val="1"/>
      <w:tblStyleColBandSize w:val="1"/>
    </w:tblPr>
    <w:tblStylePr w:type="firstRow">
      <w:rPr>
        <w:b/>
        <w:bCs/>
        <w:caps/>
      </w:rPr>
      <w:tblPr/>
      <w:tcPr>
        <w:tcBorders>
          <w:bottom w:val="single" w:sz="4" w:space="0" w:color="8B8B8B"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8B8B8B"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locked/>
    <w:rsid w:val="00E40381"/>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E40381"/>
    <w:pPr>
      <w:spacing w:after="0" w:line="240" w:lineRule="auto"/>
    </w:pPr>
    <w:tblPr>
      <w:tblStyleRowBandSize w:val="1"/>
      <w:tblStyleColBandSize w:val="1"/>
      <w:tblBorders>
        <w:top w:val="single" w:sz="4" w:space="0" w:color="50A8FF" w:themeColor="accent1" w:themeTint="66"/>
        <w:left w:val="single" w:sz="4" w:space="0" w:color="50A8FF" w:themeColor="accent1" w:themeTint="66"/>
        <w:bottom w:val="single" w:sz="4" w:space="0" w:color="50A8FF" w:themeColor="accent1" w:themeTint="66"/>
        <w:right w:val="single" w:sz="4" w:space="0" w:color="50A8FF" w:themeColor="accent1" w:themeTint="66"/>
        <w:insideH w:val="single" w:sz="4" w:space="0" w:color="50A8FF" w:themeColor="accent1" w:themeTint="66"/>
        <w:insideV w:val="single" w:sz="4" w:space="0" w:color="50A8FF" w:themeColor="accent1" w:themeTint="66"/>
      </w:tblBorders>
    </w:tblPr>
    <w:tblStylePr w:type="firstRow">
      <w:rPr>
        <w:b/>
        <w:bCs/>
      </w:rPr>
      <w:tblPr/>
      <w:tcPr>
        <w:tcBorders>
          <w:bottom w:val="single" w:sz="12" w:space="0" w:color="007DF7" w:themeColor="accent1" w:themeTint="99"/>
        </w:tcBorders>
      </w:tcPr>
    </w:tblStylePr>
    <w:tblStylePr w:type="lastRow">
      <w:rPr>
        <w:b/>
        <w:bCs/>
      </w:rPr>
      <w:tblPr/>
      <w:tcPr>
        <w:tcBorders>
          <w:top w:val="double" w:sz="2" w:space="0" w:color="007DF7" w:themeColor="accent1" w:themeTint="99"/>
        </w:tcBorders>
      </w:tcPr>
    </w:tblStylePr>
    <w:tblStylePr w:type="firstCol">
      <w:rPr>
        <w:b/>
        <w:bCs/>
      </w:rPr>
    </w:tblStylePr>
    <w:tblStylePr w:type="lastCol">
      <w:rPr>
        <w:b/>
        <w:bCs/>
      </w:rPr>
    </w:tblStylePr>
  </w:style>
  <w:style w:type="paragraph" w:styleId="BodyText">
    <w:name w:val="Body Text"/>
    <w:basedOn w:val="Normal"/>
    <w:link w:val="BodyTextChar"/>
    <w:uiPriority w:val="99"/>
    <w:qFormat/>
    <w:rsid w:val="00692703"/>
    <w:pPr>
      <w:suppressAutoHyphens w:val="0"/>
      <w:spacing w:before="120" w:after="120" w:line="260" w:lineRule="atLeast"/>
    </w:pPr>
    <w:rPr>
      <w:rFonts w:asciiTheme="minorHAnsi" w:eastAsia="Times New Roman" w:hAnsiTheme="minorHAnsi" w:cs="Times New Roman"/>
      <w:color w:val="auto"/>
      <w:sz w:val="20"/>
      <w:szCs w:val="24"/>
      <w:lang w:eastAsia="en-AU"/>
    </w:rPr>
  </w:style>
  <w:style w:type="character" w:customStyle="1" w:styleId="BodyTextChar">
    <w:name w:val="Body Text Char"/>
    <w:basedOn w:val="DefaultParagraphFont"/>
    <w:link w:val="BodyText"/>
    <w:uiPriority w:val="99"/>
    <w:rsid w:val="00692703"/>
    <w:rPr>
      <w:rFonts w:eastAsia="Times New Roman" w:cs="Times New Roman"/>
      <w:sz w:val="20"/>
      <w:szCs w:val="24"/>
      <w:lang w:eastAsia="en-AU"/>
    </w:rPr>
  </w:style>
  <w:style w:type="paragraph" w:styleId="FootnoteText">
    <w:name w:val="footnote text"/>
    <w:basedOn w:val="Normal"/>
    <w:link w:val="FootnoteTextChar"/>
    <w:uiPriority w:val="99"/>
    <w:semiHidden/>
    <w:rsid w:val="008E64C0"/>
    <w:pPr>
      <w:suppressAutoHyphens w:val="0"/>
      <w:spacing w:before="0" w:after="0" w:line="240" w:lineRule="auto"/>
    </w:pPr>
    <w:rPr>
      <w:rFonts w:eastAsia="Times New Roman" w:cs="Times New Roman"/>
      <w:color w:val="auto"/>
      <w:sz w:val="20"/>
      <w:szCs w:val="20"/>
      <w:lang w:eastAsia="en-AU"/>
    </w:rPr>
  </w:style>
  <w:style w:type="character" w:customStyle="1" w:styleId="FootnoteTextChar">
    <w:name w:val="Footnote Text Char"/>
    <w:basedOn w:val="DefaultParagraphFont"/>
    <w:link w:val="FootnoteText"/>
    <w:uiPriority w:val="99"/>
    <w:semiHidden/>
    <w:rsid w:val="008E64C0"/>
    <w:rPr>
      <w:rFonts w:ascii="Arial" w:eastAsia="Times New Roman" w:hAnsi="Arial" w:cs="Times New Roman"/>
      <w:sz w:val="20"/>
      <w:szCs w:val="20"/>
      <w:lang w:eastAsia="en-AU"/>
    </w:rPr>
  </w:style>
  <w:style w:type="character" w:customStyle="1" w:styleId="ui-provider">
    <w:name w:val="ui-provider"/>
    <w:basedOn w:val="DefaultParagraphFont"/>
    <w:rsid w:val="008E64C0"/>
  </w:style>
  <w:style w:type="character" w:styleId="FootnoteReference">
    <w:name w:val="footnote reference"/>
    <w:uiPriority w:val="99"/>
    <w:semiHidden/>
    <w:rsid w:val="008E64C0"/>
    <w:rPr>
      <w:vertAlign w:val="superscript"/>
    </w:rPr>
  </w:style>
  <w:style w:type="paragraph" w:customStyle="1" w:styleId="TableHeading">
    <w:name w:val="Table Heading"/>
    <w:basedOn w:val="Normal"/>
    <w:next w:val="BodyText"/>
    <w:uiPriority w:val="3"/>
    <w:qFormat/>
    <w:rsid w:val="008E64C0"/>
    <w:pPr>
      <w:suppressAutoHyphens w:val="0"/>
      <w:spacing w:before="60" w:after="60" w:line="240" w:lineRule="auto"/>
    </w:pPr>
    <w:rPr>
      <w:rFonts w:asciiTheme="minorHAnsi" w:hAnsiTheme="minorHAnsi"/>
      <w:b/>
      <w:color w:val="auto"/>
      <w:sz w:val="18"/>
    </w:rPr>
  </w:style>
  <w:style w:type="paragraph" w:customStyle="1" w:styleId="TableText">
    <w:name w:val="Table Text"/>
    <w:basedOn w:val="Normal"/>
    <w:qFormat/>
    <w:rsid w:val="008E64C0"/>
    <w:pPr>
      <w:suppressAutoHyphens w:val="0"/>
      <w:spacing w:before="60" w:after="60" w:line="240" w:lineRule="auto"/>
    </w:pPr>
    <w:rPr>
      <w:rFonts w:asciiTheme="minorHAnsi" w:hAnsiTheme="minorHAnsi"/>
      <w:color w:val="auto"/>
      <w:sz w:val="18"/>
    </w:rPr>
  </w:style>
  <w:style w:type="paragraph" w:customStyle="1" w:styleId="AltHeading1">
    <w:name w:val="Alt Heading 1"/>
    <w:basedOn w:val="Heading1"/>
    <w:next w:val="BodyText"/>
    <w:qFormat/>
    <w:rsid w:val="00D61569"/>
    <w:pPr>
      <w:widowControl w:val="0"/>
      <w:numPr>
        <w:numId w:val="11"/>
      </w:numPr>
      <w:suppressAutoHyphens w:val="0"/>
      <w:spacing w:line="240" w:lineRule="auto"/>
    </w:pPr>
    <w:rPr>
      <w:rFonts w:asciiTheme="majorHAnsi" w:eastAsia="Times New Roman" w:hAnsiTheme="majorHAnsi" w:cs="Arial"/>
      <w:b/>
      <w:color w:val="002549" w:themeColor="accent1"/>
      <w:kern w:val="32"/>
      <w:sz w:val="40"/>
      <w:szCs w:val="32"/>
      <w:lang w:eastAsia="en-AU"/>
    </w:rPr>
  </w:style>
  <w:style w:type="paragraph" w:customStyle="1" w:styleId="AltHeading2">
    <w:name w:val="Alt Heading 2"/>
    <w:basedOn w:val="Heading2"/>
    <w:next w:val="BodyText"/>
    <w:qFormat/>
    <w:rsid w:val="00D61569"/>
    <w:pPr>
      <w:numPr>
        <w:ilvl w:val="1"/>
        <w:numId w:val="11"/>
      </w:numPr>
      <w:suppressAutoHyphens w:val="0"/>
      <w:spacing w:before="400" w:after="200" w:line="240" w:lineRule="auto"/>
    </w:pPr>
    <w:rPr>
      <w:rFonts w:asciiTheme="majorHAnsi" w:eastAsia="Times New Roman" w:hAnsiTheme="majorHAnsi" w:cs="Arial"/>
      <w:b/>
      <w:bCs/>
      <w:iCs/>
      <w:color w:val="004180" w:themeColor="accent2"/>
      <w:sz w:val="36"/>
      <w:szCs w:val="28"/>
      <w:lang w:eastAsia="en-AU"/>
    </w:rPr>
  </w:style>
  <w:style w:type="paragraph" w:customStyle="1" w:styleId="AltHeading3">
    <w:name w:val="Alt Heading 3"/>
    <w:basedOn w:val="Heading3"/>
    <w:next w:val="BodyText"/>
    <w:qFormat/>
    <w:rsid w:val="00D61569"/>
    <w:pPr>
      <w:numPr>
        <w:ilvl w:val="2"/>
        <w:numId w:val="11"/>
      </w:numPr>
      <w:suppressAutoHyphens w:val="0"/>
      <w:spacing w:before="280" w:after="140" w:line="240" w:lineRule="auto"/>
    </w:pPr>
    <w:rPr>
      <w:rFonts w:asciiTheme="majorHAnsi" w:eastAsia="Times New Roman" w:hAnsiTheme="majorHAnsi" w:cs="Times New Roman"/>
      <w:b/>
      <w:bCs/>
      <w:color w:val="002549" w:themeColor="accent1"/>
      <w:sz w:val="28"/>
      <w:szCs w:val="24"/>
      <w:lang w:eastAsia="en-AU"/>
    </w:rPr>
  </w:style>
  <w:style w:type="paragraph" w:customStyle="1" w:styleId="AltHeading4">
    <w:name w:val="Alt Heading 4"/>
    <w:basedOn w:val="Heading4"/>
    <w:next w:val="BodyText"/>
    <w:qFormat/>
    <w:rsid w:val="00D61569"/>
    <w:pPr>
      <w:numPr>
        <w:ilvl w:val="3"/>
        <w:numId w:val="11"/>
      </w:numPr>
      <w:suppressAutoHyphens w:val="0"/>
      <w:spacing w:before="240" w:after="120" w:line="240" w:lineRule="auto"/>
    </w:pPr>
    <w:rPr>
      <w:rFonts w:asciiTheme="majorHAnsi" w:eastAsia="Times New Roman" w:hAnsiTheme="majorHAnsi" w:cs="Times New Roman"/>
      <w:b/>
      <w:bCs/>
      <w:color w:val="004180" w:themeColor="accent2"/>
      <w:sz w:val="24"/>
      <w:szCs w:val="22"/>
      <w:lang w:eastAsia="en-AU"/>
    </w:rPr>
  </w:style>
  <w:style w:type="paragraph" w:customStyle="1" w:styleId="AltHeading5">
    <w:name w:val="Alt Heading 5"/>
    <w:basedOn w:val="Heading5"/>
    <w:next w:val="BodyText"/>
    <w:qFormat/>
    <w:rsid w:val="00D61569"/>
    <w:pPr>
      <w:numPr>
        <w:ilvl w:val="4"/>
        <w:numId w:val="11"/>
      </w:numPr>
      <w:suppressAutoHyphens w:val="0"/>
      <w:spacing w:before="240" w:after="120" w:line="240" w:lineRule="auto"/>
    </w:pPr>
    <w:rPr>
      <w:rFonts w:eastAsia="Times New Roman" w:cs="Times New Roman"/>
      <w:bCs/>
      <w:iCs/>
      <w:color w:val="auto"/>
      <w:sz w:val="20"/>
      <w:szCs w:val="26"/>
      <w:lang w:eastAsia="en-AU"/>
    </w:rPr>
  </w:style>
  <w:style w:type="table" w:customStyle="1" w:styleId="NavyTable">
    <w:name w:val="Navy Table"/>
    <w:basedOn w:val="TableNormal"/>
    <w:uiPriority w:val="99"/>
    <w:rsid w:val="00D61569"/>
    <w:pPr>
      <w:spacing w:after="0" w:line="240" w:lineRule="auto"/>
    </w:pPr>
    <w:tblPr>
      <w:tblStyleRowBandSize w:val="1"/>
      <w:tblStyleColBandSize w:val="1"/>
      <w:tblInd w:w="108" w:type="dxa"/>
      <w:tblBorders>
        <w:bottom w:val="single" w:sz="4" w:space="0" w:color="002549" w:themeColor="accent1"/>
        <w:insideH w:val="single" w:sz="4" w:space="0" w:color="002549" w:themeColor="accent1"/>
        <w:insideV w:val="single" w:sz="4" w:space="0" w:color="FFFFFF" w:themeColor="background1"/>
      </w:tblBorders>
    </w:tblPr>
    <w:trPr>
      <w:cantSplit/>
    </w:trPr>
    <w:tcPr>
      <w:shd w:val="clear" w:color="auto" w:fill="auto"/>
    </w:tcPr>
    <w:tblStylePr w:type="firstRow">
      <w:tblPr/>
      <w:tcPr>
        <w:tcBorders>
          <w:insideV w:val="single" w:sz="4" w:space="0" w:color="FFFFFF" w:themeColor="background1"/>
        </w:tcBorders>
        <w:shd w:val="clear" w:color="auto" w:fill="002549" w:themeFill="accent1"/>
      </w:tcPr>
    </w:tblStylePr>
    <w:tblStylePr w:type="lastRow">
      <w:rPr>
        <w:b w:val="0"/>
      </w:rPr>
      <w:tblPr/>
      <w:tcPr>
        <w:shd w:val="clear" w:color="auto" w:fill="99B1C3"/>
      </w:tcPr>
    </w:tblStylePr>
    <w:tblStylePr w:type="firstCol">
      <w:tblPr/>
      <w:tcPr>
        <w:tcBorders>
          <w:insideH w:val="nil"/>
        </w:tcBorders>
        <w:shd w:val="clear" w:color="auto" w:fill="002549" w:themeFill="accent1"/>
      </w:tcPr>
    </w:tblStylePr>
    <w:tblStylePr w:type="band2Vert">
      <w:tblPr/>
      <w:tcPr>
        <w:shd w:val="clear" w:color="auto" w:fill="CCD8E1"/>
      </w:tcPr>
    </w:tblStylePr>
    <w:tblStylePr w:type="band2Horz">
      <w:tblPr/>
      <w:tcPr>
        <w:shd w:val="clear" w:color="auto" w:fill="CCD8E1"/>
      </w:tcPr>
    </w:tblStylePr>
  </w:style>
  <w:style w:type="numbering" w:customStyle="1" w:styleId="ListNumberedHeadings">
    <w:name w:val="List_NumberedHeadings"/>
    <w:uiPriority w:val="99"/>
    <w:rsid w:val="00D61569"/>
    <w:pPr>
      <w:numPr>
        <w:numId w:val="10"/>
      </w:numPr>
    </w:pPr>
  </w:style>
  <w:style w:type="numbering" w:customStyle="1" w:styleId="ListParagraph0">
    <w:name w:val="List Paragraph0"/>
    <w:uiPriority w:val="99"/>
    <w:rsid w:val="00FD6F82"/>
    <w:pPr>
      <w:numPr>
        <w:numId w:val="12"/>
      </w:numPr>
    </w:pPr>
  </w:style>
  <w:style w:type="paragraph" w:customStyle="1" w:styleId="ListParagraph2">
    <w:name w:val="List Paragraph 2"/>
    <w:basedOn w:val="ListParagraph"/>
    <w:uiPriority w:val="19"/>
    <w:rsid w:val="00FD6F82"/>
    <w:pPr>
      <w:suppressAutoHyphens w:val="0"/>
      <w:spacing w:before="0" w:after="120" w:line="260" w:lineRule="atLeast"/>
      <w:ind w:left="567"/>
      <w:contextualSpacing w:val="0"/>
    </w:pPr>
    <w:rPr>
      <w:rFonts w:asciiTheme="minorHAnsi" w:eastAsia="Times New Roman" w:hAnsiTheme="minorHAnsi" w:cs="Times New Roman"/>
      <w:color w:val="auto"/>
      <w:sz w:val="20"/>
      <w:szCs w:val="24"/>
      <w:lang w:eastAsia="en-AU"/>
    </w:rPr>
  </w:style>
  <w:style w:type="paragraph" w:customStyle="1" w:styleId="ListParagraph3">
    <w:name w:val="List Paragraph 3"/>
    <w:basedOn w:val="ListParagraph"/>
    <w:uiPriority w:val="19"/>
    <w:rsid w:val="00FD6F82"/>
    <w:pPr>
      <w:suppressAutoHyphens w:val="0"/>
      <w:spacing w:before="0" w:after="120" w:line="260" w:lineRule="atLeast"/>
      <w:ind w:left="851"/>
      <w:contextualSpacing w:val="0"/>
    </w:pPr>
    <w:rPr>
      <w:rFonts w:asciiTheme="minorHAnsi" w:eastAsia="Times New Roman" w:hAnsiTheme="minorHAnsi" w:cs="Times New Roman"/>
      <w:color w:val="auto"/>
      <w:sz w:val="20"/>
      <w:szCs w:val="24"/>
      <w:lang w:eastAsia="en-AU"/>
    </w:rPr>
  </w:style>
  <w:style w:type="paragraph" w:customStyle="1" w:styleId="ListParagraph4">
    <w:name w:val="List Paragraph 4"/>
    <w:basedOn w:val="ListParagraph"/>
    <w:uiPriority w:val="19"/>
    <w:rsid w:val="00FD6F82"/>
    <w:pPr>
      <w:suppressAutoHyphens w:val="0"/>
      <w:spacing w:before="0" w:after="120" w:line="260" w:lineRule="atLeast"/>
      <w:ind w:left="1134"/>
      <w:contextualSpacing w:val="0"/>
    </w:pPr>
    <w:rPr>
      <w:rFonts w:asciiTheme="minorHAnsi" w:eastAsia="Times New Roman" w:hAnsiTheme="minorHAnsi" w:cs="Times New Roman"/>
      <w:color w:val="auto"/>
      <w:sz w:val="20"/>
      <w:szCs w:val="24"/>
      <w:lang w:eastAsia="en-AU"/>
    </w:rPr>
  </w:style>
  <w:style w:type="paragraph" w:customStyle="1" w:styleId="ListParagraph5">
    <w:name w:val="List Paragraph 5"/>
    <w:basedOn w:val="ListParagraph"/>
    <w:uiPriority w:val="19"/>
    <w:rsid w:val="00FD6F82"/>
    <w:pPr>
      <w:suppressAutoHyphens w:val="0"/>
      <w:spacing w:before="0" w:after="120" w:line="260" w:lineRule="atLeast"/>
      <w:ind w:left="1418"/>
      <w:contextualSpacing w:val="0"/>
    </w:pPr>
    <w:rPr>
      <w:rFonts w:asciiTheme="minorHAnsi" w:eastAsia="Times New Roman" w:hAnsiTheme="minorHAnsi" w:cs="Times New Roman"/>
      <w:color w:val="auto"/>
      <w:sz w:val="20"/>
      <w:szCs w:val="24"/>
      <w:lang w:eastAsia="en-AU"/>
    </w:rPr>
  </w:style>
  <w:style w:type="paragraph" w:customStyle="1" w:styleId="ListParagraph6">
    <w:name w:val="List Paragraph 6"/>
    <w:basedOn w:val="ListParagraph"/>
    <w:uiPriority w:val="19"/>
    <w:rsid w:val="00FD6F82"/>
    <w:pPr>
      <w:suppressAutoHyphens w:val="0"/>
      <w:spacing w:before="0" w:after="120" w:line="260" w:lineRule="atLeast"/>
      <w:ind w:left="1701"/>
      <w:contextualSpacing w:val="0"/>
    </w:pPr>
    <w:rPr>
      <w:rFonts w:asciiTheme="minorHAnsi" w:eastAsia="Times New Roman" w:hAnsiTheme="minorHAnsi" w:cs="Times New Roman"/>
      <w:color w:val="auto"/>
      <w:sz w:val="20"/>
      <w:szCs w:val="24"/>
      <w:lang w:eastAsia="en-AU"/>
    </w:rPr>
  </w:style>
  <w:style w:type="paragraph" w:customStyle="1" w:styleId="Default">
    <w:name w:val="Default"/>
    <w:rsid w:val="00FD6F82"/>
    <w:pPr>
      <w:autoSpaceDE w:val="0"/>
      <w:autoSpaceDN w:val="0"/>
      <w:adjustRightInd w:val="0"/>
      <w:spacing w:after="0" w:line="240" w:lineRule="auto"/>
    </w:pPr>
    <w:rPr>
      <w:rFonts w:ascii="Arial" w:hAnsi="Arial" w:cs="Arial"/>
      <w:color w:val="000000"/>
      <w:sz w:val="24"/>
      <w:szCs w:val="24"/>
      <w14:ligatures w14:val="standardContextual"/>
    </w:rPr>
  </w:style>
  <w:style w:type="character" w:customStyle="1" w:styleId="ListParagraphChar">
    <w:name w:val="List Paragraph Char"/>
    <w:aliases w:val="Bullet points Char"/>
    <w:basedOn w:val="DefaultParagraphFont"/>
    <w:link w:val="ListParagraph"/>
    <w:uiPriority w:val="34"/>
    <w:locked/>
    <w:rsid w:val="00FD6F82"/>
    <w:rPr>
      <w:rFonts w:ascii="Arial" w:hAnsi="Arial"/>
      <w:color w:val="2F2F2F" w:themeColor="text1" w:themeTint="E6"/>
      <w:sz w:val="24"/>
    </w:rPr>
  </w:style>
  <w:style w:type="paragraph" w:customStyle="1" w:styleId="Subtitle3">
    <w:name w:val="Subtitle 3"/>
    <w:basedOn w:val="Normal"/>
    <w:next w:val="Normal"/>
    <w:rsid w:val="00C40E01"/>
    <w:pPr>
      <w:keepLines/>
      <w:suppressAutoHyphens w:val="0"/>
      <w:spacing w:before="240" w:after="120" w:line="240" w:lineRule="auto"/>
    </w:pPr>
    <w:rPr>
      <w:rFonts w:eastAsia="Times New Roman" w:cs="Times New Roman"/>
      <w:b/>
      <w:color w:val="auto"/>
      <w:szCs w:val="20"/>
      <w:lang w:eastAsia="en-AU"/>
    </w:rPr>
  </w:style>
  <w:style w:type="paragraph" w:customStyle="1" w:styleId="TableTitle">
    <w:name w:val="Table Title"/>
    <w:basedOn w:val="TableText"/>
    <w:rsid w:val="00C40E01"/>
    <w:pPr>
      <w:keepLines/>
      <w:spacing w:before="120" w:after="120"/>
    </w:pPr>
    <w:rPr>
      <w:rFonts w:ascii="Arial" w:eastAsia="Times New Roman" w:hAnsi="Arial" w:cs="Times New Roman"/>
      <w:b/>
      <w:sz w:val="22"/>
      <w:szCs w:val="20"/>
      <w:lang w:eastAsia="en-AU"/>
    </w:rPr>
  </w:style>
  <w:style w:type="character" w:styleId="UnresolvedMention">
    <w:name w:val="Unresolved Mention"/>
    <w:basedOn w:val="DefaultParagraphFont"/>
    <w:uiPriority w:val="99"/>
    <w:semiHidden/>
    <w:unhideWhenUsed/>
    <w:rsid w:val="00C40E01"/>
    <w:rPr>
      <w:color w:val="605E5C"/>
      <w:shd w:val="clear" w:color="auto" w:fill="E1DFDD"/>
    </w:rPr>
  </w:style>
  <w:style w:type="paragraph" w:styleId="Revision">
    <w:name w:val="Revision"/>
    <w:hidden/>
    <w:uiPriority w:val="99"/>
    <w:semiHidden/>
    <w:rsid w:val="005A3D7D"/>
    <w:pPr>
      <w:spacing w:after="0" w:line="240" w:lineRule="auto"/>
    </w:pPr>
    <w:rPr>
      <w:rFonts w:ascii="Arial" w:hAnsi="Arial"/>
      <w:color w:val="2F2F2F" w:themeColor="text1" w:themeTint="E6"/>
      <w:sz w:val="24"/>
    </w:rPr>
  </w:style>
  <w:style w:type="table" w:styleId="ListTable3-Accent3">
    <w:name w:val="List Table 3 Accent 3"/>
    <w:basedOn w:val="TableNormal"/>
    <w:uiPriority w:val="48"/>
    <w:locked/>
    <w:rsid w:val="00452DBC"/>
    <w:pPr>
      <w:spacing w:after="0" w:line="240" w:lineRule="auto"/>
    </w:pPr>
    <w:tblPr>
      <w:tblStyleRowBandSize w:val="1"/>
      <w:tblStyleColBandSize w:val="1"/>
      <w:tblBorders>
        <w:top w:val="single" w:sz="4" w:space="0" w:color="005EB8" w:themeColor="accent3"/>
        <w:left w:val="single" w:sz="4" w:space="0" w:color="005EB8" w:themeColor="accent3"/>
        <w:bottom w:val="single" w:sz="4" w:space="0" w:color="005EB8" w:themeColor="accent3"/>
        <w:right w:val="single" w:sz="4" w:space="0" w:color="005EB8" w:themeColor="accent3"/>
      </w:tblBorders>
    </w:tblPr>
    <w:tblStylePr w:type="firstRow">
      <w:rPr>
        <w:b/>
        <w:bCs/>
        <w:color w:val="FFFFFF" w:themeColor="background1"/>
      </w:rPr>
      <w:tblPr/>
      <w:tcPr>
        <w:shd w:val="clear" w:color="auto" w:fill="005EB8" w:themeFill="accent3"/>
      </w:tcPr>
    </w:tblStylePr>
    <w:tblStylePr w:type="lastRow">
      <w:rPr>
        <w:b/>
        <w:bCs/>
      </w:rPr>
      <w:tblPr/>
      <w:tcPr>
        <w:tcBorders>
          <w:top w:val="double" w:sz="4" w:space="0" w:color="005EB8"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EB8" w:themeColor="accent3"/>
          <w:right w:val="single" w:sz="4" w:space="0" w:color="005EB8" w:themeColor="accent3"/>
        </w:tcBorders>
      </w:tcPr>
    </w:tblStylePr>
    <w:tblStylePr w:type="band1Horz">
      <w:tblPr/>
      <w:tcPr>
        <w:tcBorders>
          <w:top w:val="single" w:sz="4" w:space="0" w:color="005EB8" w:themeColor="accent3"/>
          <w:bottom w:val="single" w:sz="4" w:space="0" w:color="005EB8"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EB8" w:themeColor="accent3"/>
          <w:left w:val="nil"/>
        </w:tcBorders>
      </w:tcPr>
    </w:tblStylePr>
    <w:tblStylePr w:type="swCell">
      <w:tblPr/>
      <w:tcPr>
        <w:tcBorders>
          <w:top w:val="double" w:sz="4" w:space="0" w:color="005EB8" w:themeColor="accent3"/>
          <w:right w:val="nil"/>
        </w:tcBorders>
      </w:tcPr>
    </w:tblStylePr>
  </w:style>
  <w:style w:type="table" w:styleId="GridTable4-Accent3">
    <w:name w:val="Grid Table 4 Accent 3"/>
    <w:basedOn w:val="TableNormal"/>
    <w:uiPriority w:val="49"/>
    <w:locked/>
    <w:rsid w:val="00452DBC"/>
    <w:pPr>
      <w:spacing w:after="0" w:line="240" w:lineRule="auto"/>
    </w:pPr>
    <w:tblPr>
      <w:tblStyleRowBandSize w:val="1"/>
      <w:tblStyleColBandSize w:val="1"/>
      <w:tblBorders>
        <w:top w:val="single" w:sz="4" w:space="0" w:color="3B9FFF" w:themeColor="accent3" w:themeTint="99"/>
        <w:left w:val="single" w:sz="4" w:space="0" w:color="3B9FFF" w:themeColor="accent3" w:themeTint="99"/>
        <w:bottom w:val="single" w:sz="4" w:space="0" w:color="3B9FFF" w:themeColor="accent3" w:themeTint="99"/>
        <w:right w:val="single" w:sz="4" w:space="0" w:color="3B9FFF" w:themeColor="accent3" w:themeTint="99"/>
        <w:insideH w:val="single" w:sz="4" w:space="0" w:color="3B9FFF" w:themeColor="accent3" w:themeTint="99"/>
        <w:insideV w:val="single" w:sz="4" w:space="0" w:color="3B9FFF" w:themeColor="accent3" w:themeTint="99"/>
      </w:tblBorders>
    </w:tblPr>
    <w:tblStylePr w:type="firstRow">
      <w:rPr>
        <w:b/>
        <w:bCs/>
        <w:color w:val="FFFFFF" w:themeColor="background1"/>
      </w:rPr>
      <w:tblPr/>
      <w:tcPr>
        <w:tcBorders>
          <w:top w:val="single" w:sz="4" w:space="0" w:color="005EB8" w:themeColor="accent3"/>
          <w:left w:val="single" w:sz="4" w:space="0" w:color="005EB8" w:themeColor="accent3"/>
          <w:bottom w:val="single" w:sz="4" w:space="0" w:color="005EB8" w:themeColor="accent3"/>
          <w:right w:val="single" w:sz="4" w:space="0" w:color="005EB8" w:themeColor="accent3"/>
          <w:insideH w:val="nil"/>
          <w:insideV w:val="nil"/>
        </w:tcBorders>
        <w:shd w:val="clear" w:color="auto" w:fill="005EB8" w:themeFill="accent3"/>
      </w:tcPr>
    </w:tblStylePr>
    <w:tblStylePr w:type="lastRow">
      <w:rPr>
        <w:b/>
        <w:bCs/>
      </w:rPr>
      <w:tblPr/>
      <w:tcPr>
        <w:tcBorders>
          <w:top w:val="double" w:sz="4" w:space="0" w:color="005EB8" w:themeColor="accent3"/>
        </w:tcBorders>
      </w:tcPr>
    </w:tblStylePr>
    <w:tblStylePr w:type="firstCol">
      <w:rPr>
        <w:b/>
        <w:bCs/>
      </w:rPr>
    </w:tblStylePr>
    <w:tblStylePr w:type="lastCol">
      <w:rPr>
        <w:b/>
        <w:bCs/>
      </w:rPr>
    </w:tblStylePr>
    <w:tblStylePr w:type="band1Vert">
      <w:tblPr/>
      <w:tcPr>
        <w:shd w:val="clear" w:color="auto" w:fill="BDDEFF" w:themeFill="accent3" w:themeFillTint="33"/>
      </w:tcPr>
    </w:tblStylePr>
    <w:tblStylePr w:type="band1Horz">
      <w:tblPr/>
      <w:tcPr>
        <w:shd w:val="clear" w:color="auto" w:fill="BDDEFF"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785960">
      <w:bodyDiv w:val="1"/>
      <w:marLeft w:val="0"/>
      <w:marRight w:val="0"/>
      <w:marTop w:val="0"/>
      <w:marBottom w:val="0"/>
      <w:divBdr>
        <w:top w:val="none" w:sz="0" w:space="0" w:color="auto"/>
        <w:left w:val="none" w:sz="0" w:space="0" w:color="auto"/>
        <w:bottom w:val="none" w:sz="0" w:space="0" w:color="auto"/>
        <w:right w:val="none" w:sz="0" w:space="0" w:color="auto"/>
      </w:divBdr>
    </w:div>
    <w:div w:id="138302429">
      <w:bodyDiv w:val="1"/>
      <w:marLeft w:val="0"/>
      <w:marRight w:val="0"/>
      <w:marTop w:val="0"/>
      <w:marBottom w:val="0"/>
      <w:divBdr>
        <w:top w:val="none" w:sz="0" w:space="0" w:color="auto"/>
        <w:left w:val="none" w:sz="0" w:space="0" w:color="auto"/>
        <w:bottom w:val="none" w:sz="0" w:space="0" w:color="auto"/>
        <w:right w:val="none" w:sz="0" w:space="0" w:color="auto"/>
      </w:divBdr>
    </w:div>
    <w:div w:id="748500527">
      <w:bodyDiv w:val="1"/>
      <w:marLeft w:val="0"/>
      <w:marRight w:val="0"/>
      <w:marTop w:val="0"/>
      <w:marBottom w:val="0"/>
      <w:divBdr>
        <w:top w:val="none" w:sz="0" w:space="0" w:color="auto"/>
        <w:left w:val="none" w:sz="0" w:space="0" w:color="auto"/>
        <w:bottom w:val="none" w:sz="0" w:space="0" w:color="auto"/>
        <w:right w:val="none" w:sz="0" w:space="0" w:color="auto"/>
      </w:divBdr>
    </w:div>
    <w:div w:id="1401516346">
      <w:bodyDiv w:val="1"/>
      <w:marLeft w:val="0"/>
      <w:marRight w:val="0"/>
      <w:marTop w:val="0"/>
      <w:marBottom w:val="0"/>
      <w:divBdr>
        <w:top w:val="none" w:sz="0" w:space="0" w:color="auto"/>
        <w:left w:val="none" w:sz="0" w:space="0" w:color="auto"/>
        <w:bottom w:val="none" w:sz="0" w:space="0" w:color="auto"/>
        <w:right w:val="none" w:sz="0" w:space="0" w:color="auto"/>
      </w:divBdr>
    </w:div>
    <w:div w:id="1687443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0.jpeg"/><Relationship Id="rId39" Type="http://schemas.openxmlformats.org/officeDocument/2006/relationships/theme" Target="theme/theme1.xml"/><Relationship Id="rId21" Type="http://schemas.openxmlformats.org/officeDocument/2006/relationships/hyperlink" Target="https://www.tmr.qld.gov.au/Safety/Road-safety/Road-Safety-Policy" TargetMode="External"/><Relationship Id="rId34" Type="http://schemas.openxmlformats.org/officeDocument/2006/relationships/hyperlink" Target="http://www.tmr.qld.gov.au" TargetMode="External"/><Relationship Id="rId7" Type="http://schemas.openxmlformats.org/officeDocument/2006/relationships/settings" Target="settings.xml"/><Relationship Id="rId12" Type="http://schemas.openxmlformats.org/officeDocument/2006/relationships/footer" Target="footer1.xml"/><Relationship Id="rId17" Type="http://schemas.microsoft.com/office/2007/relationships/hdphoto" Target="media/hdphoto1.wdp"/><Relationship Id="rId25" Type="http://schemas.openxmlformats.org/officeDocument/2006/relationships/image" Target="media/image9.png"/><Relationship Id="rId33" Type="http://schemas.openxmlformats.org/officeDocument/2006/relationships/hyperlink" Target="http://www.tmr.qld.gov.au"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www.tmr.qld.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www.tmr.qld.gov.au" TargetMode="External"/><Relationship Id="rId37" Type="http://schemas.openxmlformats.org/officeDocument/2006/relationships/hyperlink" Target="http://www.ipwea-qnt.com" TargetMode="Externa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7.jpeg"/><Relationship Id="rId28" Type="http://schemas.openxmlformats.org/officeDocument/2006/relationships/hyperlink" Target="http://www.tmr.qld.gov.au" TargetMode="External"/><Relationship Id="rId36" Type="http://schemas.openxmlformats.org/officeDocument/2006/relationships/hyperlink" Target="http://www.legislation.qld.gov.au/" TargetMode="External"/><Relationship Id="rId10" Type="http://schemas.openxmlformats.org/officeDocument/2006/relationships/endnotes" Target="endnotes.xml"/><Relationship Id="rId19" Type="http://schemas.openxmlformats.org/officeDocument/2006/relationships/image" Target="media/image4.png"/><Relationship Id="rId31" Type="http://schemas.openxmlformats.org/officeDocument/2006/relationships/hyperlink" Target="http://www.tmr.qld.gov.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6.png"/><Relationship Id="rId27" Type="http://schemas.openxmlformats.org/officeDocument/2006/relationships/hyperlink" Target="http://www.tmr.qld.gov.au" TargetMode="External"/><Relationship Id="rId30" Type="http://schemas.openxmlformats.org/officeDocument/2006/relationships/hyperlink" Target="http://www.tmr.qld.gov.au" TargetMode="External"/><Relationship Id="rId35" Type="http://schemas.openxmlformats.org/officeDocument/2006/relationships/hyperlink" Target="http://www.tmr.qld.gov.au"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hnaran\Downloads\Report_A4_portrait%20(1)%20-%20Copy.dotx" TargetMode="External"/></Relationships>
</file>

<file path=word/theme/theme1.xml><?xml version="1.0" encoding="utf-8"?>
<a:theme xmlns:a="http://schemas.openxmlformats.org/drawingml/2006/main" name="Theme-TMR">
  <a:themeElements>
    <a:clrScheme name="Whole-of-Government">
      <a:dk1>
        <a:srgbClr val="191919"/>
      </a:dk1>
      <a:lt1>
        <a:srgbClr val="FFFFFF"/>
      </a:lt1>
      <a:dk2>
        <a:srgbClr val="001224"/>
      </a:dk2>
      <a:lt2>
        <a:srgbClr val="E5EEF7"/>
      </a:lt2>
      <a:accent1>
        <a:srgbClr val="002549"/>
      </a:accent1>
      <a:accent2>
        <a:srgbClr val="004180"/>
      </a:accent2>
      <a:accent3>
        <a:srgbClr val="005EB8"/>
      </a:accent3>
      <a:accent4>
        <a:srgbClr val="7FAEDB"/>
      </a:accent4>
      <a:accent5>
        <a:srgbClr val="B2CEE9"/>
      </a:accent5>
      <a:accent6>
        <a:srgbClr val="FFFFFF"/>
      </a:accent6>
      <a:hlink>
        <a:srgbClr val="005EB8"/>
      </a:hlink>
      <a:folHlink>
        <a:srgbClr val="005EB8"/>
      </a:folHlink>
    </a:clrScheme>
    <a:fontScheme name="TMR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1e5b14-176d-4472-8955-f2daf5aa6399" xsi:nil="true"/>
    <Assetcategory xmlns="c1d21c1b-27d9-49b6-88a2-19712b9d0625">A4 Document</Assetcategory>
    <lcf76f155ced4ddcb4097134ff3c332f xmlns="c1d21c1b-27d9-49b6-88a2-19712b9d0625">
      <Terms xmlns="http://schemas.microsoft.com/office/infopath/2007/PartnerControls"/>
    </lcf76f155ced4ddcb4097134ff3c332f>
    <Filecategory xmlns="c1d21c1b-27d9-49b6-88a2-19712b9d0625">Template</Filecategory>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335BED988575C5468DC98DC38ED1014F" ma:contentTypeVersion="14" ma:contentTypeDescription="Create a new document." ma:contentTypeScope="" ma:versionID="7ab9cd1720f02732a2e09640a0fa9671">
  <xsd:schema xmlns:xsd="http://www.w3.org/2001/XMLSchema" xmlns:xs="http://www.w3.org/2001/XMLSchema" xmlns:p="http://schemas.microsoft.com/office/2006/metadata/properties" xmlns:ns2="c1d21c1b-27d9-49b6-88a2-19712b9d0625" xmlns:ns3="c81e5b14-176d-4472-8955-f2daf5aa6399" targetNamespace="http://schemas.microsoft.com/office/2006/metadata/properties" ma:root="true" ma:fieldsID="539cdd4ecd859feada13a52dfb58b7f7" ns2:_="" ns3:_="">
    <xsd:import namespace="c1d21c1b-27d9-49b6-88a2-19712b9d0625"/>
    <xsd:import namespace="c81e5b14-176d-4472-8955-f2daf5aa6399"/>
    <xsd:element name="properties">
      <xsd:complexType>
        <xsd:sequence>
          <xsd:element name="documentManagement">
            <xsd:complexType>
              <xsd:all>
                <xsd:element ref="ns2:Assetcategory" minOccurs="0"/>
                <xsd:element ref="ns2:Filecategory"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21c1b-27d9-49b6-88a2-19712b9d0625" elementFormDefault="qualified">
    <xsd:import namespace="http://schemas.microsoft.com/office/2006/documentManagement/types"/>
    <xsd:import namespace="http://schemas.microsoft.com/office/infopath/2007/PartnerControls"/>
    <xsd:element name="Assetcategory" ma:index="8" nillable="true" ma:displayName="Asset category" ma:format="Dropdown" ma:internalName="Assetcategory">
      <xsd:simpleType>
        <xsd:restriction base="dms:Choice">
          <xsd:enumeration value="A3–A0 Posters"/>
          <xsd:enumeration value="A4 Document"/>
          <xsd:enumeration value="DL–A6 Flyers and postcards"/>
          <xsd:enumeration value="Building sign"/>
          <xsd:enumeration value="Funding recognition"/>
          <xsd:enumeration value="Advertisement print"/>
          <xsd:enumeration value="Mapping"/>
          <xsd:enumeration value="Presentation"/>
          <xsd:enumeration value="Intranet"/>
          <xsd:enumeration value="Government websites"/>
          <xsd:enumeration value="Social media"/>
          <xsd:enumeration value="Stationary"/>
          <xsd:enumeration value="Newsletters"/>
          <xsd:enumeration value="Screensavers"/>
          <xsd:enumeration value="Advertisement billboard"/>
          <xsd:enumeration value="Building Australia project mesh"/>
          <xsd:enumeration value="Building Australia project sign"/>
          <xsd:enumeration value="Building Australia project plaque"/>
          <xsd:enumeration value="Building Australia project ribbon"/>
          <xsd:enumeration value="Contact card"/>
          <xsd:enumeration value="Project plaque"/>
          <xsd:enumeration value="Project sign"/>
          <xsd:enumeration value="Project mesh"/>
          <xsd:enumeration value="Project ribbon"/>
          <xsd:enumeration value="Staff certificate"/>
          <xsd:enumeration value="Staff years of service plaque"/>
          <xsd:enumeration value="Pullup banners"/>
          <xsd:enumeration value="Queensland government coat of arms"/>
          <xsd:enumeration value="Federal government logos"/>
          <xsd:enumeration value="Colour palette"/>
          <xsd:enumeration value="Perspective graphic"/>
          <xsd:enumeration value="A5 Booklets"/>
          <xsd:enumeration value="Tri-fold signs"/>
          <xsd:enumeration value="A-frame signs"/>
          <xsd:enumeration value="Motion graphics"/>
          <xsd:enumeration value="Brand guidelines"/>
          <xsd:enumeration value="Emails"/>
          <xsd:enumeration value="Visual System"/>
        </xsd:restriction>
      </xsd:simpleType>
    </xsd:element>
    <xsd:element name="Filecategory" ma:index="9" nillable="true" ma:displayName="File category" ma:format="Dropdown" ma:internalName="Filecategory">
      <xsd:simpleType>
        <xsd:restriction base="dms:Choice">
          <xsd:enumeration value="Template"/>
          <xsd:enumeration value="Example"/>
          <xsd:enumeration value="Asset"/>
          <xsd:enumeration value="Support"/>
          <xsd:enumeration value="Print-ready"/>
          <xsd:enumeration value="Interactive PDF template"/>
          <xsd:enumeration value="Offline guide"/>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f9ec6a42-900c-40b9-95df-acf57bf21585"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81e5b14-176d-4472-8955-f2daf5aa639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d8ab0f1b-1d70-41b3-8e0d-0771c8803e4a}" ma:internalName="TaxCatchAll" ma:showField="CatchAllData" ma:web="c81e5b14-176d-4472-8955-f2daf5aa639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E360132-446C-4F51-9C77-834A95900CB1}">
  <ds:schemaRefs>
    <ds:schemaRef ds:uri="c1d21c1b-27d9-49b6-88a2-19712b9d0625"/>
    <ds:schemaRef ds:uri="http://purl.org/dc/elements/1.1/"/>
    <ds:schemaRef ds:uri="c81e5b14-176d-4472-8955-f2daf5aa6399"/>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 ds:uri="http://purl.org/dc/terms/"/>
  </ds:schemaRefs>
</ds:datastoreItem>
</file>

<file path=customXml/itemProps2.xml><?xml version="1.0" encoding="utf-8"?>
<ds:datastoreItem xmlns:ds="http://schemas.openxmlformats.org/officeDocument/2006/customXml" ds:itemID="{FEDFB130-02EE-47ED-84D9-ADB0DB5CCD5A}">
  <ds:schemaRefs>
    <ds:schemaRef ds:uri="http://schemas.openxmlformats.org/officeDocument/2006/bibliography"/>
  </ds:schemaRefs>
</ds:datastoreItem>
</file>

<file path=customXml/itemProps3.xml><?xml version="1.0" encoding="utf-8"?>
<ds:datastoreItem xmlns:ds="http://schemas.openxmlformats.org/officeDocument/2006/customXml" ds:itemID="{D7660FC6-0919-41EE-ADF0-CAE61BDC43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21c1b-27d9-49b6-88a2-19712b9d0625"/>
    <ds:schemaRef ds:uri="c81e5b14-176d-4472-8955-f2daf5aa639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F65F464-DEAF-4957-BE4F-6AF816E8048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Report_A4_portrait (1) - Copy</Template>
  <TotalTime>46</TotalTime>
  <Pages>28</Pages>
  <Words>5705</Words>
  <Characters>32524</Characters>
  <Application>Microsoft Office Word</Application>
  <DocSecurity>2</DocSecurity>
  <Lines>271</Lines>
  <Paragraphs>76</Paragraphs>
  <ScaleCrop>false</ScaleCrop>
  <HeadingPairs>
    <vt:vector size="2" baseType="variant">
      <vt:variant>
        <vt:lpstr>Title</vt:lpstr>
      </vt:variant>
      <vt:variant>
        <vt:i4>1</vt:i4>
      </vt:variant>
    </vt:vector>
  </HeadingPairs>
  <TitlesOfParts>
    <vt:vector size="1" baseType="lpstr">
      <vt:lpstr>Active Transport Investment Program Technical Guidance</vt:lpstr>
    </vt:vector>
  </TitlesOfParts>
  <Company/>
  <LinksUpToDate>false</LinksUpToDate>
  <CharactersWithSpaces>38153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Active Transport Investment Program Technical Guidance</dc:title>
  <dc:subject/>
  <dc:creator>NATASHA H NARANIECKI</dc:creator>
  <cp:keywords/>
  <dc:description/>
  <cp:lastModifiedBy>Nadia T Williams</cp:lastModifiedBy>
  <cp:revision>8</cp:revision>
  <dcterms:created xsi:type="dcterms:W3CDTF">2025-11-11T00:00:00Z</dcterms:created>
  <dcterms:modified xsi:type="dcterms:W3CDTF">2025-11-26T00:46:00Z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0x010100335BED988575C5468DC98DC38ED1014F</vt:lpwstr>
  </property>
  <property fmtid="{D5CDD505-2E9C-101B-9397-08002B2CF9AE}" pid="3" name="tmrTopic">
    <vt:lpwstr>42;#Template|46682155-7949-451c-b947-cbe70f39baa4;#10;#Branding|d294e289-6d23-487b-9b39-1118022dea9f</vt:lpwstr>
  </property>
  <property fmtid="{D5CDD505-2E9C-101B-9397-08002B2CF9AE}" pid="4" name="tmrDivision">
    <vt:lpwstr/>
  </property>
  <property fmtid="{D5CDD505-2E9C-101B-9397-08002B2CF9AE}" pid="5" name="tmrDocumentType">
    <vt:lpwstr>43;#Template|1d838a78-56d7-4bed-b3b5-0c57b696e892</vt:lpwstr>
  </property>
  <property fmtid="{D5CDD505-2E9C-101B-9397-08002B2CF9AE}" pid="6" name="tmrBranch">
    <vt:lpwstr/>
  </property>
  <property fmtid="{D5CDD505-2E9C-101B-9397-08002B2CF9AE}" pid="7" name="MediaServiceImageTags">
    <vt:lpwstr/>
  </property>
</Properties>
</file>