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E530" w14:textId="77777777" w:rsidR="00DF6B02" w:rsidRDefault="00DF6B02" w:rsidP="003D4656">
      <w:pPr>
        <w:pStyle w:val="BodyText"/>
        <w:jc w:val="center"/>
        <w:rPr>
          <w:b/>
          <w:sz w:val="28"/>
          <w:szCs w:val="28"/>
        </w:rPr>
      </w:pPr>
    </w:p>
    <w:p w14:paraId="6D2243EB" w14:textId="528F2C8E" w:rsidR="005F59D0" w:rsidRPr="004117D3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 </w:t>
      </w:r>
      <w:r w:rsidR="00F57459">
        <w:rPr>
          <w:b/>
          <w:sz w:val="28"/>
          <w:szCs w:val="28"/>
        </w:rPr>
        <w:t>SUNSHINE COAST</w:t>
      </w:r>
      <w:r w:rsidR="00A20899">
        <w:rPr>
          <w:b/>
          <w:sz w:val="28"/>
          <w:szCs w:val="28"/>
        </w:rPr>
        <w:t xml:space="preserve"> </w:t>
      </w:r>
      <w:r w:rsidR="003D4656" w:rsidRPr="001A1924">
        <w:rPr>
          <w:b/>
          <w:sz w:val="28"/>
          <w:szCs w:val="28"/>
        </w:rPr>
        <w:t>SERVICE CONTRACT AREA</w:t>
      </w:r>
      <w:r w:rsidR="00960E62" w:rsidRPr="001A1924">
        <w:rPr>
          <w:b/>
          <w:sz w:val="28"/>
          <w:szCs w:val="28"/>
        </w:rPr>
        <w:t>/ROUTE</w:t>
      </w:r>
    </w:p>
    <w:p w14:paraId="7E4D8726" w14:textId="3E76AF15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1A1924" w:rsidRPr="004E1AC7">
        <w:t xml:space="preserve"> </w:t>
      </w:r>
      <w:r w:rsidR="008715C8">
        <w:t>2</w:t>
      </w:r>
      <w:r w:rsidR="00523FB5">
        <w:t>7</w:t>
      </w:r>
      <w:r w:rsidR="004E1AC7" w:rsidRPr="004E1AC7">
        <w:t xml:space="preserve"> </w:t>
      </w:r>
      <w:r w:rsidR="008715C8">
        <w:t>J</w:t>
      </w:r>
      <w:r w:rsidR="00523FB5">
        <w:t>anuary</w:t>
      </w:r>
      <w:r w:rsidR="00A20899" w:rsidRPr="004E1AC7">
        <w:t xml:space="preserve"> </w:t>
      </w:r>
      <w:r w:rsidR="001A1924" w:rsidRPr="004E1AC7">
        <w:t>202</w:t>
      </w:r>
      <w:r w:rsidR="00523FB5">
        <w:t>5</w:t>
      </w:r>
      <w:r w:rsidRPr="004E1AC7">
        <w:t xml:space="preserve"> the</w:t>
      </w:r>
      <w:r w:rsidR="00C114CC">
        <w:t xml:space="preserve"> Sunshine Coast</w:t>
      </w:r>
      <w:r w:rsidR="001A1924" w:rsidRPr="004E1AC7">
        <w:t xml:space="preserve"> service contract area/route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0C13DA9B" w14:textId="6B717CEB" w:rsidR="00A0186C" w:rsidRDefault="00735E5B" w:rsidP="00D9466A">
      <w:pPr>
        <w:pStyle w:val="BodyText"/>
        <w:tabs>
          <w:tab w:val="left" w:pos="7544"/>
        </w:tabs>
        <w:ind w:left="-851" w:right="-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7BD22599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554D4" id="Rectangle 3" o:spid="_x0000_s1026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6E3854">
        <w:rPr>
          <w:noProof/>
        </w:rPr>
        <w:t xml:space="preserve">   </w:t>
      </w:r>
      <w:r w:rsidR="00D3627C" w:rsidRPr="00BA60CB">
        <w:rPr>
          <w:rFonts w:asciiTheme="minorHAnsi" w:hAnsiTheme="minorHAnsi" w:cstheme="minorHAnsi"/>
          <w:noProof/>
        </w:rPr>
        <w:drawing>
          <wp:inline distT="0" distB="0" distL="0" distR="0" wp14:anchorId="2C1AE002" wp14:editId="09B86BAD">
            <wp:extent cx="6710865" cy="4638675"/>
            <wp:effectExtent l="0" t="0" r="0" b="0"/>
            <wp:docPr id="1903953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534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25873" cy="46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854">
        <w:rPr>
          <w:noProof/>
        </w:rPr>
        <w:t xml:space="preserve"> </w:t>
      </w:r>
      <w:r w:rsidR="00A0186C">
        <w:rPr>
          <w:noProof/>
        </w:rPr>
        <w:t xml:space="preserve">                </w:t>
      </w:r>
      <w:r w:rsidR="006E3854">
        <w:rPr>
          <w:noProof/>
        </w:rPr>
        <w:t xml:space="preserve"> </w:t>
      </w:r>
      <w:r w:rsidR="00BE0187">
        <w:rPr>
          <w:noProof/>
        </w:rPr>
        <w:t xml:space="preserve">                           </w:t>
      </w:r>
      <w:r w:rsidR="006E3854">
        <w:rPr>
          <w:noProof/>
        </w:rPr>
        <w:t xml:space="preserve">    </w:t>
      </w:r>
      <w:r w:rsidR="00D9466A">
        <w:rPr>
          <w:noProof/>
        </w:rPr>
        <w:tab/>
      </w:r>
    </w:p>
    <w:p w14:paraId="21431133" w14:textId="77777777" w:rsidR="00250A17" w:rsidRDefault="00892B1A" w:rsidP="00250A17">
      <w:pPr>
        <w:pStyle w:val="BodyText"/>
        <w:ind w:left="-851" w:right="-709"/>
        <w:jc w:val="both"/>
      </w:pPr>
      <w:r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960E62" w:rsidRPr="001A1924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7D36A038" w14:textId="77777777" w:rsidR="00250A17" w:rsidRDefault="00250A17" w:rsidP="00250A17">
      <w:pPr>
        <w:pStyle w:val="BodyText"/>
        <w:ind w:left="-851" w:right="-709"/>
        <w:jc w:val="both"/>
      </w:pPr>
    </w:p>
    <w:p w14:paraId="29FB5BB8" w14:textId="24F78947" w:rsidR="008E59B7" w:rsidRDefault="00250A17" w:rsidP="00250A17">
      <w:pPr>
        <w:pStyle w:val="BodyText"/>
        <w:ind w:left="-851" w:right="-709"/>
        <w:jc w:val="both"/>
      </w:pPr>
      <w:r>
        <w:rPr>
          <w:noProof/>
        </w:rPr>
        <w:drawing>
          <wp:inline distT="0" distB="0" distL="0" distR="0" wp14:anchorId="475A21AA" wp14:editId="67CA4B6D">
            <wp:extent cx="821690" cy="480744"/>
            <wp:effectExtent l="0" t="0" r="0" b="0"/>
            <wp:docPr id="2014696146" name="Picture 1" descr="Signature of Rachael Coch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27984" name="Picture 1" descr="Signature of Rachael Cochran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64" cy="49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738">
        <w:rPr>
          <w:noProof/>
        </w:rPr>
        <w:t xml:space="preserve">                         </w:t>
      </w:r>
    </w:p>
    <w:p w14:paraId="700DF5FA" w14:textId="24D8827D" w:rsidR="001A1924" w:rsidRDefault="00523FB5" w:rsidP="004D42FC">
      <w:pPr>
        <w:pStyle w:val="BodyText"/>
        <w:ind w:left="-851"/>
      </w:pPr>
      <w:r>
        <w:t>Rachael Cochrane</w:t>
      </w:r>
      <w:r w:rsidR="001A1924" w:rsidRPr="00A64510">
        <w:rPr>
          <w:highlight w:val="yellow"/>
        </w:rPr>
        <w:br/>
      </w:r>
      <w:r w:rsidR="00611A1C">
        <w:rPr>
          <w:b/>
          <w:bCs/>
        </w:rPr>
        <w:t>A/</w:t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7F40CDA7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E76D91">
        <w:t>24</w:t>
      </w:r>
      <w:r w:rsidR="0028592D">
        <w:t>/0</w:t>
      </w:r>
      <w:r w:rsidR="00E76D91">
        <w:t>1</w:t>
      </w:r>
      <w:r w:rsidR="0028592D">
        <w:t>/202</w:t>
      </w:r>
      <w:r w:rsidR="00E76D91">
        <w:t>5</w:t>
      </w:r>
    </w:p>
    <w:sectPr w:rsidR="003D4656" w:rsidRPr="003D4656" w:rsidSect="001C69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D50C" w14:textId="77777777" w:rsidR="00F4445A" w:rsidRDefault="00F4445A" w:rsidP="00CA4A07">
      <w:r>
        <w:separator/>
      </w:r>
    </w:p>
  </w:endnote>
  <w:endnote w:type="continuationSeparator" w:id="0">
    <w:p w14:paraId="296483CA" w14:textId="77777777" w:rsidR="00F4445A" w:rsidRDefault="00F4445A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A682" w14:textId="77777777" w:rsidR="00B137FD" w:rsidRDefault="00B13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FA5A" w14:textId="77777777" w:rsidR="00B137FD" w:rsidRDefault="00B137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5A15D2BA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71B4" w14:textId="77777777" w:rsidR="00F4445A" w:rsidRDefault="00F4445A" w:rsidP="00CA4A07">
      <w:r>
        <w:separator/>
      </w:r>
    </w:p>
  </w:footnote>
  <w:footnote w:type="continuationSeparator" w:id="0">
    <w:p w14:paraId="26294626" w14:textId="77777777" w:rsidR="00F4445A" w:rsidRDefault="00F4445A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9A3" w14:textId="77777777" w:rsidR="00CA4A07" w:rsidRDefault="004A7EC5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EC8B" w14:textId="77777777" w:rsidR="00CA4A07" w:rsidRDefault="004A7EC5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03F" w14:textId="318E34FD" w:rsidR="00CA4A07" w:rsidRPr="00CA4A07" w:rsidRDefault="00B043C8" w:rsidP="00CA4A07">
    <w:pPr>
      <w:pStyle w:val="Header"/>
      <w:jc w:val="center"/>
      <w:rPr>
        <w:color w:val="FFFFFF" w:themeColor="background1"/>
      </w:rPr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6B036FC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C5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  <w:r w:rsidRPr="00B043C8">
      <w:rPr>
        <w:b/>
        <w:color w:val="FFFFFF" w:themeColor="background1"/>
      </w:rPr>
      <w:t>NOTICE</w: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28503">
    <w:abstractNumId w:val="4"/>
  </w:num>
  <w:num w:numId="2" w16cid:durableId="551841734">
    <w:abstractNumId w:val="8"/>
  </w:num>
  <w:num w:numId="3" w16cid:durableId="1871645666">
    <w:abstractNumId w:val="1"/>
  </w:num>
  <w:num w:numId="4" w16cid:durableId="898712632">
    <w:abstractNumId w:val="0"/>
  </w:num>
  <w:num w:numId="5" w16cid:durableId="2110587545">
    <w:abstractNumId w:val="5"/>
  </w:num>
  <w:num w:numId="6" w16cid:durableId="370228542">
    <w:abstractNumId w:val="6"/>
  </w:num>
  <w:num w:numId="7" w16cid:durableId="1549074738">
    <w:abstractNumId w:val="3"/>
  </w:num>
  <w:num w:numId="8" w16cid:durableId="742532293">
    <w:abstractNumId w:val="7"/>
  </w:num>
  <w:num w:numId="9" w16cid:durableId="1471826289">
    <w:abstractNumId w:val="2"/>
  </w:num>
  <w:num w:numId="10" w16cid:durableId="1090202455">
    <w:abstractNumId w:val="10"/>
  </w:num>
  <w:num w:numId="11" w16cid:durableId="1716853337">
    <w:abstractNumId w:val="9"/>
  </w:num>
  <w:num w:numId="12" w16cid:durableId="592787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26CE"/>
    <w:rsid w:val="00013AEA"/>
    <w:rsid w:val="00024C73"/>
    <w:rsid w:val="00034F7A"/>
    <w:rsid w:val="000758C1"/>
    <w:rsid w:val="000763C2"/>
    <w:rsid w:val="00077A56"/>
    <w:rsid w:val="00092B8A"/>
    <w:rsid w:val="000D234B"/>
    <w:rsid w:val="00104EDF"/>
    <w:rsid w:val="0014543B"/>
    <w:rsid w:val="00171144"/>
    <w:rsid w:val="00173EAC"/>
    <w:rsid w:val="001779B2"/>
    <w:rsid w:val="001958C7"/>
    <w:rsid w:val="001A1924"/>
    <w:rsid w:val="001A55C9"/>
    <w:rsid w:val="001C6960"/>
    <w:rsid w:val="001E3713"/>
    <w:rsid w:val="002012F6"/>
    <w:rsid w:val="00207099"/>
    <w:rsid w:val="002402E5"/>
    <w:rsid w:val="00247D9C"/>
    <w:rsid w:val="00250A17"/>
    <w:rsid w:val="00256C9E"/>
    <w:rsid w:val="00273782"/>
    <w:rsid w:val="00274689"/>
    <w:rsid w:val="0028592D"/>
    <w:rsid w:val="002C49A7"/>
    <w:rsid w:val="00306C7F"/>
    <w:rsid w:val="00371079"/>
    <w:rsid w:val="003727D4"/>
    <w:rsid w:val="00373698"/>
    <w:rsid w:val="00392060"/>
    <w:rsid w:val="003B50C6"/>
    <w:rsid w:val="003D4656"/>
    <w:rsid w:val="003F0003"/>
    <w:rsid w:val="003F4EAB"/>
    <w:rsid w:val="004117D3"/>
    <w:rsid w:val="00416722"/>
    <w:rsid w:val="004257A4"/>
    <w:rsid w:val="00437181"/>
    <w:rsid w:val="004451A7"/>
    <w:rsid w:val="004800CD"/>
    <w:rsid w:val="00481631"/>
    <w:rsid w:val="004C1FDF"/>
    <w:rsid w:val="004D42FC"/>
    <w:rsid w:val="004E0622"/>
    <w:rsid w:val="004E1AC7"/>
    <w:rsid w:val="004E5AA2"/>
    <w:rsid w:val="0050603B"/>
    <w:rsid w:val="00523BDF"/>
    <w:rsid w:val="00523FB5"/>
    <w:rsid w:val="0055195A"/>
    <w:rsid w:val="00577877"/>
    <w:rsid w:val="0057796A"/>
    <w:rsid w:val="005C3BA9"/>
    <w:rsid w:val="005C57B6"/>
    <w:rsid w:val="005D57A4"/>
    <w:rsid w:val="005E5FC6"/>
    <w:rsid w:val="005F59D0"/>
    <w:rsid w:val="00600487"/>
    <w:rsid w:val="00611A1C"/>
    <w:rsid w:val="00614002"/>
    <w:rsid w:val="006525E1"/>
    <w:rsid w:val="006954E2"/>
    <w:rsid w:val="006A30EE"/>
    <w:rsid w:val="006A4955"/>
    <w:rsid w:val="006C49EA"/>
    <w:rsid w:val="006E3854"/>
    <w:rsid w:val="0070443B"/>
    <w:rsid w:val="00704E17"/>
    <w:rsid w:val="00735E5B"/>
    <w:rsid w:val="007538C5"/>
    <w:rsid w:val="007905E7"/>
    <w:rsid w:val="007B0BD5"/>
    <w:rsid w:val="007B5512"/>
    <w:rsid w:val="007C6738"/>
    <w:rsid w:val="007D08D6"/>
    <w:rsid w:val="007E30FE"/>
    <w:rsid w:val="00801E23"/>
    <w:rsid w:val="00803B97"/>
    <w:rsid w:val="008715C8"/>
    <w:rsid w:val="00887E12"/>
    <w:rsid w:val="00892B1A"/>
    <w:rsid w:val="008941CA"/>
    <w:rsid w:val="008E59B7"/>
    <w:rsid w:val="00932454"/>
    <w:rsid w:val="0094092B"/>
    <w:rsid w:val="00960E62"/>
    <w:rsid w:val="00964019"/>
    <w:rsid w:val="00965825"/>
    <w:rsid w:val="00982B4A"/>
    <w:rsid w:val="00A0186C"/>
    <w:rsid w:val="00A20899"/>
    <w:rsid w:val="00A31E17"/>
    <w:rsid w:val="00A64510"/>
    <w:rsid w:val="00A96F1E"/>
    <w:rsid w:val="00AB50CC"/>
    <w:rsid w:val="00AE6F12"/>
    <w:rsid w:val="00AF5590"/>
    <w:rsid w:val="00B043C8"/>
    <w:rsid w:val="00B137FD"/>
    <w:rsid w:val="00B14922"/>
    <w:rsid w:val="00B349F2"/>
    <w:rsid w:val="00B5012F"/>
    <w:rsid w:val="00B56610"/>
    <w:rsid w:val="00B80795"/>
    <w:rsid w:val="00BB100D"/>
    <w:rsid w:val="00BC187F"/>
    <w:rsid w:val="00BE0187"/>
    <w:rsid w:val="00BF008F"/>
    <w:rsid w:val="00C01A83"/>
    <w:rsid w:val="00C114CC"/>
    <w:rsid w:val="00C15A91"/>
    <w:rsid w:val="00C575FE"/>
    <w:rsid w:val="00C673BE"/>
    <w:rsid w:val="00C70FCE"/>
    <w:rsid w:val="00C97929"/>
    <w:rsid w:val="00CA1036"/>
    <w:rsid w:val="00CA4A07"/>
    <w:rsid w:val="00CB6130"/>
    <w:rsid w:val="00CC6FAB"/>
    <w:rsid w:val="00CF44E7"/>
    <w:rsid w:val="00D12AE3"/>
    <w:rsid w:val="00D14689"/>
    <w:rsid w:val="00D3627C"/>
    <w:rsid w:val="00D90E99"/>
    <w:rsid w:val="00D9466A"/>
    <w:rsid w:val="00DA487D"/>
    <w:rsid w:val="00DB7DDE"/>
    <w:rsid w:val="00DE631F"/>
    <w:rsid w:val="00DF6B02"/>
    <w:rsid w:val="00E10467"/>
    <w:rsid w:val="00E136D6"/>
    <w:rsid w:val="00E73B44"/>
    <w:rsid w:val="00E76D91"/>
    <w:rsid w:val="00E77A8F"/>
    <w:rsid w:val="00E96E9B"/>
    <w:rsid w:val="00EA02EA"/>
    <w:rsid w:val="00EA1CA6"/>
    <w:rsid w:val="00ED1FD9"/>
    <w:rsid w:val="00F27C94"/>
    <w:rsid w:val="00F3665B"/>
    <w:rsid w:val="00F37425"/>
    <w:rsid w:val="00F37AA0"/>
    <w:rsid w:val="00F4445A"/>
    <w:rsid w:val="00F5326F"/>
    <w:rsid w:val="00F57459"/>
    <w:rsid w:val="00FC7DA3"/>
    <w:rsid w:val="00FD3764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  <w15:docId w15:val="{C58C1683-B81D-4449-9B76-AA06C84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21D41086EC428F2F9CA35DEE628C" ma:contentTypeVersion="13" ma:contentTypeDescription="Create a new document." ma:contentTypeScope="" ma:versionID="c22e1da613539352b4370b97e2fe1a61">
  <xsd:schema xmlns:xsd="http://www.w3.org/2001/XMLSchema" xmlns:xs="http://www.w3.org/2001/XMLSchema" xmlns:p="http://schemas.microsoft.com/office/2006/metadata/properties" xmlns:ns3="77be7b45-bb20-44ca-ab7f-5a928123c4c3" xmlns:ns4="ddc05f58-cc7e-44b3-b117-63ff182b1702" targetNamespace="http://schemas.microsoft.com/office/2006/metadata/properties" ma:root="true" ma:fieldsID="0090d5d94982f27095b57af05519c74a" ns3:_="" ns4:_="">
    <xsd:import namespace="77be7b45-bb20-44ca-ab7f-5a928123c4c3"/>
    <xsd:import namespace="ddc05f58-cc7e-44b3-b117-63ff182b17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45-bb20-44ca-ab7f-5a928123c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5f58-cc7e-44b3-b117-63ff182b1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D333B-C2B7-40EA-962D-36C927A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45-bb20-44ca-ab7f-5a928123c4c3"/>
    <ds:schemaRef ds:uri="ddc05f58-cc7e-44b3-b117-63ff182b1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6E991-C840-47DB-AA3B-CB1BE2917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9A435-C83C-4248-86A3-BDD6B603E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703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Transport and Main Roads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 Lee</dc:creator>
  <cp:keywords/>
  <dc:description/>
  <cp:lastModifiedBy>James Z Jennings</cp:lastModifiedBy>
  <cp:revision>2</cp:revision>
  <cp:lastPrinted>2016-02-18T00:37:00Z</cp:lastPrinted>
  <dcterms:created xsi:type="dcterms:W3CDTF">2025-01-24T01:32:00Z</dcterms:created>
  <dcterms:modified xsi:type="dcterms:W3CDTF">2025-01-24T01:32:00Z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0x010100474121D41086EC428F2F9CA35DEE628C</vt:lpwstr>
  </property>
</Properties>
</file>