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8C912" w14:textId="77777777" w:rsidR="00443BD4" w:rsidRDefault="00443BD4" w:rsidP="005241D3"/>
    <w:p w14:paraId="0B86A443" w14:textId="77777777" w:rsidR="00443BD4" w:rsidRDefault="00443BD4" w:rsidP="005241D3"/>
    <w:p w14:paraId="47586752" w14:textId="77777777" w:rsidR="00443BD4" w:rsidRDefault="00443BD4" w:rsidP="005241D3"/>
    <w:p w14:paraId="25808B7C" w14:textId="77777777" w:rsidR="00443BD4" w:rsidRDefault="00443BD4" w:rsidP="005241D3"/>
    <w:p w14:paraId="4F73CD97" w14:textId="77777777" w:rsidR="00443BD4" w:rsidRDefault="00443BD4" w:rsidP="005241D3"/>
    <w:p w14:paraId="28A306E1" w14:textId="77777777" w:rsidR="00443BD4" w:rsidRDefault="00443BD4" w:rsidP="005241D3"/>
    <w:p w14:paraId="114BA43B" w14:textId="77777777" w:rsidR="00443BD4" w:rsidRDefault="00443BD4" w:rsidP="005241D3"/>
    <w:p w14:paraId="1DE831A5" w14:textId="77777777" w:rsidR="00443BD4" w:rsidRDefault="00443BD4" w:rsidP="005241D3"/>
    <w:p w14:paraId="6FC541FB" w14:textId="77777777" w:rsidR="00443BD4" w:rsidRDefault="00443BD4" w:rsidP="005241D3"/>
    <w:p w14:paraId="7D813F7A" w14:textId="77777777" w:rsidR="00443BD4" w:rsidRDefault="00443BD4" w:rsidP="005241D3"/>
    <w:p w14:paraId="626D30EA" w14:textId="77777777" w:rsidR="00443BD4" w:rsidRDefault="00443BD4" w:rsidP="005241D3"/>
    <w:p w14:paraId="11FA7C1E" w14:textId="77777777" w:rsidR="00443BD4" w:rsidRDefault="00443BD4" w:rsidP="005241D3"/>
    <w:p w14:paraId="51784F15" w14:textId="77777777" w:rsidR="00443BD4" w:rsidRDefault="00443BD4" w:rsidP="005241D3"/>
    <w:p w14:paraId="0F7EBDB6" w14:textId="77777777" w:rsidR="00443BD4" w:rsidRDefault="00443BD4" w:rsidP="005241D3"/>
    <w:p w14:paraId="0C40A3DF" w14:textId="77777777" w:rsidR="00443BD4" w:rsidRDefault="00443BD4" w:rsidP="005241D3"/>
    <w:p w14:paraId="26DB50B2" w14:textId="77777777" w:rsidR="00443BD4" w:rsidRDefault="00443BD4" w:rsidP="005241D3"/>
    <w:p w14:paraId="46B3765C" w14:textId="77777777" w:rsidR="00443BD4" w:rsidRDefault="00443BD4" w:rsidP="005241D3"/>
    <w:p w14:paraId="6DD07C03" w14:textId="77777777" w:rsidR="00443BD4" w:rsidRDefault="00443BD4" w:rsidP="005241D3"/>
    <w:p w14:paraId="72328210" w14:textId="22933E2F" w:rsidR="005241D3" w:rsidRDefault="00443BD4" w:rsidP="005241D3">
      <w:r w:rsidRPr="00443BD4">
        <w:rPr>
          <w:rStyle w:val="Heading1Char"/>
          <w:noProof/>
        </w:rPr>
        <w:drawing>
          <wp:anchor distT="0" distB="0" distL="114300" distR="114300" simplePos="0" relativeHeight="251658240" behindDoc="1" locked="1" layoutInCell="1" allowOverlap="1" wp14:anchorId="0F9C7805" wp14:editId="00B50F7E">
            <wp:simplePos x="0" y="0"/>
            <wp:positionH relativeFrom="page">
              <wp:align>left</wp:align>
            </wp:positionH>
            <wp:positionV relativeFrom="page">
              <wp:align>top</wp:align>
            </wp:positionV>
            <wp:extent cx="7558405" cy="10690860"/>
            <wp:effectExtent l="0" t="0" r="4445" b="0"/>
            <wp:wrapNone/>
            <wp:docPr id="1469118309" name="Picture 14691183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18309" name="Picture 1469118309">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405" cy="10690860"/>
                    </a:xfrm>
                    <a:prstGeom prst="rect">
                      <a:avLst/>
                    </a:prstGeom>
                  </pic:spPr>
                </pic:pic>
              </a:graphicData>
            </a:graphic>
            <wp14:sizeRelH relativeFrom="margin">
              <wp14:pctWidth>0</wp14:pctWidth>
            </wp14:sizeRelH>
            <wp14:sizeRelV relativeFrom="margin">
              <wp14:pctHeight>0</wp14:pctHeight>
            </wp14:sizeRelV>
          </wp:anchor>
        </w:drawing>
      </w:r>
      <w:bookmarkStart w:id="0" w:name="_Toc193807885"/>
      <w:r w:rsidRPr="00443BD4">
        <w:rPr>
          <w:rStyle w:val="Heading1Char"/>
        </w:rPr>
        <w:t xml:space="preserve">Subsidised </w:t>
      </w:r>
      <w:r w:rsidR="00373891">
        <w:rPr>
          <w:rStyle w:val="Heading1Char"/>
        </w:rPr>
        <w:t xml:space="preserve">school bus </w:t>
      </w:r>
      <w:r w:rsidRPr="00443BD4">
        <w:rPr>
          <w:rStyle w:val="Heading1Char"/>
        </w:rPr>
        <w:t>services</w:t>
      </w:r>
      <w:bookmarkEnd w:id="0"/>
      <w:r>
        <w:rPr>
          <w:rStyle w:val="Heading1Char"/>
        </w:rPr>
        <w:t xml:space="preserve"> </w:t>
      </w:r>
    </w:p>
    <w:p w14:paraId="27972BCB" w14:textId="18D66337" w:rsidR="00443BD4" w:rsidRPr="009E0244" w:rsidRDefault="00443BD4" w:rsidP="009E0244">
      <w:pPr>
        <w:pStyle w:val="BodyText"/>
        <w:rPr>
          <w:color w:val="003E69" w:themeColor="text2"/>
          <w:sz w:val="36"/>
          <w:szCs w:val="36"/>
        </w:rPr>
      </w:pPr>
      <w:bookmarkStart w:id="1" w:name="_Toc189234286"/>
      <w:r w:rsidRPr="009E0244">
        <w:rPr>
          <w:color w:val="003E69" w:themeColor="text2"/>
          <w:sz w:val="36"/>
          <w:szCs w:val="36"/>
        </w:rPr>
        <w:t>School Transport Assistance Scheme</w:t>
      </w:r>
      <w:bookmarkEnd w:id="1"/>
    </w:p>
    <w:p w14:paraId="6D77C770" w14:textId="7D5C31BA" w:rsidR="00443BD4" w:rsidRDefault="00E91274" w:rsidP="00443BD4">
      <w:pPr>
        <w:pStyle w:val="Heading5"/>
      </w:pPr>
      <w:r>
        <w:t>May</w:t>
      </w:r>
      <w:r w:rsidR="00443BD4">
        <w:t xml:space="preserve"> 2025</w:t>
      </w:r>
    </w:p>
    <w:p w14:paraId="272AF279" w14:textId="77777777" w:rsidR="00443BD4" w:rsidRPr="00443BD4" w:rsidRDefault="00443BD4" w:rsidP="00443BD4"/>
    <w:sdt>
      <w:sdtPr>
        <w:rPr>
          <w:rFonts w:eastAsiaTheme="minorHAnsi" w:cstheme="minorBidi"/>
          <w:color w:val="18242E" w:themeColor="text1" w:themeTint="E6"/>
          <w:sz w:val="24"/>
          <w:szCs w:val="22"/>
        </w:rPr>
        <w:id w:val="1088194704"/>
        <w:docPartObj>
          <w:docPartGallery w:val="Table of Contents"/>
          <w:docPartUnique/>
        </w:docPartObj>
      </w:sdtPr>
      <w:sdtEndPr>
        <w:rPr>
          <w:b/>
          <w:bCs/>
          <w:noProof/>
        </w:rPr>
      </w:sdtEndPr>
      <w:sdtContent>
        <w:p w14:paraId="5F81AE80" w14:textId="022D56FA" w:rsidR="002A476F" w:rsidRDefault="002A476F">
          <w:pPr>
            <w:pStyle w:val="TOCHeading"/>
          </w:pPr>
          <w:r>
            <w:t>Contents</w:t>
          </w:r>
        </w:p>
        <w:p w14:paraId="598E0BD9" w14:textId="48EBB223" w:rsidR="00244D85" w:rsidRDefault="002A476F" w:rsidP="00E91274">
          <w:pPr>
            <w:pStyle w:val="TOC1"/>
            <w:ind w:left="567" w:hanging="567"/>
            <w:rPr>
              <w:rFonts w:asciiTheme="minorHAnsi" w:eastAsiaTheme="minorEastAsia" w:hAnsiTheme="minorHAnsi"/>
              <w:b w:val="0"/>
              <w:noProof/>
              <w:color w:val="auto"/>
              <w:kern w:val="2"/>
              <w:szCs w:val="24"/>
              <w:lang w:eastAsia="en-AU"/>
              <w14:ligatures w14:val="standardContextual"/>
            </w:rPr>
          </w:pPr>
          <w:r>
            <w:fldChar w:fldCharType="begin"/>
          </w:r>
          <w:r>
            <w:instrText xml:space="preserve"> TOC \o "1-3" \h \z \u </w:instrText>
          </w:r>
          <w:r>
            <w:fldChar w:fldCharType="separate"/>
          </w:r>
        </w:p>
        <w:p w14:paraId="39696FF4" w14:textId="20F6B161" w:rsidR="00244D85" w:rsidRDefault="00000000" w:rsidP="00E91274">
          <w:pPr>
            <w:pStyle w:val="TOC3"/>
            <w:tabs>
              <w:tab w:val="left" w:pos="958"/>
              <w:tab w:val="right" w:leader="dot" w:pos="9060"/>
            </w:tabs>
            <w:ind w:left="567" w:hanging="567"/>
            <w:rPr>
              <w:rFonts w:asciiTheme="minorHAnsi" w:eastAsiaTheme="minorEastAsia" w:hAnsiTheme="minorHAnsi"/>
              <w:i w:val="0"/>
              <w:noProof/>
              <w:color w:val="auto"/>
              <w:kern w:val="2"/>
              <w:szCs w:val="24"/>
              <w:lang w:eastAsia="en-AU"/>
              <w14:ligatures w14:val="standardContextual"/>
            </w:rPr>
          </w:pPr>
          <w:hyperlink w:anchor="_Toc193807886" w:history="1">
            <w:r w:rsidR="00244D85" w:rsidRPr="00783440">
              <w:rPr>
                <w:rStyle w:val="Hyperlink"/>
                <w:noProof/>
              </w:rPr>
              <w:t>1.</w:t>
            </w:r>
            <w:r w:rsidR="00244D85">
              <w:rPr>
                <w:rFonts w:asciiTheme="minorHAnsi" w:eastAsiaTheme="minorEastAsia" w:hAnsiTheme="minorHAnsi"/>
                <w:i w:val="0"/>
                <w:noProof/>
                <w:color w:val="auto"/>
                <w:kern w:val="2"/>
                <w:szCs w:val="24"/>
                <w:lang w:eastAsia="en-AU"/>
                <w14:ligatures w14:val="standardContextual"/>
              </w:rPr>
              <w:tab/>
            </w:r>
            <w:r w:rsidR="00244D85" w:rsidRPr="00783440">
              <w:rPr>
                <w:rStyle w:val="Hyperlink"/>
                <w:noProof/>
              </w:rPr>
              <w:t>Foreword</w:t>
            </w:r>
            <w:r w:rsidR="00244D85">
              <w:rPr>
                <w:noProof/>
                <w:webHidden/>
              </w:rPr>
              <w:tab/>
            </w:r>
            <w:r w:rsidR="00244D85">
              <w:rPr>
                <w:noProof/>
                <w:webHidden/>
              </w:rPr>
              <w:fldChar w:fldCharType="begin"/>
            </w:r>
            <w:r w:rsidR="00244D85">
              <w:rPr>
                <w:noProof/>
                <w:webHidden/>
              </w:rPr>
              <w:instrText xml:space="preserve"> PAGEREF _Toc193807886 \h </w:instrText>
            </w:r>
            <w:r w:rsidR="00244D85">
              <w:rPr>
                <w:noProof/>
                <w:webHidden/>
              </w:rPr>
            </w:r>
            <w:r w:rsidR="00244D85">
              <w:rPr>
                <w:noProof/>
                <w:webHidden/>
              </w:rPr>
              <w:fldChar w:fldCharType="separate"/>
            </w:r>
            <w:r w:rsidR="00244D85">
              <w:rPr>
                <w:noProof/>
                <w:webHidden/>
              </w:rPr>
              <w:t>2</w:t>
            </w:r>
            <w:r w:rsidR="00244D85">
              <w:rPr>
                <w:noProof/>
                <w:webHidden/>
              </w:rPr>
              <w:fldChar w:fldCharType="end"/>
            </w:r>
          </w:hyperlink>
        </w:p>
        <w:p w14:paraId="1CF8C19A" w14:textId="7A977E01" w:rsidR="00244D85" w:rsidRDefault="00000000" w:rsidP="00E91274">
          <w:pPr>
            <w:pStyle w:val="TOC3"/>
            <w:tabs>
              <w:tab w:val="left" w:pos="958"/>
              <w:tab w:val="right" w:leader="dot" w:pos="9060"/>
            </w:tabs>
            <w:ind w:left="567" w:hanging="567"/>
            <w:rPr>
              <w:rFonts w:asciiTheme="minorHAnsi" w:eastAsiaTheme="minorEastAsia" w:hAnsiTheme="minorHAnsi"/>
              <w:i w:val="0"/>
              <w:noProof/>
              <w:color w:val="auto"/>
              <w:kern w:val="2"/>
              <w:szCs w:val="24"/>
              <w:lang w:eastAsia="en-AU"/>
              <w14:ligatures w14:val="standardContextual"/>
            </w:rPr>
          </w:pPr>
          <w:hyperlink w:anchor="_Toc193807887" w:history="1">
            <w:r w:rsidR="00244D85" w:rsidRPr="00783440">
              <w:rPr>
                <w:rStyle w:val="Hyperlink"/>
                <w:noProof/>
              </w:rPr>
              <w:t>2.</w:t>
            </w:r>
            <w:r w:rsidR="00244D85">
              <w:rPr>
                <w:rFonts w:asciiTheme="minorHAnsi" w:eastAsiaTheme="minorEastAsia" w:hAnsiTheme="minorHAnsi"/>
                <w:i w:val="0"/>
                <w:noProof/>
                <w:color w:val="auto"/>
                <w:kern w:val="2"/>
                <w:szCs w:val="24"/>
                <w:lang w:eastAsia="en-AU"/>
                <w14:ligatures w14:val="standardContextual"/>
              </w:rPr>
              <w:tab/>
            </w:r>
            <w:r w:rsidR="00244D85" w:rsidRPr="00783440">
              <w:rPr>
                <w:rStyle w:val="Hyperlink"/>
                <w:noProof/>
              </w:rPr>
              <w:t>Background</w:t>
            </w:r>
            <w:r w:rsidR="00244D85">
              <w:rPr>
                <w:noProof/>
                <w:webHidden/>
              </w:rPr>
              <w:tab/>
            </w:r>
            <w:r w:rsidR="00244D85">
              <w:rPr>
                <w:noProof/>
                <w:webHidden/>
              </w:rPr>
              <w:fldChar w:fldCharType="begin"/>
            </w:r>
            <w:r w:rsidR="00244D85">
              <w:rPr>
                <w:noProof/>
                <w:webHidden/>
              </w:rPr>
              <w:instrText xml:space="preserve"> PAGEREF _Toc193807887 \h </w:instrText>
            </w:r>
            <w:r w:rsidR="00244D85">
              <w:rPr>
                <w:noProof/>
                <w:webHidden/>
              </w:rPr>
            </w:r>
            <w:r w:rsidR="00244D85">
              <w:rPr>
                <w:noProof/>
                <w:webHidden/>
              </w:rPr>
              <w:fldChar w:fldCharType="separate"/>
            </w:r>
            <w:r w:rsidR="00244D85">
              <w:rPr>
                <w:noProof/>
                <w:webHidden/>
              </w:rPr>
              <w:t>2</w:t>
            </w:r>
            <w:r w:rsidR="00244D85">
              <w:rPr>
                <w:noProof/>
                <w:webHidden/>
              </w:rPr>
              <w:fldChar w:fldCharType="end"/>
            </w:r>
          </w:hyperlink>
        </w:p>
        <w:p w14:paraId="0E28023F" w14:textId="2CAD6DDC" w:rsidR="00244D85" w:rsidRDefault="00000000" w:rsidP="00E91274">
          <w:pPr>
            <w:pStyle w:val="TOC3"/>
            <w:tabs>
              <w:tab w:val="left" w:pos="958"/>
              <w:tab w:val="right" w:leader="dot" w:pos="9060"/>
            </w:tabs>
            <w:ind w:left="567" w:hanging="567"/>
            <w:rPr>
              <w:rFonts w:asciiTheme="minorHAnsi" w:eastAsiaTheme="minorEastAsia" w:hAnsiTheme="minorHAnsi"/>
              <w:i w:val="0"/>
              <w:noProof/>
              <w:color w:val="auto"/>
              <w:kern w:val="2"/>
              <w:szCs w:val="24"/>
              <w:lang w:eastAsia="en-AU"/>
              <w14:ligatures w14:val="standardContextual"/>
            </w:rPr>
          </w:pPr>
          <w:hyperlink w:anchor="_Toc193807888" w:history="1">
            <w:r w:rsidR="00244D85" w:rsidRPr="00783440">
              <w:rPr>
                <w:rStyle w:val="Hyperlink"/>
                <w:noProof/>
              </w:rPr>
              <w:t>3.</w:t>
            </w:r>
            <w:r w:rsidR="00244D85">
              <w:rPr>
                <w:rFonts w:asciiTheme="minorHAnsi" w:eastAsiaTheme="minorEastAsia" w:hAnsiTheme="minorHAnsi"/>
                <w:i w:val="0"/>
                <w:noProof/>
                <w:color w:val="auto"/>
                <w:kern w:val="2"/>
                <w:szCs w:val="24"/>
                <w:lang w:eastAsia="en-AU"/>
                <w14:ligatures w14:val="standardContextual"/>
              </w:rPr>
              <w:tab/>
            </w:r>
            <w:r w:rsidR="00244D85" w:rsidRPr="00783440">
              <w:rPr>
                <w:rStyle w:val="Hyperlink"/>
                <w:noProof/>
              </w:rPr>
              <w:t>Guiding principles</w:t>
            </w:r>
            <w:r w:rsidR="00244D85">
              <w:rPr>
                <w:noProof/>
                <w:webHidden/>
              </w:rPr>
              <w:tab/>
            </w:r>
            <w:r w:rsidR="00244D85">
              <w:rPr>
                <w:noProof/>
                <w:webHidden/>
              </w:rPr>
              <w:fldChar w:fldCharType="begin"/>
            </w:r>
            <w:r w:rsidR="00244D85">
              <w:rPr>
                <w:noProof/>
                <w:webHidden/>
              </w:rPr>
              <w:instrText xml:space="preserve"> PAGEREF _Toc193807888 \h </w:instrText>
            </w:r>
            <w:r w:rsidR="00244D85">
              <w:rPr>
                <w:noProof/>
                <w:webHidden/>
              </w:rPr>
            </w:r>
            <w:r w:rsidR="00244D85">
              <w:rPr>
                <w:noProof/>
                <w:webHidden/>
              </w:rPr>
              <w:fldChar w:fldCharType="separate"/>
            </w:r>
            <w:r w:rsidR="00244D85">
              <w:rPr>
                <w:noProof/>
                <w:webHidden/>
              </w:rPr>
              <w:t>2</w:t>
            </w:r>
            <w:r w:rsidR="00244D85">
              <w:rPr>
                <w:noProof/>
                <w:webHidden/>
              </w:rPr>
              <w:fldChar w:fldCharType="end"/>
            </w:r>
          </w:hyperlink>
        </w:p>
        <w:p w14:paraId="2FEAE170" w14:textId="15CA446A" w:rsidR="00244D85" w:rsidRDefault="00000000" w:rsidP="00E91274">
          <w:pPr>
            <w:pStyle w:val="TOC3"/>
            <w:tabs>
              <w:tab w:val="left" w:pos="958"/>
              <w:tab w:val="right" w:leader="dot" w:pos="9060"/>
            </w:tabs>
            <w:ind w:left="567" w:hanging="567"/>
            <w:rPr>
              <w:rFonts w:asciiTheme="minorHAnsi" w:eastAsiaTheme="minorEastAsia" w:hAnsiTheme="minorHAnsi"/>
              <w:i w:val="0"/>
              <w:noProof/>
              <w:color w:val="auto"/>
              <w:kern w:val="2"/>
              <w:szCs w:val="24"/>
              <w:lang w:eastAsia="en-AU"/>
              <w14:ligatures w14:val="standardContextual"/>
            </w:rPr>
          </w:pPr>
          <w:hyperlink w:anchor="_Toc193807889" w:history="1">
            <w:r w:rsidR="00244D85" w:rsidRPr="00783440">
              <w:rPr>
                <w:rStyle w:val="Hyperlink"/>
                <w:noProof/>
              </w:rPr>
              <w:t>4.</w:t>
            </w:r>
            <w:r w:rsidR="00244D85">
              <w:rPr>
                <w:rFonts w:asciiTheme="minorHAnsi" w:eastAsiaTheme="minorEastAsia" w:hAnsiTheme="minorHAnsi"/>
                <w:i w:val="0"/>
                <w:noProof/>
                <w:color w:val="auto"/>
                <w:kern w:val="2"/>
                <w:szCs w:val="24"/>
                <w:lang w:eastAsia="en-AU"/>
                <w14:ligatures w14:val="standardContextual"/>
              </w:rPr>
              <w:tab/>
            </w:r>
            <w:r w:rsidR="00244D85" w:rsidRPr="00783440">
              <w:rPr>
                <w:rStyle w:val="Hyperlink"/>
                <w:noProof/>
              </w:rPr>
              <w:t>Eligibility criteria for subsidised services</w:t>
            </w:r>
            <w:r w:rsidR="00244D85">
              <w:rPr>
                <w:noProof/>
                <w:webHidden/>
              </w:rPr>
              <w:tab/>
            </w:r>
            <w:r w:rsidR="00244D85">
              <w:rPr>
                <w:noProof/>
                <w:webHidden/>
              </w:rPr>
              <w:fldChar w:fldCharType="begin"/>
            </w:r>
            <w:r w:rsidR="00244D85">
              <w:rPr>
                <w:noProof/>
                <w:webHidden/>
              </w:rPr>
              <w:instrText xml:space="preserve"> PAGEREF _Toc193807889 \h </w:instrText>
            </w:r>
            <w:r w:rsidR="00244D85">
              <w:rPr>
                <w:noProof/>
                <w:webHidden/>
              </w:rPr>
            </w:r>
            <w:r w:rsidR="00244D85">
              <w:rPr>
                <w:noProof/>
                <w:webHidden/>
              </w:rPr>
              <w:fldChar w:fldCharType="separate"/>
            </w:r>
            <w:r w:rsidR="00244D85">
              <w:rPr>
                <w:noProof/>
                <w:webHidden/>
              </w:rPr>
              <w:t>3</w:t>
            </w:r>
            <w:r w:rsidR="00244D85">
              <w:rPr>
                <w:noProof/>
                <w:webHidden/>
              </w:rPr>
              <w:fldChar w:fldCharType="end"/>
            </w:r>
          </w:hyperlink>
        </w:p>
        <w:p w14:paraId="60D74227" w14:textId="3A90C5DF" w:rsidR="00244D85" w:rsidRDefault="00000000" w:rsidP="00E91274">
          <w:pPr>
            <w:pStyle w:val="TOC3"/>
            <w:tabs>
              <w:tab w:val="left" w:pos="958"/>
              <w:tab w:val="right" w:leader="dot" w:pos="9060"/>
            </w:tabs>
            <w:ind w:left="567" w:hanging="567"/>
            <w:rPr>
              <w:rFonts w:asciiTheme="minorHAnsi" w:eastAsiaTheme="minorEastAsia" w:hAnsiTheme="minorHAnsi"/>
              <w:i w:val="0"/>
              <w:noProof/>
              <w:color w:val="auto"/>
              <w:kern w:val="2"/>
              <w:szCs w:val="24"/>
              <w:lang w:eastAsia="en-AU"/>
              <w14:ligatures w14:val="standardContextual"/>
            </w:rPr>
          </w:pPr>
          <w:hyperlink w:anchor="_Toc193807890" w:history="1">
            <w:r w:rsidR="00244D85" w:rsidRPr="00783440">
              <w:rPr>
                <w:rStyle w:val="Hyperlink"/>
                <w:noProof/>
              </w:rPr>
              <w:t>5.</w:t>
            </w:r>
            <w:r w:rsidR="00244D85">
              <w:rPr>
                <w:rFonts w:asciiTheme="minorHAnsi" w:eastAsiaTheme="minorEastAsia" w:hAnsiTheme="minorHAnsi"/>
                <w:i w:val="0"/>
                <w:noProof/>
                <w:color w:val="auto"/>
                <w:kern w:val="2"/>
                <w:szCs w:val="24"/>
                <w:lang w:eastAsia="en-AU"/>
                <w14:ligatures w14:val="standardContextual"/>
              </w:rPr>
              <w:tab/>
            </w:r>
            <w:r w:rsidR="00244D85" w:rsidRPr="00783440">
              <w:rPr>
                <w:rStyle w:val="Hyperlink"/>
                <w:noProof/>
              </w:rPr>
              <w:t>Institution of a service</w:t>
            </w:r>
            <w:r w:rsidR="00244D85">
              <w:rPr>
                <w:noProof/>
                <w:webHidden/>
              </w:rPr>
              <w:tab/>
            </w:r>
            <w:r w:rsidR="00244D85">
              <w:rPr>
                <w:noProof/>
                <w:webHidden/>
              </w:rPr>
              <w:fldChar w:fldCharType="begin"/>
            </w:r>
            <w:r w:rsidR="00244D85">
              <w:rPr>
                <w:noProof/>
                <w:webHidden/>
              </w:rPr>
              <w:instrText xml:space="preserve"> PAGEREF _Toc193807890 \h </w:instrText>
            </w:r>
            <w:r w:rsidR="00244D85">
              <w:rPr>
                <w:noProof/>
                <w:webHidden/>
              </w:rPr>
            </w:r>
            <w:r w:rsidR="00244D85">
              <w:rPr>
                <w:noProof/>
                <w:webHidden/>
              </w:rPr>
              <w:fldChar w:fldCharType="separate"/>
            </w:r>
            <w:r w:rsidR="00244D85">
              <w:rPr>
                <w:noProof/>
                <w:webHidden/>
              </w:rPr>
              <w:t>4</w:t>
            </w:r>
            <w:r w:rsidR="00244D85">
              <w:rPr>
                <w:noProof/>
                <w:webHidden/>
              </w:rPr>
              <w:fldChar w:fldCharType="end"/>
            </w:r>
          </w:hyperlink>
        </w:p>
        <w:p w14:paraId="3D11C269" w14:textId="49E980B0" w:rsidR="00244D85" w:rsidRDefault="00000000" w:rsidP="00E91274">
          <w:pPr>
            <w:pStyle w:val="TOC3"/>
            <w:tabs>
              <w:tab w:val="left" w:pos="958"/>
              <w:tab w:val="right" w:leader="dot" w:pos="9060"/>
            </w:tabs>
            <w:ind w:left="567" w:hanging="567"/>
            <w:rPr>
              <w:rFonts w:asciiTheme="minorHAnsi" w:eastAsiaTheme="minorEastAsia" w:hAnsiTheme="minorHAnsi"/>
              <w:i w:val="0"/>
              <w:noProof/>
              <w:color w:val="auto"/>
              <w:kern w:val="2"/>
              <w:szCs w:val="24"/>
              <w:lang w:eastAsia="en-AU"/>
              <w14:ligatures w14:val="standardContextual"/>
            </w:rPr>
          </w:pPr>
          <w:hyperlink w:anchor="_Toc193807891" w:history="1">
            <w:r w:rsidR="00244D85" w:rsidRPr="00783440">
              <w:rPr>
                <w:rStyle w:val="Hyperlink"/>
                <w:noProof/>
              </w:rPr>
              <w:t>6.</w:t>
            </w:r>
            <w:r w:rsidR="00244D85">
              <w:rPr>
                <w:rFonts w:asciiTheme="minorHAnsi" w:eastAsiaTheme="minorEastAsia" w:hAnsiTheme="minorHAnsi"/>
                <w:i w:val="0"/>
                <w:noProof/>
                <w:color w:val="auto"/>
                <w:kern w:val="2"/>
                <w:szCs w:val="24"/>
                <w:lang w:eastAsia="en-AU"/>
                <w14:ligatures w14:val="standardContextual"/>
              </w:rPr>
              <w:tab/>
            </w:r>
            <w:r w:rsidR="00244D85" w:rsidRPr="00783440">
              <w:rPr>
                <w:rStyle w:val="Hyperlink"/>
                <w:noProof/>
              </w:rPr>
              <w:t>Payment</w:t>
            </w:r>
            <w:r w:rsidR="00244D85">
              <w:rPr>
                <w:noProof/>
                <w:webHidden/>
              </w:rPr>
              <w:tab/>
            </w:r>
            <w:r w:rsidR="00244D85">
              <w:rPr>
                <w:noProof/>
                <w:webHidden/>
              </w:rPr>
              <w:fldChar w:fldCharType="begin"/>
            </w:r>
            <w:r w:rsidR="00244D85">
              <w:rPr>
                <w:noProof/>
                <w:webHidden/>
              </w:rPr>
              <w:instrText xml:space="preserve"> PAGEREF _Toc193807891 \h </w:instrText>
            </w:r>
            <w:r w:rsidR="00244D85">
              <w:rPr>
                <w:noProof/>
                <w:webHidden/>
              </w:rPr>
            </w:r>
            <w:r w:rsidR="00244D85">
              <w:rPr>
                <w:noProof/>
                <w:webHidden/>
              </w:rPr>
              <w:fldChar w:fldCharType="separate"/>
            </w:r>
            <w:r w:rsidR="00244D85">
              <w:rPr>
                <w:noProof/>
                <w:webHidden/>
              </w:rPr>
              <w:t>5</w:t>
            </w:r>
            <w:r w:rsidR="00244D85">
              <w:rPr>
                <w:noProof/>
                <w:webHidden/>
              </w:rPr>
              <w:fldChar w:fldCharType="end"/>
            </w:r>
          </w:hyperlink>
        </w:p>
        <w:p w14:paraId="6D5C13BA" w14:textId="5A094859" w:rsidR="00244D85" w:rsidRDefault="00000000" w:rsidP="00E91274">
          <w:pPr>
            <w:pStyle w:val="TOC3"/>
            <w:tabs>
              <w:tab w:val="left" w:pos="958"/>
              <w:tab w:val="right" w:leader="dot" w:pos="9060"/>
            </w:tabs>
            <w:ind w:left="567" w:hanging="567"/>
            <w:rPr>
              <w:rFonts w:asciiTheme="minorHAnsi" w:eastAsiaTheme="minorEastAsia" w:hAnsiTheme="minorHAnsi"/>
              <w:i w:val="0"/>
              <w:noProof/>
              <w:color w:val="auto"/>
              <w:kern w:val="2"/>
              <w:szCs w:val="24"/>
              <w:lang w:eastAsia="en-AU"/>
              <w14:ligatures w14:val="standardContextual"/>
            </w:rPr>
          </w:pPr>
          <w:hyperlink w:anchor="_Toc193807892" w:history="1">
            <w:r w:rsidR="00244D85" w:rsidRPr="00783440">
              <w:rPr>
                <w:rStyle w:val="Hyperlink"/>
                <w:noProof/>
              </w:rPr>
              <w:t>7.</w:t>
            </w:r>
            <w:r w:rsidR="00244D85">
              <w:rPr>
                <w:rFonts w:asciiTheme="minorHAnsi" w:eastAsiaTheme="minorEastAsia" w:hAnsiTheme="minorHAnsi"/>
                <w:i w:val="0"/>
                <w:noProof/>
                <w:color w:val="auto"/>
                <w:kern w:val="2"/>
                <w:szCs w:val="24"/>
                <w:lang w:eastAsia="en-AU"/>
                <w14:ligatures w14:val="standardContextual"/>
              </w:rPr>
              <w:tab/>
            </w:r>
            <w:r w:rsidR="00244D85" w:rsidRPr="00783440">
              <w:rPr>
                <w:rStyle w:val="Hyperlink"/>
                <w:noProof/>
              </w:rPr>
              <w:t>Route</w:t>
            </w:r>
            <w:r w:rsidR="00244D85">
              <w:rPr>
                <w:noProof/>
                <w:webHidden/>
              </w:rPr>
              <w:tab/>
            </w:r>
            <w:r w:rsidR="00244D85">
              <w:rPr>
                <w:noProof/>
                <w:webHidden/>
              </w:rPr>
              <w:fldChar w:fldCharType="begin"/>
            </w:r>
            <w:r w:rsidR="00244D85">
              <w:rPr>
                <w:noProof/>
                <w:webHidden/>
              </w:rPr>
              <w:instrText xml:space="preserve"> PAGEREF _Toc193807892 \h </w:instrText>
            </w:r>
            <w:r w:rsidR="00244D85">
              <w:rPr>
                <w:noProof/>
                <w:webHidden/>
              </w:rPr>
            </w:r>
            <w:r w:rsidR="00244D85">
              <w:rPr>
                <w:noProof/>
                <w:webHidden/>
              </w:rPr>
              <w:fldChar w:fldCharType="separate"/>
            </w:r>
            <w:r w:rsidR="00244D85">
              <w:rPr>
                <w:noProof/>
                <w:webHidden/>
              </w:rPr>
              <w:t>6</w:t>
            </w:r>
            <w:r w:rsidR="00244D85">
              <w:rPr>
                <w:noProof/>
                <w:webHidden/>
              </w:rPr>
              <w:fldChar w:fldCharType="end"/>
            </w:r>
          </w:hyperlink>
        </w:p>
        <w:p w14:paraId="006DC1C2" w14:textId="52D4768E" w:rsidR="00244D85" w:rsidRDefault="00000000" w:rsidP="00E91274">
          <w:pPr>
            <w:pStyle w:val="TOC3"/>
            <w:tabs>
              <w:tab w:val="left" w:pos="958"/>
              <w:tab w:val="right" w:leader="dot" w:pos="9060"/>
            </w:tabs>
            <w:ind w:left="567" w:hanging="567"/>
            <w:rPr>
              <w:rFonts w:asciiTheme="minorHAnsi" w:eastAsiaTheme="minorEastAsia" w:hAnsiTheme="minorHAnsi"/>
              <w:i w:val="0"/>
              <w:noProof/>
              <w:color w:val="auto"/>
              <w:kern w:val="2"/>
              <w:szCs w:val="24"/>
              <w:lang w:eastAsia="en-AU"/>
              <w14:ligatures w14:val="standardContextual"/>
            </w:rPr>
          </w:pPr>
          <w:hyperlink w:anchor="_Toc193807893" w:history="1">
            <w:r w:rsidR="00244D85" w:rsidRPr="00783440">
              <w:rPr>
                <w:rStyle w:val="Hyperlink"/>
                <w:noProof/>
              </w:rPr>
              <w:t>8.</w:t>
            </w:r>
            <w:r w:rsidR="00244D85">
              <w:rPr>
                <w:rFonts w:asciiTheme="minorHAnsi" w:eastAsiaTheme="minorEastAsia" w:hAnsiTheme="minorHAnsi"/>
                <w:i w:val="0"/>
                <w:noProof/>
                <w:color w:val="auto"/>
                <w:kern w:val="2"/>
                <w:szCs w:val="24"/>
                <w:lang w:eastAsia="en-AU"/>
                <w14:ligatures w14:val="standardContextual"/>
              </w:rPr>
              <w:tab/>
            </w:r>
            <w:r w:rsidR="00244D85" w:rsidRPr="00783440">
              <w:rPr>
                <w:rStyle w:val="Hyperlink"/>
                <w:noProof/>
              </w:rPr>
              <w:t>Monitoring students and reviewing payment</w:t>
            </w:r>
            <w:r w:rsidR="00244D85">
              <w:rPr>
                <w:noProof/>
                <w:webHidden/>
              </w:rPr>
              <w:tab/>
            </w:r>
            <w:r w:rsidR="00244D85">
              <w:rPr>
                <w:noProof/>
                <w:webHidden/>
              </w:rPr>
              <w:fldChar w:fldCharType="begin"/>
            </w:r>
            <w:r w:rsidR="00244D85">
              <w:rPr>
                <w:noProof/>
                <w:webHidden/>
              </w:rPr>
              <w:instrText xml:space="preserve"> PAGEREF _Toc193807893 \h </w:instrText>
            </w:r>
            <w:r w:rsidR="00244D85">
              <w:rPr>
                <w:noProof/>
                <w:webHidden/>
              </w:rPr>
            </w:r>
            <w:r w:rsidR="00244D85">
              <w:rPr>
                <w:noProof/>
                <w:webHidden/>
              </w:rPr>
              <w:fldChar w:fldCharType="separate"/>
            </w:r>
            <w:r w:rsidR="00244D85">
              <w:rPr>
                <w:noProof/>
                <w:webHidden/>
              </w:rPr>
              <w:t>6</w:t>
            </w:r>
            <w:r w:rsidR="00244D85">
              <w:rPr>
                <w:noProof/>
                <w:webHidden/>
              </w:rPr>
              <w:fldChar w:fldCharType="end"/>
            </w:r>
          </w:hyperlink>
        </w:p>
        <w:p w14:paraId="0DAED445" w14:textId="00BFE50B" w:rsidR="00244D85" w:rsidRDefault="00000000" w:rsidP="00E91274">
          <w:pPr>
            <w:pStyle w:val="TOC3"/>
            <w:tabs>
              <w:tab w:val="left" w:pos="958"/>
              <w:tab w:val="right" w:leader="dot" w:pos="9060"/>
            </w:tabs>
            <w:ind w:left="567" w:hanging="567"/>
            <w:rPr>
              <w:rFonts w:asciiTheme="minorHAnsi" w:eastAsiaTheme="minorEastAsia" w:hAnsiTheme="minorHAnsi"/>
              <w:i w:val="0"/>
              <w:noProof/>
              <w:color w:val="auto"/>
              <w:kern w:val="2"/>
              <w:szCs w:val="24"/>
              <w:lang w:eastAsia="en-AU"/>
              <w14:ligatures w14:val="standardContextual"/>
            </w:rPr>
          </w:pPr>
          <w:hyperlink w:anchor="_Toc193807894" w:history="1">
            <w:r w:rsidR="00244D85" w:rsidRPr="00783440">
              <w:rPr>
                <w:rStyle w:val="Hyperlink"/>
                <w:noProof/>
              </w:rPr>
              <w:t>9.</w:t>
            </w:r>
            <w:r w:rsidR="00244D85">
              <w:rPr>
                <w:rFonts w:asciiTheme="minorHAnsi" w:eastAsiaTheme="minorEastAsia" w:hAnsiTheme="minorHAnsi"/>
                <w:i w:val="0"/>
                <w:noProof/>
                <w:color w:val="auto"/>
                <w:kern w:val="2"/>
                <w:szCs w:val="24"/>
                <w:lang w:eastAsia="en-AU"/>
                <w14:ligatures w14:val="standardContextual"/>
              </w:rPr>
              <w:tab/>
            </w:r>
            <w:r w:rsidR="00244D85" w:rsidRPr="00783440">
              <w:rPr>
                <w:rStyle w:val="Hyperlink"/>
                <w:noProof/>
              </w:rPr>
              <w:t>Closure</w:t>
            </w:r>
            <w:r w:rsidR="00244D85">
              <w:rPr>
                <w:noProof/>
                <w:webHidden/>
              </w:rPr>
              <w:tab/>
            </w:r>
            <w:r w:rsidR="00244D85">
              <w:rPr>
                <w:noProof/>
                <w:webHidden/>
              </w:rPr>
              <w:fldChar w:fldCharType="begin"/>
            </w:r>
            <w:r w:rsidR="00244D85">
              <w:rPr>
                <w:noProof/>
                <w:webHidden/>
              </w:rPr>
              <w:instrText xml:space="preserve"> PAGEREF _Toc193807894 \h </w:instrText>
            </w:r>
            <w:r w:rsidR="00244D85">
              <w:rPr>
                <w:noProof/>
                <w:webHidden/>
              </w:rPr>
            </w:r>
            <w:r w:rsidR="00244D85">
              <w:rPr>
                <w:noProof/>
                <w:webHidden/>
              </w:rPr>
              <w:fldChar w:fldCharType="separate"/>
            </w:r>
            <w:r w:rsidR="00244D85">
              <w:rPr>
                <w:noProof/>
                <w:webHidden/>
              </w:rPr>
              <w:t>7</w:t>
            </w:r>
            <w:r w:rsidR="00244D85">
              <w:rPr>
                <w:noProof/>
                <w:webHidden/>
              </w:rPr>
              <w:fldChar w:fldCharType="end"/>
            </w:r>
          </w:hyperlink>
        </w:p>
        <w:p w14:paraId="071215AA" w14:textId="331631F8" w:rsidR="00244D85" w:rsidRDefault="00000000" w:rsidP="00E91274">
          <w:pPr>
            <w:pStyle w:val="TOC3"/>
            <w:tabs>
              <w:tab w:val="left" w:pos="1202"/>
              <w:tab w:val="right" w:leader="dot" w:pos="9060"/>
            </w:tabs>
            <w:ind w:left="567" w:hanging="567"/>
            <w:rPr>
              <w:rFonts w:asciiTheme="minorHAnsi" w:eastAsiaTheme="minorEastAsia" w:hAnsiTheme="minorHAnsi"/>
              <w:i w:val="0"/>
              <w:noProof/>
              <w:color w:val="auto"/>
              <w:kern w:val="2"/>
              <w:szCs w:val="24"/>
              <w:lang w:eastAsia="en-AU"/>
              <w14:ligatures w14:val="standardContextual"/>
            </w:rPr>
          </w:pPr>
          <w:hyperlink w:anchor="_Toc193807895" w:history="1">
            <w:r w:rsidR="00244D85" w:rsidRPr="00783440">
              <w:rPr>
                <w:rStyle w:val="Hyperlink"/>
                <w:noProof/>
              </w:rPr>
              <w:t>10.</w:t>
            </w:r>
            <w:r w:rsidR="00244D85">
              <w:rPr>
                <w:rFonts w:asciiTheme="minorHAnsi" w:eastAsiaTheme="minorEastAsia" w:hAnsiTheme="minorHAnsi"/>
                <w:i w:val="0"/>
                <w:noProof/>
                <w:color w:val="auto"/>
                <w:kern w:val="2"/>
                <w:szCs w:val="24"/>
                <w:lang w:eastAsia="en-AU"/>
                <w14:ligatures w14:val="standardContextual"/>
              </w:rPr>
              <w:tab/>
            </w:r>
            <w:r w:rsidR="00244D85" w:rsidRPr="00783440">
              <w:rPr>
                <w:rStyle w:val="Hyperlink"/>
                <w:noProof/>
              </w:rPr>
              <w:t>Non-operation of a service</w:t>
            </w:r>
            <w:r w:rsidR="00244D85">
              <w:rPr>
                <w:noProof/>
                <w:webHidden/>
              </w:rPr>
              <w:tab/>
            </w:r>
            <w:r w:rsidR="00244D85">
              <w:rPr>
                <w:noProof/>
                <w:webHidden/>
              </w:rPr>
              <w:fldChar w:fldCharType="begin"/>
            </w:r>
            <w:r w:rsidR="00244D85">
              <w:rPr>
                <w:noProof/>
                <w:webHidden/>
              </w:rPr>
              <w:instrText xml:space="preserve"> PAGEREF _Toc193807895 \h </w:instrText>
            </w:r>
            <w:r w:rsidR="00244D85">
              <w:rPr>
                <w:noProof/>
                <w:webHidden/>
              </w:rPr>
            </w:r>
            <w:r w:rsidR="00244D85">
              <w:rPr>
                <w:noProof/>
                <w:webHidden/>
              </w:rPr>
              <w:fldChar w:fldCharType="separate"/>
            </w:r>
            <w:r w:rsidR="00244D85">
              <w:rPr>
                <w:noProof/>
                <w:webHidden/>
              </w:rPr>
              <w:t>8</w:t>
            </w:r>
            <w:r w:rsidR="00244D85">
              <w:rPr>
                <w:noProof/>
                <w:webHidden/>
              </w:rPr>
              <w:fldChar w:fldCharType="end"/>
            </w:r>
          </w:hyperlink>
        </w:p>
        <w:p w14:paraId="5BD5DB62" w14:textId="3AFB664E" w:rsidR="00244D85" w:rsidRDefault="00000000" w:rsidP="00E91274">
          <w:pPr>
            <w:pStyle w:val="TOC3"/>
            <w:tabs>
              <w:tab w:val="left" w:pos="1202"/>
              <w:tab w:val="right" w:leader="dot" w:pos="9060"/>
            </w:tabs>
            <w:ind w:left="567" w:hanging="567"/>
            <w:rPr>
              <w:rFonts w:asciiTheme="minorHAnsi" w:eastAsiaTheme="minorEastAsia" w:hAnsiTheme="minorHAnsi"/>
              <w:i w:val="0"/>
              <w:noProof/>
              <w:color w:val="auto"/>
              <w:kern w:val="2"/>
              <w:szCs w:val="24"/>
              <w:lang w:eastAsia="en-AU"/>
              <w14:ligatures w14:val="standardContextual"/>
            </w:rPr>
          </w:pPr>
          <w:hyperlink w:anchor="_Toc193807896" w:history="1">
            <w:r w:rsidR="00244D85" w:rsidRPr="00783440">
              <w:rPr>
                <w:rStyle w:val="Hyperlink"/>
                <w:noProof/>
              </w:rPr>
              <w:t>11.</w:t>
            </w:r>
            <w:r w:rsidR="00244D85">
              <w:rPr>
                <w:rFonts w:asciiTheme="minorHAnsi" w:eastAsiaTheme="minorEastAsia" w:hAnsiTheme="minorHAnsi"/>
                <w:i w:val="0"/>
                <w:noProof/>
                <w:color w:val="auto"/>
                <w:kern w:val="2"/>
                <w:szCs w:val="24"/>
                <w:lang w:eastAsia="en-AU"/>
                <w14:ligatures w14:val="standardContextual"/>
              </w:rPr>
              <w:tab/>
            </w:r>
            <w:r w:rsidR="00244D85" w:rsidRPr="00783440">
              <w:rPr>
                <w:rStyle w:val="Hyperlink"/>
                <w:noProof/>
              </w:rPr>
              <w:t>Approval process</w:t>
            </w:r>
            <w:r w:rsidR="00244D85">
              <w:rPr>
                <w:noProof/>
                <w:webHidden/>
              </w:rPr>
              <w:tab/>
            </w:r>
            <w:r w:rsidR="00244D85">
              <w:rPr>
                <w:noProof/>
                <w:webHidden/>
              </w:rPr>
              <w:fldChar w:fldCharType="begin"/>
            </w:r>
            <w:r w:rsidR="00244D85">
              <w:rPr>
                <w:noProof/>
                <w:webHidden/>
              </w:rPr>
              <w:instrText xml:space="preserve"> PAGEREF _Toc193807896 \h </w:instrText>
            </w:r>
            <w:r w:rsidR="00244D85">
              <w:rPr>
                <w:noProof/>
                <w:webHidden/>
              </w:rPr>
            </w:r>
            <w:r w:rsidR="00244D85">
              <w:rPr>
                <w:noProof/>
                <w:webHidden/>
              </w:rPr>
              <w:fldChar w:fldCharType="separate"/>
            </w:r>
            <w:r w:rsidR="00244D85">
              <w:rPr>
                <w:noProof/>
                <w:webHidden/>
              </w:rPr>
              <w:t>8</w:t>
            </w:r>
            <w:r w:rsidR="00244D85">
              <w:rPr>
                <w:noProof/>
                <w:webHidden/>
              </w:rPr>
              <w:fldChar w:fldCharType="end"/>
            </w:r>
          </w:hyperlink>
        </w:p>
        <w:p w14:paraId="364E1EC6" w14:textId="007C1BF6" w:rsidR="00244D85" w:rsidRDefault="00000000" w:rsidP="00E91274">
          <w:pPr>
            <w:pStyle w:val="TOC3"/>
            <w:tabs>
              <w:tab w:val="left" w:pos="1202"/>
              <w:tab w:val="right" w:leader="dot" w:pos="9060"/>
            </w:tabs>
            <w:ind w:left="567" w:hanging="567"/>
            <w:rPr>
              <w:rFonts w:asciiTheme="minorHAnsi" w:eastAsiaTheme="minorEastAsia" w:hAnsiTheme="minorHAnsi"/>
              <w:i w:val="0"/>
              <w:noProof/>
              <w:color w:val="auto"/>
              <w:kern w:val="2"/>
              <w:szCs w:val="24"/>
              <w:lang w:eastAsia="en-AU"/>
              <w14:ligatures w14:val="standardContextual"/>
            </w:rPr>
          </w:pPr>
          <w:hyperlink w:anchor="_Toc193807897" w:history="1">
            <w:r w:rsidR="00244D85" w:rsidRPr="00783440">
              <w:rPr>
                <w:rStyle w:val="Hyperlink"/>
                <w:noProof/>
              </w:rPr>
              <w:t>12.</w:t>
            </w:r>
            <w:r w:rsidR="00244D85">
              <w:rPr>
                <w:rFonts w:asciiTheme="minorHAnsi" w:eastAsiaTheme="minorEastAsia" w:hAnsiTheme="minorHAnsi"/>
                <w:i w:val="0"/>
                <w:noProof/>
                <w:color w:val="auto"/>
                <w:kern w:val="2"/>
                <w:szCs w:val="24"/>
                <w:lang w:eastAsia="en-AU"/>
                <w14:ligatures w14:val="standardContextual"/>
              </w:rPr>
              <w:tab/>
            </w:r>
            <w:r w:rsidR="00244D85" w:rsidRPr="00783440">
              <w:rPr>
                <w:rStyle w:val="Hyperlink"/>
                <w:noProof/>
              </w:rPr>
              <w:t>Agreement</w:t>
            </w:r>
            <w:r w:rsidR="00244D85">
              <w:rPr>
                <w:noProof/>
                <w:webHidden/>
              </w:rPr>
              <w:tab/>
            </w:r>
            <w:r w:rsidR="00244D85">
              <w:rPr>
                <w:noProof/>
                <w:webHidden/>
              </w:rPr>
              <w:fldChar w:fldCharType="begin"/>
            </w:r>
            <w:r w:rsidR="00244D85">
              <w:rPr>
                <w:noProof/>
                <w:webHidden/>
              </w:rPr>
              <w:instrText xml:space="preserve"> PAGEREF _Toc193807897 \h </w:instrText>
            </w:r>
            <w:r w:rsidR="00244D85">
              <w:rPr>
                <w:noProof/>
                <w:webHidden/>
              </w:rPr>
            </w:r>
            <w:r w:rsidR="00244D85">
              <w:rPr>
                <w:noProof/>
                <w:webHidden/>
              </w:rPr>
              <w:fldChar w:fldCharType="separate"/>
            </w:r>
            <w:r w:rsidR="00244D85">
              <w:rPr>
                <w:noProof/>
                <w:webHidden/>
              </w:rPr>
              <w:t>8</w:t>
            </w:r>
            <w:r w:rsidR="00244D85">
              <w:rPr>
                <w:noProof/>
                <w:webHidden/>
              </w:rPr>
              <w:fldChar w:fldCharType="end"/>
            </w:r>
          </w:hyperlink>
        </w:p>
        <w:p w14:paraId="0D104E4D" w14:textId="7ED1EDF3" w:rsidR="002A476F" w:rsidRDefault="002A476F" w:rsidP="00E91274">
          <w:pPr>
            <w:ind w:left="567" w:hanging="567"/>
          </w:pPr>
          <w:r>
            <w:rPr>
              <w:b/>
              <w:bCs/>
              <w:noProof/>
            </w:rPr>
            <w:fldChar w:fldCharType="end"/>
          </w:r>
        </w:p>
      </w:sdtContent>
    </w:sdt>
    <w:p w14:paraId="31958616" w14:textId="2E56E6AE" w:rsidR="00FC180F" w:rsidRDefault="00FC180F">
      <w:pPr>
        <w:suppressAutoHyphens w:val="0"/>
        <w:spacing w:before="0" w:after="160" w:line="259" w:lineRule="auto"/>
        <w:rPr>
          <w:rFonts w:eastAsiaTheme="majorEastAsia" w:cstheme="majorBidi"/>
          <w:color w:val="003E69"/>
          <w:sz w:val="36"/>
          <w:szCs w:val="28"/>
        </w:rPr>
      </w:pPr>
      <w:r>
        <w:br w:type="page"/>
      </w:r>
    </w:p>
    <w:p w14:paraId="35A4DD41" w14:textId="1B08E5B9" w:rsidR="00443BD4" w:rsidRDefault="009E7421" w:rsidP="00244D85">
      <w:pPr>
        <w:pStyle w:val="Heading3"/>
        <w:numPr>
          <w:ilvl w:val="0"/>
          <w:numId w:val="22"/>
        </w:numPr>
        <w:ind w:hanging="720"/>
      </w:pPr>
      <w:bookmarkStart w:id="2" w:name="_Toc193807886"/>
      <w:r>
        <w:lastRenderedPageBreak/>
        <w:t>Foreword</w:t>
      </w:r>
      <w:bookmarkEnd w:id="2"/>
    </w:p>
    <w:p w14:paraId="10C8E387" w14:textId="0E40171A" w:rsidR="00ED6DDE" w:rsidRDefault="00ED6DDE" w:rsidP="00ED6DDE">
      <w:r>
        <w:t>This</w:t>
      </w:r>
      <w:r w:rsidR="00373891">
        <w:t xml:space="preserve"> document outlines the </w:t>
      </w:r>
      <w:r>
        <w:t>guidelines for the introduction of subsidised</w:t>
      </w:r>
      <w:r w:rsidR="00373891">
        <w:t xml:space="preserve"> school bus</w:t>
      </w:r>
      <w:r>
        <w:t xml:space="preserve"> services</w:t>
      </w:r>
      <w:r w:rsidR="00373891">
        <w:t xml:space="preserve"> in Queensland</w:t>
      </w:r>
      <w:r>
        <w:t xml:space="preserve"> and their administrative requirements.</w:t>
      </w:r>
    </w:p>
    <w:p w14:paraId="05CD6E84" w14:textId="239B378B" w:rsidR="00ED6DDE" w:rsidRDefault="00ED6DDE" w:rsidP="00244D85">
      <w:pPr>
        <w:pStyle w:val="Heading3"/>
        <w:numPr>
          <w:ilvl w:val="0"/>
          <w:numId w:val="22"/>
        </w:numPr>
        <w:ind w:hanging="720"/>
      </w:pPr>
      <w:bookmarkStart w:id="3" w:name="_Toc193807887"/>
      <w:r>
        <w:t>Background</w:t>
      </w:r>
      <w:bookmarkEnd w:id="3"/>
    </w:p>
    <w:p w14:paraId="35156178" w14:textId="2BCD95B0" w:rsidR="00ED6DDE" w:rsidRDefault="00ED6DDE" w:rsidP="00ED6DDE">
      <w:r w:rsidRPr="006F2A3F">
        <w:t xml:space="preserve">Across the state, the </w:t>
      </w:r>
      <w:r>
        <w:t>Queensland G</w:t>
      </w:r>
      <w:r w:rsidRPr="006F2A3F">
        <w:t>overnment funds a network of</w:t>
      </w:r>
      <w:r>
        <w:t xml:space="preserve"> kilom</w:t>
      </w:r>
      <w:r w:rsidR="00373891">
        <w:t>e</w:t>
      </w:r>
      <w:r>
        <w:t xml:space="preserve">tre-based </w:t>
      </w:r>
      <w:r w:rsidRPr="006F2A3F">
        <w:t xml:space="preserve">school buses to transport </w:t>
      </w:r>
      <w:r>
        <w:t xml:space="preserve">students </w:t>
      </w:r>
      <w:r w:rsidR="009E7421">
        <w:t>eligible</w:t>
      </w:r>
      <w:r>
        <w:t xml:space="preserve"> for assistance under the School Transport Assistance Scheme (</w:t>
      </w:r>
      <w:r w:rsidR="00280020">
        <w:t>STAS) to</w:t>
      </w:r>
      <w:r w:rsidRPr="006F2A3F">
        <w:t xml:space="preserve"> their nearest school. </w:t>
      </w:r>
      <w:r>
        <w:t>These services are fully government funded.</w:t>
      </w:r>
    </w:p>
    <w:p w14:paraId="1049162F" w14:textId="2D6C9C42" w:rsidR="00ED6DDE" w:rsidRDefault="00ED6DDE" w:rsidP="00ED6DDE">
      <w:r>
        <w:t xml:space="preserve">A small number of services operate </w:t>
      </w:r>
      <w:r w:rsidR="00F62F81">
        <w:t>based on</w:t>
      </w:r>
      <w:r>
        <w:t xml:space="preserve"> only </w:t>
      </w:r>
      <w:r w:rsidR="009E7421">
        <w:t>partial</w:t>
      </w:r>
      <w:r>
        <w:t xml:space="preserve"> funding of the service by government. These services do not meet the requirements for institution as a fully funded kilometre-based </w:t>
      </w:r>
      <w:r w:rsidR="00A27437">
        <w:t xml:space="preserve">school bus </w:t>
      </w:r>
      <w:r w:rsidR="00F62F81">
        <w:t>service and</w:t>
      </w:r>
      <w:r>
        <w:t xml:space="preserve"> are known as ‘subsidised school bus </w:t>
      </w:r>
      <w:proofErr w:type="gramStart"/>
      <w:r w:rsidR="00E91274">
        <w:t>services’</w:t>
      </w:r>
      <w:proofErr w:type="gramEnd"/>
      <w:r>
        <w:t xml:space="preserve">. They occur due to the following factors: </w:t>
      </w:r>
    </w:p>
    <w:p w14:paraId="5EE4B787" w14:textId="77777777" w:rsidR="00ED6DDE" w:rsidRDefault="00ED6DDE" w:rsidP="002805C1">
      <w:pPr>
        <w:pStyle w:val="ListParagraph"/>
        <w:numPr>
          <w:ilvl w:val="0"/>
          <w:numId w:val="5"/>
        </w:numPr>
      </w:pPr>
      <w:r>
        <w:t>extremely long route length</w:t>
      </w:r>
    </w:p>
    <w:p w14:paraId="0761A790" w14:textId="77777777" w:rsidR="00ED6DDE" w:rsidRDefault="00ED6DDE" w:rsidP="002805C1">
      <w:pPr>
        <w:pStyle w:val="ListParagraph"/>
        <w:numPr>
          <w:ilvl w:val="0"/>
          <w:numId w:val="5"/>
        </w:numPr>
      </w:pPr>
      <w:r>
        <w:t>low number of STAS eligible students</w:t>
      </w:r>
    </w:p>
    <w:p w14:paraId="4865F9E8" w14:textId="77777777" w:rsidR="00ED6DDE" w:rsidRDefault="00ED6DDE" w:rsidP="002805C1">
      <w:pPr>
        <w:pStyle w:val="ListParagraph"/>
        <w:numPr>
          <w:ilvl w:val="0"/>
          <w:numId w:val="5"/>
        </w:numPr>
      </w:pPr>
      <w:r>
        <w:t>remote locations</w:t>
      </w:r>
    </w:p>
    <w:p w14:paraId="0B3114C6" w14:textId="7CC0B39A" w:rsidR="00ED6DDE" w:rsidRDefault="00ED6DDE" w:rsidP="002805C1">
      <w:pPr>
        <w:pStyle w:val="ListParagraph"/>
        <w:numPr>
          <w:ilvl w:val="0"/>
          <w:numId w:val="5"/>
        </w:numPr>
      </w:pPr>
      <w:r>
        <w:t>per capita funding restrictions</w:t>
      </w:r>
      <w:r w:rsidR="00373891">
        <w:t>.</w:t>
      </w:r>
    </w:p>
    <w:p w14:paraId="74F69B16" w14:textId="303D4E85" w:rsidR="00ED6DDE" w:rsidRDefault="00ED6DDE" w:rsidP="00ED6DDE">
      <w:r>
        <w:t>Subsidised</w:t>
      </w:r>
      <w:r w:rsidR="00A27437">
        <w:t xml:space="preserve"> school bus</w:t>
      </w:r>
      <w:r>
        <w:t xml:space="preserve"> services may be provided by a service provider who accepts the level of government funding provided. Any shortfall in funding is generally met by the parents/guardians.</w:t>
      </w:r>
    </w:p>
    <w:p w14:paraId="33A88CCF" w14:textId="67D1FC8C" w:rsidR="00ED6DDE" w:rsidRDefault="00ED6DDE" w:rsidP="00ED6DDE">
      <w:r>
        <w:t xml:space="preserve">In some </w:t>
      </w:r>
      <w:r w:rsidR="00C74687">
        <w:t>cases,</w:t>
      </w:r>
      <w:r>
        <w:t xml:space="preserve"> parents may form a conveyance committee and elect to provide the service themselves. Payment is made to the committee as the provider of the service. </w:t>
      </w:r>
    </w:p>
    <w:p w14:paraId="642EB7BD" w14:textId="5940763F" w:rsidR="00ED6DDE" w:rsidRDefault="00ED6DDE" w:rsidP="00244D85">
      <w:pPr>
        <w:pStyle w:val="Heading3"/>
        <w:numPr>
          <w:ilvl w:val="0"/>
          <w:numId w:val="22"/>
        </w:numPr>
        <w:ind w:hanging="720"/>
      </w:pPr>
      <w:bookmarkStart w:id="4" w:name="_Toc193807888"/>
      <w:r>
        <w:t>Guiding principles</w:t>
      </w:r>
      <w:bookmarkEnd w:id="4"/>
    </w:p>
    <w:p w14:paraId="6F4BC5FE" w14:textId="03A1B521" w:rsidR="00ED6DDE" w:rsidRDefault="00ED6DDE" w:rsidP="00ED6DDE">
      <w:r>
        <w:t xml:space="preserve">The </w:t>
      </w:r>
      <w:r w:rsidR="009E7421">
        <w:t>provision</w:t>
      </w:r>
      <w:r>
        <w:t xml:space="preserve"> of transport assistance to enable students to attend school must be viewed in the overall context of </w:t>
      </w:r>
      <w:r w:rsidR="0041523F">
        <w:t>assistance</w:t>
      </w:r>
      <w:r>
        <w:t xml:space="preserve"> provided by both the Queensland and Federal Government</w:t>
      </w:r>
      <w:r w:rsidR="00924897">
        <w:t>s</w:t>
      </w:r>
      <w:r>
        <w:t>.</w:t>
      </w:r>
    </w:p>
    <w:p w14:paraId="48F79689" w14:textId="76CA6B3D" w:rsidR="00ED6DDE" w:rsidRDefault="00ED6DDE" w:rsidP="00ED6DDE">
      <w:r>
        <w:t>Where sufficient populations of students exist</w:t>
      </w:r>
      <w:r w:rsidR="0054196C">
        <w:t>,</w:t>
      </w:r>
      <w:r>
        <w:t xml:space="preserve"> the </w:t>
      </w:r>
      <w:r w:rsidR="0062439E">
        <w:t xml:space="preserve">Queensland </w:t>
      </w:r>
      <w:r>
        <w:t>Government may provide a school facility in accordance with approved guidelines. If provision of a school facility is not feasible, a range of transport assistance options is provided to facilitate student access to school.</w:t>
      </w:r>
    </w:p>
    <w:p w14:paraId="5D56E9F2" w14:textId="1A44B695" w:rsidR="00ED6DDE" w:rsidRDefault="00ED6DDE" w:rsidP="00ED6DDE">
      <w:r>
        <w:t xml:space="preserve">Distance education is made available to students in remote and isolated areas of the state </w:t>
      </w:r>
      <w:r w:rsidR="00373891">
        <w:t xml:space="preserve">for </w:t>
      </w:r>
      <w:r>
        <w:t xml:space="preserve">students </w:t>
      </w:r>
      <w:r w:rsidR="00373891">
        <w:t xml:space="preserve">to </w:t>
      </w:r>
      <w:r>
        <w:t xml:space="preserve">undertake lessons in their </w:t>
      </w:r>
      <w:r w:rsidR="00373891">
        <w:t xml:space="preserve">own </w:t>
      </w:r>
      <w:r>
        <w:t>home.</w:t>
      </w:r>
    </w:p>
    <w:p w14:paraId="6A59E37F" w14:textId="5C06101E" w:rsidR="00ED6DDE" w:rsidRDefault="00ED6DDE" w:rsidP="00ED6DDE">
      <w:r>
        <w:lastRenderedPageBreak/>
        <w:t xml:space="preserve">Assistance is </w:t>
      </w:r>
      <w:r w:rsidR="0054196C">
        <w:t>provided</w:t>
      </w:r>
      <w:r>
        <w:t xml:space="preserve"> by both the Queensland and Federal Government</w:t>
      </w:r>
      <w:r w:rsidR="00842D7A">
        <w:t>s</w:t>
      </w:r>
      <w:r>
        <w:t xml:space="preserve"> for students who live away from home </w:t>
      </w:r>
      <w:proofErr w:type="gramStart"/>
      <w:r>
        <w:t>in order to</w:t>
      </w:r>
      <w:proofErr w:type="gramEnd"/>
      <w:r>
        <w:t xml:space="preserve"> attend school.</w:t>
      </w:r>
    </w:p>
    <w:p w14:paraId="15795F46" w14:textId="087E3266" w:rsidR="00ED6DDE" w:rsidRDefault="00ED6DDE" w:rsidP="00ED6DDE">
      <w:r>
        <w:t xml:space="preserve">In this context, subsidised school bus services are targeted at providing an option for those families whose children would otherwise live away from home </w:t>
      </w:r>
      <w:r w:rsidR="0054196C">
        <w:t>to</w:t>
      </w:r>
      <w:r>
        <w:t xml:space="preserve"> attend school</w:t>
      </w:r>
      <w:r w:rsidR="000E06B9">
        <w:t>,</w:t>
      </w:r>
      <w:r w:rsidR="00567BB6">
        <w:t xml:space="preserve"> or who would o</w:t>
      </w:r>
      <w:r>
        <w:t xml:space="preserve">therwise rely on distance </w:t>
      </w:r>
      <w:r w:rsidR="0041523F">
        <w:t>education</w:t>
      </w:r>
      <w:r>
        <w:t xml:space="preserve"> to </w:t>
      </w:r>
      <w:r w:rsidR="00AB7124">
        <w:t>fulfil</w:t>
      </w:r>
      <w:r>
        <w:t xml:space="preserve"> their educational requirements. </w:t>
      </w:r>
    </w:p>
    <w:p w14:paraId="6C48B5A0" w14:textId="58F59BA7" w:rsidR="00567BB6" w:rsidRDefault="0041523F" w:rsidP="00244D85">
      <w:pPr>
        <w:pStyle w:val="Heading3"/>
        <w:numPr>
          <w:ilvl w:val="0"/>
          <w:numId w:val="22"/>
        </w:numPr>
        <w:ind w:hanging="720"/>
      </w:pPr>
      <w:bookmarkStart w:id="5" w:name="_Toc193807889"/>
      <w:r>
        <w:t>Eligibility</w:t>
      </w:r>
      <w:r w:rsidR="00567BB6">
        <w:t xml:space="preserve"> criteria for subsidised </w:t>
      </w:r>
      <w:r w:rsidR="00A27437">
        <w:t xml:space="preserve">school bus </w:t>
      </w:r>
      <w:r w:rsidR="00567BB6">
        <w:t>services</w:t>
      </w:r>
      <w:bookmarkEnd w:id="5"/>
    </w:p>
    <w:p w14:paraId="4DBCE28A" w14:textId="38FF7B42" w:rsidR="00373891" w:rsidRDefault="00567BB6" w:rsidP="00567BB6">
      <w:r>
        <w:t xml:space="preserve">A subsidised </w:t>
      </w:r>
      <w:r w:rsidR="000E06B9">
        <w:t xml:space="preserve">school bus </w:t>
      </w:r>
      <w:r>
        <w:t xml:space="preserve">service may only be instituted in isolated areas as designated by the Director-General, Department of Transport and Main Roads. </w:t>
      </w:r>
    </w:p>
    <w:p w14:paraId="24E5EC7E" w14:textId="4AFD7C33" w:rsidR="00011417" w:rsidRDefault="00567BB6" w:rsidP="00567BB6">
      <w:r>
        <w:t>Under the School Transport Isolation Package</w:t>
      </w:r>
      <w:r w:rsidR="00754E3A">
        <w:t xml:space="preserve"> </w:t>
      </w:r>
      <w:r w:rsidR="002D7B27">
        <w:t xml:space="preserve">an area is classified as isolated where students: </w:t>
      </w:r>
    </w:p>
    <w:p w14:paraId="15A1F8D4" w14:textId="05F0A9F9" w:rsidR="00A65F8F" w:rsidRDefault="002D7B27" w:rsidP="00E563F0">
      <w:pPr>
        <w:pStyle w:val="ListParagraph"/>
        <w:numPr>
          <w:ilvl w:val="0"/>
          <w:numId w:val="21"/>
        </w:numPr>
        <w:ind w:left="567" w:hanging="567"/>
      </w:pPr>
      <w:r>
        <w:t xml:space="preserve">reside </w:t>
      </w:r>
      <w:r w:rsidR="00D821B5">
        <w:t xml:space="preserve">outside of the south east Queensland school transport </w:t>
      </w:r>
      <w:r w:rsidR="00A65F8F">
        <w:t xml:space="preserve">zone (refer to </w:t>
      </w:r>
      <w:hyperlink r:id="rId9" w:history="1">
        <w:r w:rsidR="00A27437">
          <w:rPr>
            <w:rStyle w:val="Hyperlink"/>
          </w:rPr>
          <w:t>School Transport Information Statement 11</w:t>
        </w:r>
      </w:hyperlink>
      <w:r w:rsidR="00A65F8F">
        <w:t xml:space="preserve">– School Transport Assistance Scheme Isolation Package); </w:t>
      </w:r>
    </w:p>
    <w:p w14:paraId="0A15A2EB" w14:textId="77777777" w:rsidR="00750B0D" w:rsidRDefault="00750B0D" w:rsidP="00E563F0">
      <w:pPr>
        <w:pStyle w:val="ListParagraph"/>
        <w:ind w:left="567" w:hanging="567"/>
      </w:pPr>
    </w:p>
    <w:p w14:paraId="49C79AE8" w14:textId="58FA016D" w:rsidR="00A65F8F" w:rsidRDefault="00A65F8F" w:rsidP="00E563F0">
      <w:pPr>
        <w:pStyle w:val="ListParagraph"/>
        <w:ind w:left="567" w:hanging="567"/>
        <w:jc w:val="center"/>
      </w:pPr>
      <w:r>
        <w:t>AND</w:t>
      </w:r>
    </w:p>
    <w:p w14:paraId="5B829802" w14:textId="67BE4168" w:rsidR="00750B0D" w:rsidRDefault="00A65F8F" w:rsidP="00E563F0">
      <w:pPr>
        <w:ind w:left="567" w:hanging="567"/>
      </w:pPr>
      <w:r>
        <w:t>2a</w:t>
      </w:r>
      <w:r w:rsidR="00750B0D">
        <w:t xml:space="preserve">. </w:t>
      </w:r>
      <w:r w:rsidR="00E563F0">
        <w:tab/>
      </w:r>
      <w:r w:rsidR="00750B0D">
        <w:t xml:space="preserve">reside </w:t>
      </w:r>
      <w:r w:rsidR="00373891">
        <w:t xml:space="preserve">in the </w:t>
      </w:r>
      <w:proofErr w:type="gramStart"/>
      <w:r w:rsidR="00373891">
        <w:t>seven week</w:t>
      </w:r>
      <w:proofErr w:type="gramEnd"/>
      <w:r w:rsidR="00373891">
        <w:t xml:space="preserve"> vacation zone as defined by the Department of Education; </w:t>
      </w:r>
    </w:p>
    <w:p w14:paraId="32130C9F" w14:textId="7B17CF8F" w:rsidR="00D821B5" w:rsidRDefault="00373891" w:rsidP="00E563F0">
      <w:pPr>
        <w:ind w:left="567" w:hanging="567"/>
        <w:jc w:val="center"/>
      </w:pPr>
      <w:r>
        <w:t>or</w:t>
      </w:r>
    </w:p>
    <w:p w14:paraId="06B4F60A" w14:textId="08E018EA" w:rsidR="00373891" w:rsidRDefault="00750B0D" w:rsidP="00E563F0">
      <w:pPr>
        <w:ind w:left="567" w:hanging="567"/>
      </w:pPr>
      <w:r>
        <w:t xml:space="preserve">2b. </w:t>
      </w:r>
      <w:r w:rsidR="00E563F0">
        <w:tab/>
      </w:r>
      <w:r>
        <w:t xml:space="preserve">reside </w:t>
      </w:r>
      <w:r w:rsidR="00373891">
        <w:t>more than 50km measured by the shortest trafficable route from the main Post Office in the following centres:</w:t>
      </w:r>
    </w:p>
    <w:tbl>
      <w:tblPr>
        <w:tblStyle w:val="TableGridLight"/>
        <w:tblW w:w="9070" w:type="dxa"/>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2267"/>
        <w:gridCol w:w="2268"/>
        <w:gridCol w:w="2268"/>
      </w:tblGrid>
      <w:tr w:rsidR="004638EA" w14:paraId="4F4A77A2" w14:textId="77777777" w:rsidTr="00E563F0">
        <w:tc>
          <w:tcPr>
            <w:tcW w:w="2267" w:type="dxa"/>
          </w:tcPr>
          <w:p w14:paraId="126837E2" w14:textId="56DF2B72" w:rsidR="004638EA" w:rsidRDefault="004638EA" w:rsidP="00D821B5">
            <w:pPr>
              <w:spacing w:before="0" w:line="240" w:lineRule="auto"/>
            </w:pPr>
            <w:r>
              <w:t>- Atherton</w:t>
            </w:r>
          </w:p>
        </w:tc>
        <w:tc>
          <w:tcPr>
            <w:tcW w:w="2267" w:type="dxa"/>
          </w:tcPr>
          <w:p w14:paraId="4334859C" w14:textId="029EB650" w:rsidR="004638EA" w:rsidRDefault="004638EA" w:rsidP="00D821B5">
            <w:pPr>
              <w:spacing w:before="0" w:line="240" w:lineRule="auto"/>
            </w:pPr>
            <w:r>
              <w:t>- Ayr</w:t>
            </w:r>
          </w:p>
        </w:tc>
        <w:tc>
          <w:tcPr>
            <w:tcW w:w="2268" w:type="dxa"/>
          </w:tcPr>
          <w:p w14:paraId="50F68777" w14:textId="7BE9F173" w:rsidR="004638EA" w:rsidRDefault="004638EA" w:rsidP="00D821B5">
            <w:pPr>
              <w:spacing w:before="0" w:line="240" w:lineRule="auto"/>
            </w:pPr>
            <w:r>
              <w:t>- Bowen</w:t>
            </w:r>
          </w:p>
        </w:tc>
        <w:tc>
          <w:tcPr>
            <w:tcW w:w="2268" w:type="dxa"/>
          </w:tcPr>
          <w:p w14:paraId="1CB7B93F" w14:textId="228A8078" w:rsidR="004638EA" w:rsidRDefault="004638EA" w:rsidP="00D821B5">
            <w:pPr>
              <w:spacing w:before="0" w:line="240" w:lineRule="auto"/>
            </w:pPr>
            <w:r>
              <w:t>- Bundaberg</w:t>
            </w:r>
          </w:p>
        </w:tc>
      </w:tr>
      <w:tr w:rsidR="004638EA" w14:paraId="68B1DC10" w14:textId="77777777" w:rsidTr="00E563F0">
        <w:tc>
          <w:tcPr>
            <w:tcW w:w="2267" w:type="dxa"/>
          </w:tcPr>
          <w:p w14:paraId="76DC6235" w14:textId="4AEF268F" w:rsidR="004638EA" w:rsidRDefault="004638EA" w:rsidP="00D821B5">
            <w:pPr>
              <w:spacing w:before="0" w:line="240" w:lineRule="auto"/>
            </w:pPr>
            <w:r>
              <w:t>- Cairns</w:t>
            </w:r>
          </w:p>
        </w:tc>
        <w:tc>
          <w:tcPr>
            <w:tcW w:w="2267" w:type="dxa"/>
          </w:tcPr>
          <w:p w14:paraId="7FB07BB8" w14:textId="21FAD865" w:rsidR="004638EA" w:rsidRDefault="004638EA" w:rsidP="00D821B5">
            <w:pPr>
              <w:spacing w:before="0" w:line="240" w:lineRule="auto"/>
            </w:pPr>
            <w:r>
              <w:t>- Dalby</w:t>
            </w:r>
          </w:p>
        </w:tc>
        <w:tc>
          <w:tcPr>
            <w:tcW w:w="2268" w:type="dxa"/>
          </w:tcPr>
          <w:p w14:paraId="30873469" w14:textId="42EFBDDE" w:rsidR="004638EA" w:rsidRDefault="004638EA" w:rsidP="00D821B5">
            <w:pPr>
              <w:spacing w:before="0" w:line="240" w:lineRule="auto"/>
            </w:pPr>
            <w:r>
              <w:t>- Gladstone</w:t>
            </w:r>
          </w:p>
        </w:tc>
        <w:tc>
          <w:tcPr>
            <w:tcW w:w="2268" w:type="dxa"/>
          </w:tcPr>
          <w:p w14:paraId="4DF26FA5" w14:textId="6378EB2F" w:rsidR="004638EA" w:rsidRDefault="004638EA" w:rsidP="00D821B5">
            <w:pPr>
              <w:spacing w:before="0" w:line="240" w:lineRule="auto"/>
            </w:pPr>
            <w:r>
              <w:t>- Gympie</w:t>
            </w:r>
          </w:p>
        </w:tc>
      </w:tr>
      <w:tr w:rsidR="004638EA" w14:paraId="225A1C8B" w14:textId="77777777" w:rsidTr="00E563F0">
        <w:tc>
          <w:tcPr>
            <w:tcW w:w="2267" w:type="dxa"/>
          </w:tcPr>
          <w:p w14:paraId="0A544AD3" w14:textId="1CAD77D0" w:rsidR="004638EA" w:rsidRDefault="004638EA" w:rsidP="00D821B5">
            <w:pPr>
              <w:spacing w:before="0" w:line="240" w:lineRule="auto"/>
            </w:pPr>
            <w:r>
              <w:t>- Hervey Bay</w:t>
            </w:r>
          </w:p>
        </w:tc>
        <w:tc>
          <w:tcPr>
            <w:tcW w:w="2267" w:type="dxa"/>
          </w:tcPr>
          <w:p w14:paraId="5EC7418A" w14:textId="219B488A" w:rsidR="004638EA" w:rsidRDefault="004638EA" w:rsidP="00D821B5">
            <w:pPr>
              <w:spacing w:before="0" w:line="240" w:lineRule="auto"/>
            </w:pPr>
            <w:r>
              <w:t>- Home Hill</w:t>
            </w:r>
          </w:p>
        </w:tc>
        <w:tc>
          <w:tcPr>
            <w:tcW w:w="2268" w:type="dxa"/>
          </w:tcPr>
          <w:p w14:paraId="1D2A3083" w14:textId="6440EAC2" w:rsidR="004638EA" w:rsidRDefault="004638EA" w:rsidP="00D821B5">
            <w:pPr>
              <w:spacing w:before="0" w:line="240" w:lineRule="auto"/>
            </w:pPr>
            <w:r>
              <w:t>- Ingham</w:t>
            </w:r>
          </w:p>
        </w:tc>
        <w:tc>
          <w:tcPr>
            <w:tcW w:w="2268" w:type="dxa"/>
          </w:tcPr>
          <w:p w14:paraId="7693E236" w14:textId="19AE59D0" w:rsidR="004638EA" w:rsidRDefault="004638EA" w:rsidP="00D821B5">
            <w:pPr>
              <w:spacing w:before="0" w:line="240" w:lineRule="auto"/>
            </w:pPr>
            <w:r>
              <w:t>- Innisfail</w:t>
            </w:r>
          </w:p>
        </w:tc>
      </w:tr>
      <w:tr w:rsidR="004638EA" w14:paraId="7DCE7557" w14:textId="77777777" w:rsidTr="00E563F0">
        <w:tc>
          <w:tcPr>
            <w:tcW w:w="2267" w:type="dxa"/>
          </w:tcPr>
          <w:p w14:paraId="04A1072F" w14:textId="330638AD" w:rsidR="004638EA" w:rsidRDefault="004638EA" w:rsidP="00D821B5">
            <w:pPr>
              <w:spacing w:before="0" w:line="240" w:lineRule="auto"/>
            </w:pPr>
            <w:r>
              <w:t>- Kingaroy</w:t>
            </w:r>
          </w:p>
        </w:tc>
        <w:tc>
          <w:tcPr>
            <w:tcW w:w="2267" w:type="dxa"/>
          </w:tcPr>
          <w:p w14:paraId="309D3E76" w14:textId="756F9411" w:rsidR="004638EA" w:rsidRDefault="004638EA" w:rsidP="00D821B5">
            <w:pPr>
              <w:spacing w:before="0" w:line="240" w:lineRule="auto"/>
            </w:pPr>
            <w:r>
              <w:t xml:space="preserve">- </w:t>
            </w:r>
            <w:r w:rsidR="0041523F">
              <w:t>Mackay</w:t>
            </w:r>
          </w:p>
        </w:tc>
        <w:tc>
          <w:tcPr>
            <w:tcW w:w="2268" w:type="dxa"/>
          </w:tcPr>
          <w:p w14:paraId="1B720B0A" w14:textId="716524ED" w:rsidR="004638EA" w:rsidRDefault="004638EA" w:rsidP="00D821B5">
            <w:pPr>
              <w:spacing w:before="0" w:line="240" w:lineRule="auto"/>
            </w:pPr>
            <w:r>
              <w:t>- Malanda</w:t>
            </w:r>
          </w:p>
        </w:tc>
        <w:tc>
          <w:tcPr>
            <w:tcW w:w="2268" w:type="dxa"/>
          </w:tcPr>
          <w:p w14:paraId="011E2DC4" w14:textId="463E0EF8" w:rsidR="004638EA" w:rsidRDefault="004638EA" w:rsidP="00D821B5">
            <w:pPr>
              <w:spacing w:before="0" w:line="240" w:lineRule="auto"/>
            </w:pPr>
            <w:r>
              <w:t>- Mareeba</w:t>
            </w:r>
          </w:p>
        </w:tc>
      </w:tr>
      <w:tr w:rsidR="004638EA" w14:paraId="4C26B533" w14:textId="77777777" w:rsidTr="00E563F0">
        <w:tc>
          <w:tcPr>
            <w:tcW w:w="2267" w:type="dxa"/>
          </w:tcPr>
          <w:p w14:paraId="33D01D58" w14:textId="7CF12375" w:rsidR="004638EA" w:rsidRDefault="004638EA" w:rsidP="00D821B5">
            <w:pPr>
              <w:spacing w:before="0" w:line="240" w:lineRule="auto"/>
            </w:pPr>
            <w:r>
              <w:t>- Maryborough</w:t>
            </w:r>
          </w:p>
        </w:tc>
        <w:tc>
          <w:tcPr>
            <w:tcW w:w="2267" w:type="dxa"/>
          </w:tcPr>
          <w:p w14:paraId="5202768F" w14:textId="5B3A6E8A" w:rsidR="004638EA" w:rsidRDefault="004638EA" w:rsidP="00D821B5">
            <w:pPr>
              <w:spacing w:before="0" w:line="240" w:lineRule="auto"/>
            </w:pPr>
            <w:r>
              <w:t>- Mossman</w:t>
            </w:r>
          </w:p>
        </w:tc>
        <w:tc>
          <w:tcPr>
            <w:tcW w:w="2268" w:type="dxa"/>
          </w:tcPr>
          <w:p w14:paraId="438B31A1" w14:textId="3EF75799" w:rsidR="004638EA" w:rsidRDefault="004638EA" w:rsidP="00D821B5">
            <w:pPr>
              <w:spacing w:before="0" w:line="240" w:lineRule="auto"/>
            </w:pPr>
            <w:r>
              <w:t>- Proserpine</w:t>
            </w:r>
          </w:p>
        </w:tc>
        <w:tc>
          <w:tcPr>
            <w:tcW w:w="2268" w:type="dxa"/>
          </w:tcPr>
          <w:p w14:paraId="4DFBB39F" w14:textId="504769BB" w:rsidR="004638EA" w:rsidRDefault="004638EA" w:rsidP="00D821B5">
            <w:pPr>
              <w:spacing w:before="0" w:line="240" w:lineRule="auto"/>
            </w:pPr>
            <w:r>
              <w:t>- Ravenshoe</w:t>
            </w:r>
          </w:p>
        </w:tc>
      </w:tr>
      <w:tr w:rsidR="004638EA" w14:paraId="773C57AC" w14:textId="77777777" w:rsidTr="00E563F0">
        <w:tc>
          <w:tcPr>
            <w:tcW w:w="2267" w:type="dxa"/>
          </w:tcPr>
          <w:p w14:paraId="67B056D3" w14:textId="478C6EC8" w:rsidR="004638EA" w:rsidRDefault="004638EA" w:rsidP="00D821B5">
            <w:pPr>
              <w:spacing w:before="0" w:line="240" w:lineRule="auto"/>
            </w:pPr>
            <w:r>
              <w:t>- Rockhampton</w:t>
            </w:r>
          </w:p>
        </w:tc>
        <w:tc>
          <w:tcPr>
            <w:tcW w:w="2267" w:type="dxa"/>
          </w:tcPr>
          <w:p w14:paraId="72FFCC84" w14:textId="49E783F1" w:rsidR="004638EA" w:rsidRDefault="004638EA" w:rsidP="00D821B5">
            <w:pPr>
              <w:spacing w:before="0" w:line="240" w:lineRule="auto"/>
            </w:pPr>
            <w:r>
              <w:t>- Sarina</w:t>
            </w:r>
          </w:p>
        </w:tc>
        <w:tc>
          <w:tcPr>
            <w:tcW w:w="2268" w:type="dxa"/>
          </w:tcPr>
          <w:p w14:paraId="5A55EB6C" w14:textId="3D5660EA" w:rsidR="004638EA" w:rsidRDefault="004638EA" w:rsidP="00D821B5">
            <w:pPr>
              <w:spacing w:before="0" w:line="240" w:lineRule="auto"/>
            </w:pPr>
            <w:r>
              <w:t xml:space="preserve">- Stanthorpe </w:t>
            </w:r>
          </w:p>
        </w:tc>
        <w:tc>
          <w:tcPr>
            <w:tcW w:w="2268" w:type="dxa"/>
          </w:tcPr>
          <w:p w14:paraId="2D3577A9" w14:textId="227A48AE" w:rsidR="004638EA" w:rsidRDefault="004638EA" w:rsidP="00D821B5">
            <w:pPr>
              <w:spacing w:before="0" w:line="240" w:lineRule="auto"/>
            </w:pPr>
            <w:r>
              <w:t>- Toowoomba</w:t>
            </w:r>
          </w:p>
        </w:tc>
      </w:tr>
      <w:tr w:rsidR="004638EA" w14:paraId="1E6501E8" w14:textId="77777777" w:rsidTr="00E563F0">
        <w:tc>
          <w:tcPr>
            <w:tcW w:w="2267" w:type="dxa"/>
          </w:tcPr>
          <w:p w14:paraId="34A1126F" w14:textId="3029EA9A" w:rsidR="004638EA" w:rsidRDefault="004638EA" w:rsidP="00D821B5">
            <w:pPr>
              <w:spacing w:before="0" w:line="240" w:lineRule="auto"/>
            </w:pPr>
            <w:r>
              <w:t>- Tully</w:t>
            </w:r>
          </w:p>
        </w:tc>
        <w:tc>
          <w:tcPr>
            <w:tcW w:w="2267" w:type="dxa"/>
          </w:tcPr>
          <w:p w14:paraId="224CEB57" w14:textId="729606C5" w:rsidR="004638EA" w:rsidRDefault="004638EA" w:rsidP="00D821B5">
            <w:pPr>
              <w:spacing w:before="0" w:line="240" w:lineRule="auto"/>
            </w:pPr>
            <w:r>
              <w:t>- Warwick</w:t>
            </w:r>
          </w:p>
        </w:tc>
        <w:tc>
          <w:tcPr>
            <w:tcW w:w="2268" w:type="dxa"/>
          </w:tcPr>
          <w:p w14:paraId="7BED393A" w14:textId="77777777" w:rsidR="004638EA" w:rsidRDefault="004638EA" w:rsidP="00D821B5">
            <w:pPr>
              <w:spacing w:before="0" w:line="240" w:lineRule="auto"/>
            </w:pPr>
          </w:p>
        </w:tc>
        <w:tc>
          <w:tcPr>
            <w:tcW w:w="2268" w:type="dxa"/>
          </w:tcPr>
          <w:p w14:paraId="56B950FE" w14:textId="77777777" w:rsidR="004638EA" w:rsidRDefault="004638EA" w:rsidP="00D821B5">
            <w:pPr>
              <w:spacing w:before="0" w:line="240" w:lineRule="auto"/>
            </w:pPr>
          </w:p>
        </w:tc>
      </w:tr>
    </w:tbl>
    <w:p w14:paraId="5AB49258" w14:textId="77777777" w:rsidR="0049641A" w:rsidRDefault="0049641A" w:rsidP="00567BB6"/>
    <w:p w14:paraId="32279997" w14:textId="1427ECD0" w:rsidR="00567BB6" w:rsidRDefault="004638EA" w:rsidP="00567BB6">
      <w:r>
        <w:lastRenderedPageBreak/>
        <w:t xml:space="preserve">In addition to the isolated area eligibility criteria, </w:t>
      </w:r>
      <w:r w:rsidR="00E563F0">
        <w:t xml:space="preserve">students must: </w:t>
      </w:r>
    </w:p>
    <w:p w14:paraId="2FDE6450" w14:textId="6A40ECEE" w:rsidR="00D821B5" w:rsidRDefault="004638EA" w:rsidP="002805C1">
      <w:pPr>
        <w:pStyle w:val="ListParagraph"/>
        <w:numPr>
          <w:ilvl w:val="0"/>
          <w:numId w:val="6"/>
        </w:numPr>
      </w:pPr>
      <w:r>
        <w:t>reside more than 16km from the nearest state school; and</w:t>
      </w:r>
    </w:p>
    <w:p w14:paraId="542D78C6" w14:textId="255B3194" w:rsidR="004638EA" w:rsidRPr="00567BB6" w:rsidRDefault="004638EA" w:rsidP="002805C1">
      <w:pPr>
        <w:pStyle w:val="ListParagraph"/>
        <w:numPr>
          <w:ilvl w:val="0"/>
          <w:numId w:val="6"/>
        </w:numPr>
      </w:pPr>
      <w:r>
        <w:t>reside more than 16km from the near</w:t>
      </w:r>
      <w:r w:rsidR="00650AC0">
        <w:t>est</w:t>
      </w:r>
      <w:r>
        <w:t xml:space="preserve"> approved bus service which can transport the student to school. </w:t>
      </w:r>
    </w:p>
    <w:p w14:paraId="343C13AB" w14:textId="7F265128" w:rsidR="00567BB6" w:rsidRDefault="00D821B5" w:rsidP="00567BB6">
      <w:r>
        <w:t xml:space="preserve">The institution of a subsidised </w:t>
      </w:r>
      <w:r w:rsidR="008A16BD">
        <w:t xml:space="preserve">school bus </w:t>
      </w:r>
      <w:r>
        <w:t>service may impact on the following schemes:</w:t>
      </w:r>
    </w:p>
    <w:p w14:paraId="7C775153" w14:textId="1E248E33" w:rsidR="00D821B5" w:rsidRDefault="00000000" w:rsidP="00E91274">
      <w:pPr>
        <w:pStyle w:val="ListParagraph"/>
        <w:numPr>
          <w:ilvl w:val="0"/>
          <w:numId w:val="23"/>
        </w:numPr>
      </w:pPr>
      <w:hyperlink r:id="rId10" w:anchor=":~:text=The%20Living%20Away%20From%20Home,(PDF%2C%20124%20KB)." w:history="1">
        <w:r w:rsidR="00D821B5" w:rsidRPr="00650AC0">
          <w:rPr>
            <w:rStyle w:val="Hyperlink"/>
          </w:rPr>
          <w:t>Living Away from Homes Allowance Scheme</w:t>
        </w:r>
      </w:hyperlink>
      <w:r w:rsidR="00D821B5">
        <w:t xml:space="preserve"> (LAFHAS) administered by the Department of Education</w:t>
      </w:r>
    </w:p>
    <w:p w14:paraId="09FA3437" w14:textId="7CB55F90" w:rsidR="00D821B5" w:rsidRDefault="00000000" w:rsidP="00E91274">
      <w:pPr>
        <w:pStyle w:val="ListParagraph"/>
        <w:numPr>
          <w:ilvl w:val="0"/>
          <w:numId w:val="23"/>
        </w:numPr>
      </w:pPr>
      <w:hyperlink r:id="rId11" w:history="1">
        <w:r w:rsidR="00D821B5" w:rsidRPr="00650AC0">
          <w:rPr>
            <w:rStyle w:val="Hyperlink"/>
          </w:rPr>
          <w:t>Assistance for Isolated Children Scheme</w:t>
        </w:r>
      </w:hyperlink>
      <w:r w:rsidR="00D821B5">
        <w:t xml:space="preserve"> (AIC) administered by </w:t>
      </w:r>
      <w:r w:rsidR="00FB40FC">
        <w:t xml:space="preserve">Services Australia. </w:t>
      </w:r>
    </w:p>
    <w:p w14:paraId="2686F31D" w14:textId="58EACB20" w:rsidR="00D821B5" w:rsidRDefault="0041523F" w:rsidP="00D821B5">
      <w:r>
        <w:t>Consideration</w:t>
      </w:r>
      <w:r w:rsidR="002805C1">
        <w:t xml:space="preserve"> must be given to the implications on the recipients of these schemes prior to recommending the institution of a subsidised school bus service. </w:t>
      </w:r>
    </w:p>
    <w:p w14:paraId="50CE1B3B" w14:textId="2E11D8E5" w:rsidR="008A16BD" w:rsidRDefault="003E0ED3" w:rsidP="00244D85">
      <w:pPr>
        <w:pStyle w:val="Heading3"/>
        <w:numPr>
          <w:ilvl w:val="0"/>
          <w:numId w:val="22"/>
        </w:numPr>
        <w:ind w:hanging="720"/>
      </w:pPr>
      <w:bookmarkStart w:id="6" w:name="_Toc193807890"/>
      <w:r>
        <w:t>Institution of a service</w:t>
      </w:r>
      <w:bookmarkEnd w:id="6"/>
    </w:p>
    <w:p w14:paraId="0D1FCF15" w14:textId="3A40ABCC" w:rsidR="00ED3A16" w:rsidRDefault="00ED3A16" w:rsidP="00ED3A16">
      <w:r>
        <w:t>Prior to the institution of a subsidised school bus service consultation will occur with parents, the local school community</w:t>
      </w:r>
      <w:r w:rsidR="0001168F">
        <w:t xml:space="preserve">, </w:t>
      </w:r>
      <w:r>
        <w:t>the Department of Education regional office</w:t>
      </w:r>
      <w:r w:rsidR="0001168F">
        <w:t xml:space="preserve"> </w:t>
      </w:r>
      <w:r w:rsidR="0001168F" w:rsidRPr="00FB40FC">
        <w:t>and the Isolated Children’s Parents Association (ICPA).</w:t>
      </w:r>
      <w:r w:rsidR="0001168F">
        <w:t xml:space="preserve"> </w:t>
      </w:r>
    </w:p>
    <w:p w14:paraId="6746813F" w14:textId="26B1311A" w:rsidR="002C2090" w:rsidRDefault="00A87766" w:rsidP="002C2090">
      <w:r>
        <w:t>T</w:t>
      </w:r>
      <w:r w:rsidR="00753E36">
        <w:t>o institute a subsidised school bus service</w:t>
      </w:r>
      <w:r w:rsidR="00B01AD5">
        <w:t>:</w:t>
      </w:r>
      <w:r w:rsidR="002C2090">
        <w:t xml:space="preserve"> </w:t>
      </w:r>
      <w:r w:rsidR="00BC3005">
        <w:t xml:space="preserve"> </w:t>
      </w:r>
    </w:p>
    <w:p w14:paraId="3B0C003C" w14:textId="309986DC" w:rsidR="00762449" w:rsidRDefault="00B01AD5" w:rsidP="002C2090">
      <w:pPr>
        <w:pStyle w:val="ListParagraph"/>
        <w:numPr>
          <w:ilvl w:val="0"/>
          <w:numId w:val="11"/>
        </w:numPr>
      </w:pPr>
      <w:r>
        <w:t xml:space="preserve">there must be </w:t>
      </w:r>
      <w:r w:rsidR="00753E36">
        <w:t>a minimum of seven (7) eligible students</w:t>
      </w:r>
      <w:r w:rsidR="0046430D">
        <w:t xml:space="preserve"> </w:t>
      </w:r>
      <w:r w:rsidR="00762449">
        <w:t>from at least three (3) families</w:t>
      </w:r>
      <w:r w:rsidR="00EE64D3">
        <w:t xml:space="preserve"> </w:t>
      </w:r>
    </w:p>
    <w:p w14:paraId="4C14B467" w14:textId="7430B7FE" w:rsidR="007744BF" w:rsidRDefault="00762449" w:rsidP="00375DCE">
      <w:pPr>
        <w:pStyle w:val="ListParagraph"/>
        <w:numPr>
          <w:ilvl w:val="0"/>
          <w:numId w:val="11"/>
        </w:numPr>
      </w:pPr>
      <w:r>
        <w:t>t</w:t>
      </w:r>
      <w:r w:rsidR="00B01AD5">
        <w:t xml:space="preserve">he students must reside </w:t>
      </w:r>
      <w:r w:rsidR="0046430D">
        <w:t xml:space="preserve">more than </w:t>
      </w:r>
      <w:r w:rsidR="006E3515">
        <w:t xml:space="preserve">16km from the </w:t>
      </w:r>
    </w:p>
    <w:p w14:paraId="6270B14B" w14:textId="55201AA9" w:rsidR="007744BF" w:rsidRDefault="006E3515" w:rsidP="007744BF">
      <w:pPr>
        <w:pStyle w:val="ListParagraph"/>
        <w:numPr>
          <w:ilvl w:val="0"/>
          <w:numId w:val="10"/>
        </w:numPr>
      </w:pPr>
      <w:r>
        <w:t>nearest state school</w:t>
      </w:r>
      <w:r w:rsidR="007744BF">
        <w:t>;</w:t>
      </w:r>
      <w:r>
        <w:t xml:space="preserve"> </w:t>
      </w:r>
      <w:r w:rsidR="00DF5EDF">
        <w:t xml:space="preserve">and </w:t>
      </w:r>
    </w:p>
    <w:p w14:paraId="5BB658BC" w14:textId="128C3C30" w:rsidR="006B5D3D" w:rsidRDefault="00DF5EDF" w:rsidP="006B5D3D">
      <w:pPr>
        <w:pStyle w:val="ListParagraph"/>
        <w:numPr>
          <w:ilvl w:val="0"/>
          <w:numId w:val="10"/>
        </w:numPr>
      </w:pPr>
      <w:r>
        <w:t xml:space="preserve">the nearest approved bus service which can transport </w:t>
      </w:r>
      <w:r w:rsidR="005A5371">
        <w:t xml:space="preserve">the </w:t>
      </w:r>
      <w:r>
        <w:t>student</w:t>
      </w:r>
      <w:r w:rsidR="005A5371">
        <w:t>s</w:t>
      </w:r>
      <w:r>
        <w:t xml:space="preserve"> to schoo</w:t>
      </w:r>
      <w:r w:rsidR="006B5D3D">
        <w:t>l</w:t>
      </w:r>
    </w:p>
    <w:p w14:paraId="65077255" w14:textId="067326DD" w:rsidR="00562168" w:rsidRDefault="00562168" w:rsidP="00562168">
      <w:pPr>
        <w:pStyle w:val="ListParagraph"/>
        <w:numPr>
          <w:ilvl w:val="0"/>
          <w:numId w:val="11"/>
        </w:numPr>
      </w:pPr>
      <w:r>
        <w:t>the students must not have access to any other government funded school transport service.</w:t>
      </w:r>
    </w:p>
    <w:p w14:paraId="4A71DA41" w14:textId="033D1438" w:rsidR="006605A5" w:rsidRDefault="000C676C" w:rsidP="00C0584B">
      <w:r>
        <w:t xml:space="preserve">Future student numbers will also be considered as part of the decision-making process. </w:t>
      </w:r>
    </w:p>
    <w:p w14:paraId="73CA6807" w14:textId="550B7E33" w:rsidR="00ED4879" w:rsidRDefault="00476000" w:rsidP="00C0584B">
      <w:r>
        <w:t xml:space="preserve">Once the service is instituted, parents of </w:t>
      </w:r>
      <w:r w:rsidR="0041523F">
        <w:t>eligible</w:t>
      </w:r>
      <w:r>
        <w:t xml:space="preserve"> students may </w:t>
      </w:r>
      <w:r w:rsidR="00667E31">
        <w:t xml:space="preserve">form a conveyance committee if desired, but this is not mandatory. Conveyance committees </w:t>
      </w:r>
      <w:r w:rsidR="00D21BA0">
        <w:t xml:space="preserve">for </w:t>
      </w:r>
      <w:r w:rsidR="0041523F">
        <w:t>subsidised</w:t>
      </w:r>
      <w:r w:rsidR="00D21BA0">
        <w:t xml:space="preserve"> school bus services operate under the same guidelines applicable to kilometre-ba</w:t>
      </w:r>
      <w:r w:rsidR="00ED4879">
        <w:t>sed school bus services. Informat</w:t>
      </w:r>
      <w:r w:rsidR="00033AE0">
        <w:t>i</w:t>
      </w:r>
      <w:r w:rsidR="00ED4879">
        <w:t xml:space="preserve">on on conveyance committees can be found at </w:t>
      </w:r>
      <w:hyperlink r:id="rId12" w:history="1">
        <w:r w:rsidR="00AC3BB4" w:rsidRPr="00AC3BB4">
          <w:rPr>
            <w:color w:val="0000FF"/>
          </w:rPr>
          <w:t>tmr.qld.gov.au</w:t>
        </w:r>
      </w:hyperlink>
    </w:p>
    <w:p w14:paraId="04F335D0" w14:textId="3D3BEF5E" w:rsidR="00B348CC" w:rsidRDefault="00863D92" w:rsidP="00244D85">
      <w:pPr>
        <w:pStyle w:val="Heading3"/>
        <w:numPr>
          <w:ilvl w:val="0"/>
          <w:numId w:val="22"/>
        </w:numPr>
        <w:ind w:hanging="720"/>
      </w:pPr>
      <w:bookmarkStart w:id="7" w:name="_Toc193807891"/>
      <w:r>
        <w:lastRenderedPageBreak/>
        <w:t>Payment</w:t>
      </w:r>
      <w:bookmarkEnd w:id="7"/>
    </w:p>
    <w:p w14:paraId="4667BE00" w14:textId="46034EE9" w:rsidR="00863D92" w:rsidRDefault="00863D92" w:rsidP="00863D92">
      <w:r>
        <w:t xml:space="preserve">Funding </w:t>
      </w:r>
      <w:r w:rsidR="00AD63C1">
        <w:t xml:space="preserve">for a subsidised school bus service </w:t>
      </w:r>
      <w:r w:rsidR="00BE4212">
        <w:t>may occur under the following payment methods</w:t>
      </w:r>
      <w:r w:rsidR="003A5953">
        <w:t>, whichever is the lesser</w:t>
      </w:r>
      <w:r w:rsidR="00AD63C1">
        <w:t>:</w:t>
      </w:r>
    </w:p>
    <w:p w14:paraId="2026CAB0" w14:textId="6BF868C0" w:rsidR="00AD63C1" w:rsidRDefault="00B17512" w:rsidP="006F01E9">
      <w:pPr>
        <w:pStyle w:val="Heading4"/>
      </w:pPr>
      <w:r>
        <w:t xml:space="preserve">Fixed and variable payments </w:t>
      </w:r>
      <w:r w:rsidR="00DC0714">
        <w:t xml:space="preserve">as per the capital-based kilometric payment </w:t>
      </w:r>
      <w:r w:rsidR="00AA5D29">
        <w:t>model</w:t>
      </w:r>
    </w:p>
    <w:p w14:paraId="7AE6ED8B" w14:textId="58E5AE74" w:rsidR="00AA5D29" w:rsidRDefault="00AA5D29" w:rsidP="00AA5D29">
      <w:pPr>
        <w:ind w:left="720"/>
      </w:pPr>
      <w:r>
        <w:t xml:space="preserve">A </w:t>
      </w:r>
      <w:r w:rsidR="00BA7AAB">
        <w:t xml:space="preserve">subsidised school bus service that meets or exceeds the </w:t>
      </w:r>
      <w:r w:rsidR="00EA05D7">
        <w:t xml:space="preserve">required </w:t>
      </w:r>
      <w:r w:rsidR="00BA7AAB">
        <w:t xml:space="preserve">student numbers (including families) for the </w:t>
      </w:r>
      <w:r w:rsidR="00EA05D7">
        <w:t xml:space="preserve">institution of a subsidised service </w:t>
      </w:r>
      <w:r w:rsidR="007F6945">
        <w:t>will be paid the NC1 fixed and variable rates from the capital-ba</w:t>
      </w:r>
      <w:r w:rsidR="004F0550">
        <w:t>s</w:t>
      </w:r>
      <w:r w:rsidR="007F6945">
        <w:t>ed kilometric payme</w:t>
      </w:r>
      <w:r w:rsidR="004A54DA">
        <w:t xml:space="preserve">nt model. </w:t>
      </w:r>
      <w:r w:rsidR="000527D7">
        <w:t xml:space="preserve">Subsidised services </w:t>
      </w:r>
      <w:r w:rsidR="00965573">
        <w:t xml:space="preserve">will only be paid up to a maximum daily distance of 160km (loaded </w:t>
      </w:r>
      <w:r w:rsidR="003A5953">
        <w:t>and</w:t>
      </w:r>
      <w:r w:rsidR="00965573">
        <w:t xml:space="preserve"> unloaded distance</w:t>
      </w:r>
      <w:r w:rsidR="003A5953">
        <w:t xml:space="preserve"> combined</w:t>
      </w:r>
      <w:r w:rsidR="00965573">
        <w:t>).</w:t>
      </w:r>
      <w:r w:rsidR="003A5953">
        <w:t xml:space="preserve"> The variable payment will be adjusted based on any increase or decrease of kilometres that occur.</w:t>
      </w:r>
      <w:r w:rsidR="00965573">
        <w:t xml:space="preserve"> </w:t>
      </w:r>
      <w:r w:rsidR="00574E3F">
        <w:t xml:space="preserve">Capital-based kilometric payment rates </w:t>
      </w:r>
      <w:r w:rsidR="004A54DA">
        <w:t>are adjusted quarterly</w:t>
      </w:r>
      <w:r w:rsidR="00E67B1C">
        <w:t>.</w:t>
      </w:r>
    </w:p>
    <w:p w14:paraId="60E891C9" w14:textId="4C7524E6" w:rsidR="009D537D" w:rsidRPr="009D537D" w:rsidRDefault="00FC7925" w:rsidP="009D537D">
      <w:pPr>
        <w:ind w:left="720"/>
      </w:pPr>
      <w:r>
        <w:t>Subsidi</w:t>
      </w:r>
      <w:r w:rsidR="007C3943">
        <w:t xml:space="preserve">sed school bus services paid under the capital-based kilometric payment model </w:t>
      </w:r>
      <w:r w:rsidR="00FB0AE2">
        <w:t xml:space="preserve">will be reviewed at the beginning of each school year. Services on this </w:t>
      </w:r>
      <w:r w:rsidR="004368E7">
        <w:t xml:space="preserve">payment model </w:t>
      </w:r>
      <w:r w:rsidR="00FB0AE2">
        <w:t xml:space="preserve">will revert to the </w:t>
      </w:r>
      <w:r w:rsidR="004368E7">
        <w:t xml:space="preserve">maximum per student per day </w:t>
      </w:r>
      <w:r w:rsidR="00AE5D78">
        <w:t xml:space="preserve">model if numbers do not meet the institution criteria </w:t>
      </w:r>
      <w:r w:rsidR="00221AF2">
        <w:t xml:space="preserve">at the beginning of a school year. </w:t>
      </w:r>
    </w:p>
    <w:p w14:paraId="6CA8F887" w14:textId="0B1A9FA4" w:rsidR="00221AF2" w:rsidRDefault="00221AF2" w:rsidP="006F01E9">
      <w:pPr>
        <w:pStyle w:val="Heading4"/>
      </w:pPr>
      <w:r>
        <w:t xml:space="preserve">Maximum per student per day </w:t>
      </w:r>
      <w:r w:rsidR="00EE59ED">
        <w:t xml:space="preserve">payment model </w:t>
      </w:r>
    </w:p>
    <w:p w14:paraId="4ADB220B" w14:textId="2E383A60" w:rsidR="004A0C96" w:rsidRDefault="002C0E0E" w:rsidP="002C0E0E">
      <w:pPr>
        <w:ind w:left="720"/>
      </w:pPr>
      <w:r>
        <w:t>The maximum</w:t>
      </w:r>
      <w:r w:rsidR="00126880">
        <w:t xml:space="preserve"> </w:t>
      </w:r>
      <w:r w:rsidR="004A0C96">
        <w:t>per student per day payment model</w:t>
      </w:r>
      <w:r w:rsidR="00A60D4D">
        <w:t xml:space="preserve"> </w:t>
      </w:r>
      <w:r w:rsidR="00E0739C">
        <w:t xml:space="preserve">provides funding </w:t>
      </w:r>
      <w:r w:rsidR="00E30696">
        <w:t>on the following basis:</w:t>
      </w:r>
    </w:p>
    <w:p w14:paraId="18EB9FDE" w14:textId="43B36AB6" w:rsidR="00A60D4D" w:rsidRDefault="00A60D4D" w:rsidP="00C05BC4">
      <w:pPr>
        <w:pStyle w:val="ListParagraph"/>
        <w:numPr>
          <w:ilvl w:val="0"/>
          <w:numId w:val="11"/>
        </w:numPr>
        <w:ind w:left="1276" w:hanging="425"/>
      </w:pPr>
      <w:r>
        <w:t>a</w:t>
      </w:r>
      <w:r w:rsidR="004A0C96">
        <w:t xml:space="preserve"> </w:t>
      </w:r>
      <w:r>
        <w:t>maximum a</w:t>
      </w:r>
      <w:r w:rsidR="00126880">
        <w:t xml:space="preserve">mount </w:t>
      </w:r>
      <w:r w:rsidR="002C0E0E">
        <w:t>per student per day</w:t>
      </w:r>
      <w:r w:rsidR="001B20B9">
        <w:t xml:space="preserve">, reviewed quarterly, </w:t>
      </w:r>
      <w:r>
        <w:t>f</w:t>
      </w:r>
      <w:r w:rsidR="00275517">
        <w:t xml:space="preserve">or students who reside more than 16km from the nearest </w:t>
      </w:r>
      <w:r w:rsidR="002D7D44">
        <w:t xml:space="preserve">state </w:t>
      </w:r>
      <w:r w:rsidR="00567FC8">
        <w:t xml:space="preserve">school </w:t>
      </w:r>
      <w:r w:rsidR="00AC5FA4">
        <w:t xml:space="preserve">and </w:t>
      </w:r>
      <w:r w:rsidR="00667D33">
        <w:t xml:space="preserve">more than 16km from the nearest </w:t>
      </w:r>
      <w:r w:rsidR="00AC5FA4">
        <w:t>approved bus service which can transport the student to school</w:t>
      </w:r>
      <w:r w:rsidR="00E156B2">
        <w:t>; and</w:t>
      </w:r>
    </w:p>
    <w:p w14:paraId="7968A6C1" w14:textId="59A28653" w:rsidR="001B0226" w:rsidRDefault="00A60D4D" w:rsidP="00C05BC4">
      <w:pPr>
        <w:pStyle w:val="ListParagraph"/>
        <w:numPr>
          <w:ilvl w:val="0"/>
          <w:numId w:val="11"/>
        </w:numPr>
        <w:ind w:left="1276" w:hanging="425"/>
      </w:pPr>
      <w:r>
        <w:t>a</w:t>
      </w:r>
      <w:r w:rsidR="001B0226">
        <w:t xml:space="preserve"> maximum amount per student per day</w:t>
      </w:r>
      <w:r w:rsidR="001B20B9">
        <w:t xml:space="preserve">, </w:t>
      </w:r>
      <w:r w:rsidR="00C05BC4">
        <w:t xml:space="preserve">reviewed quarterly, </w:t>
      </w:r>
      <w:r w:rsidR="001B0226">
        <w:t>for students who reside 16km or less from the</w:t>
      </w:r>
      <w:r w:rsidR="002D7D44">
        <w:t xml:space="preserve"> nearest state school</w:t>
      </w:r>
      <w:r w:rsidR="003609C1">
        <w:t>.</w:t>
      </w:r>
    </w:p>
    <w:p w14:paraId="11EFF330" w14:textId="4BABAF45" w:rsidR="00BC74CE" w:rsidRDefault="00C05BC4" w:rsidP="009807D4">
      <w:pPr>
        <w:ind w:left="709"/>
      </w:pPr>
      <w:r>
        <w:t xml:space="preserve">No government funding will be provided </w:t>
      </w:r>
      <w:r w:rsidR="009807D4">
        <w:t xml:space="preserve">for students who do not meet the </w:t>
      </w:r>
      <w:hyperlink r:id="rId13" w:history="1">
        <w:r w:rsidR="00E156B2">
          <w:rPr>
            <w:rStyle w:val="Hyperlink"/>
          </w:rPr>
          <w:t>STAS distance eligibility criteria</w:t>
        </w:r>
      </w:hyperlink>
      <w:r w:rsidR="009807D4">
        <w:t>.</w:t>
      </w:r>
    </w:p>
    <w:p w14:paraId="01AD08FC" w14:textId="77A99FF1" w:rsidR="00E156B2" w:rsidRDefault="00E156B2" w:rsidP="00E156B2">
      <w:pPr>
        <w:ind w:left="720"/>
      </w:pPr>
      <w:r>
        <w:t xml:space="preserve">Information on the current payment rates applicable to subsidised services is </w:t>
      </w:r>
      <w:r w:rsidR="00375D97">
        <w:t>available</w:t>
      </w:r>
      <w:r>
        <w:t xml:space="preserve"> in School Transport Information Statement 19 – available from your local Translink regional office. </w:t>
      </w:r>
    </w:p>
    <w:p w14:paraId="305FDBC6" w14:textId="77777777" w:rsidR="00E91274" w:rsidRDefault="00E91274" w:rsidP="00E156B2">
      <w:pPr>
        <w:ind w:left="720"/>
      </w:pPr>
    </w:p>
    <w:p w14:paraId="3B553AD8" w14:textId="77777777" w:rsidR="00E156B2" w:rsidRDefault="00E156B2" w:rsidP="009807D4">
      <w:pPr>
        <w:ind w:left="709"/>
        <w:rPr>
          <w:b/>
          <w:bCs/>
        </w:rPr>
      </w:pPr>
    </w:p>
    <w:p w14:paraId="1C19282A" w14:textId="5DEF2B19" w:rsidR="009807D4" w:rsidRPr="00E90B01" w:rsidRDefault="00580A71" w:rsidP="009807D4">
      <w:pPr>
        <w:ind w:left="709"/>
        <w:rPr>
          <w:b/>
          <w:bCs/>
        </w:rPr>
      </w:pPr>
      <w:r w:rsidRPr="00E90B01">
        <w:rPr>
          <w:b/>
          <w:bCs/>
        </w:rPr>
        <w:t>Note:</w:t>
      </w:r>
    </w:p>
    <w:p w14:paraId="0BA1A105" w14:textId="31A35ECB" w:rsidR="00580A71" w:rsidRDefault="00580A71" w:rsidP="00580A71">
      <w:pPr>
        <w:pStyle w:val="ListParagraph"/>
        <w:numPr>
          <w:ilvl w:val="0"/>
          <w:numId w:val="15"/>
        </w:numPr>
      </w:pPr>
      <w:r>
        <w:t xml:space="preserve">Subsidised services </w:t>
      </w:r>
      <w:r w:rsidR="0041523F">
        <w:t>funded</w:t>
      </w:r>
      <w:r>
        <w:t xml:space="preserve"> under the maximum per student per day payment mode</w:t>
      </w:r>
      <w:r w:rsidR="00156A9C">
        <w:t>l</w:t>
      </w:r>
      <w:r>
        <w:t xml:space="preserve"> can only be paid up to the equivalent amount available under the </w:t>
      </w:r>
      <w:r w:rsidR="008866ED">
        <w:t xml:space="preserve">capital-based kilometric system </w:t>
      </w:r>
    </w:p>
    <w:p w14:paraId="2CAE5743" w14:textId="17961F0D" w:rsidR="009D683C" w:rsidRDefault="009D683C" w:rsidP="00580A71">
      <w:pPr>
        <w:pStyle w:val="ListParagraph"/>
        <w:numPr>
          <w:ilvl w:val="0"/>
          <w:numId w:val="15"/>
        </w:numPr>
      </w:pPr>
      <w:r>
        <w:t xml:space="preserve">The </w:t>
      </w:r>
      <w:r w:rsidR="0041523F">
        <w:t>maximum</w:t>
      </w:r>
      <w:r>
        <w:t xml:space="preserve"> per student per day amounts are payable for students who travel</w:t>
      </w:r>
      <w:r w:rsidR="00D43808">
        <w:t xml:space="preserve"> 10 trips per week, that is 100%. Payment will be adjusted for students who travel less than 100%</w:t>
      </w:r>
      <w:r w:rsidR="00FD6769">
        <w:t xml:space="preserve">. For example, a student who travels two trips per week </w:t>
      </w:r>
      <w:r w:rsidR="00AD480A">
        <w:t xml:space="preserve">will attract funding at 20%. </w:t>
      </w:r>
    </w:p>
    <w:p w14:paraId="57AAE29A" w14:textId="141C5EE3" w:rsidR="00AD480A" w:rsidRPr="00E91274" w:rsidRDefault="009D6A34" w:rsidP="00580A71">
      <w:pPr>
        <w:pStyle w:val="ListParagraph"/>
        <w:numPr>
          <w:ilvl w:val="0"/>
          <w:numId w:val="15"/>
        </w:numPr>
        <w:rPr>
          <w:i/>
          <w:iCs/>
        </w:rPr>
      </w:pPr>
      <w:r>
        <w:t xml:space="preserve">Due to the concessionary </w:t>
      </w:r>
      <w:r w:rsidR="00615AC0">
        <w:t xml:space="preserve">nature </w:t>
      </w:r>
      <w:r>
        <w:t xml:space="preserve">of funding, the level of payment </w:t>
      </w:r>
      <w:r w:rsidR="00615AC0">
        <w:t>is subject to regu</w:t>
      </w:r>
      <w:r w:rsidR="008F492E">
        <w:t>l</w:t>
      </w:r>
      <w:r w:rsidR="00615AC0">
        <w:t>ar review</w:t>
      </w:r>
      <w:r w:rsidR="007A5207">
        <w:t xml:space="preserve"> as detailed in </w:t>
      </w:r>
      <w:r w:rsidR="007A5207" w:rsidRPr="00E91274">
        <w:rPr>
          <w:i/>
          <w:iCs/>
        </w:rPr>
        <w:t>Section 8 – Monitoring students and reviewing payment.</w:t>
      </w:r>
    </w:p>
    <w:p w14:paraId="167768CA" w14:textId="2E9C9CD7" w:rsidR="008F492E" w:rsidRDefault="00DC6094" w:rsidP="006F01E9">
      <w:pPr>
        <w:pStyle w:val="Heading4"/>
      </w:pPr>
      <w:r>
        <w:t xml:space="preserve">Vehicle Purchase Allowance </w:t>
      </w:r>
    </w:p>
    <w:p w14:paraId="0A75419F" w14:textId="5A884971" w:rsidR="00695ABB" w:rsidRDefault="00DC6094" w:rsidP="00DC6094">
      <w:pPr>
        <w:ind w:left="720"/>
      </w:pPr>
      <w:r>
        <w:t xml:space="preserve">Subsidised school bus services do not qualify for capital funding under the School Bus Upgrade Scheme (SchoolBUS). Service providers may however </w:t>
      </w:r>
      <w:r w:rsidR="003E519C">
        <w:t xml:space="preserve">qualify for a vehicle purchase allowance </w:t>
      </w:r>
      <w:r w:rsidR="00695ABB">
        <w:t>(VPA) subject to m</w:t>
      </w:r>
      <w:r>
        <w:t>eet</w:t>
      </w:r>
      <w:r w:rsidR="00695ABB">
        <w:t>ing</w:t>
      </w:r>
      <w:r>
        <w:t xml:space="preserve"> relevant </w:t>
      </w:r>
      <w:r w:rsidR="00B00A1F">
        <w:t>g</w:t>
      </w:r>
      <w:r>
        <w:t xml:space="preserve">uidelines. </w:t>
      </w:r>
    </w:p>
    <w:p w14:paraId="03E9D20C" w14:textId="146FB6CC" w:rsidR="00DC6094" w:rsidRDefault="00DC6094" w:rsidP="00DC6094">
      <w:pPr>
        <w:ind w:left="720"/>
      </w:pPr>
      <w:r>
        <w:t xml:space="preserve">Information </w:t>
      </w:r>
      <w:r w:rsidR="00B02019">
        <w:t xml:space="preserve">on </w:t>
      </w:r>
      <w:r w:rsidR="00BC0878">
        <w:t xml:space="preserve">the VPA </w:t>
      </w:r>
      <w:r>
        <w:t>is available in School Transport Information Statement 28B – Vehicle purchase allowance for subsidised school bus services</w:t>
      </w:r>
      <w:r w:rsidR="007A5207">
        <w:t>, available from your local Translink regional office.</w:t>
      </w:r>
    </w:p>
    <w:p w14:paraId="4E7D90B8" w14:textId="56797C80" w:rsidR="00313BD0" w:rsidRDefault="00313BD0" w:rsidP="00244D85">
      <w:pPr>
        <w:pStyle w:val="Heading3"/>
        <w:numPr>
          <w:ilvl w:val="0"/>
          <w:numId w:val="22"/>
        </w:numPr>
        <w:ind w:hanging="720"/>
      </w:pPr>
      <w:bookmarkStart w:id="8" w:name="_Toc193807892"/>
      <w:r>
        <w:t>Route</w:t>
      </w:r>
      <w:bookmarkEnd w:id="8"/>
    </w:p>
    <w:p w14:paraId="1A03F82B" w14:textId="491A5DC9" w:rsidR="00313BD0" w:rsidRDefault="00313BD0" w:rsidP="00313BD0">
      <w:r>
        <w:t xml:space="preserve">The initial route design and any variations (extensions or deletions) must be approved by the Department of Transport and Main Roads (TMR). This is to ensure efficiencies in route design, travel time and cost effectiveness are achieved. This generally necessitates that the service area be in the one general direction from the school. </w:t>
      </w:r>
    </w:p>
    <w:p w14:paraId="25544EEF" w14:textId="77777777" w:rsidR="00313BD0" w:rsidRDefault="00313BD0" w:rsidP="00313BD0">
      <w:r>
        <w:t>Extensions to subsidised school bus services require advice from the relevant road authority regarding the suitability of the route, and will generally be approved on the following basis:</w:t>
      </w:r>
    </w:p>
    <w:p w14:paraId="2E64DAFA" w14:textId="6950FECC" w:rsidR="00313BD0" w:rsidRDefault="00313BD0" w:rsidP="00313BD0">
      <w:pPr>
        <w:pStyle w:val="ListParagraph"/>
        <w:numPr>
          <w:ilvl w:val="0"/>
          <w:numId w:val="12"/>
        </w:numPr>
      </w:pPr>
      <w:r>
        <w:t>service</w:t>
      </w:r>
      <w:r w:rsidR="00626D8C">
        <w:t>s</w:t>
      </w:r>
      <w:r>
        <w:t xml:space="preserve"> paid under the capital-based kilometric payment model:</w:t>
      </w:r>
    </w:p>
    <w:p w14:paraId="6E316C7A" w14:textId="77777777" w:rsidR="00313BD0" w:rsidRDefault="00313BD0" w:rsidP="00313BD0">
      <w:pPr>
        <w:pStyle w:val="ListParagraph"/>
        <w:numPr>
          <w:ilvl w:val="0"/>
          <w:numId w:val="11"/>
        </w:numPr>
        <w:ind w:left="1276" w:hanging="425"/>
      </w:pPr>
      <w:r>
        <w:t xml:space="preserve">extensions must meet the guidelines applicable to kilometre-based school bus services </w:t>
      </w:r>
    </w:p>
    <w:p w14:paraId="791B8558" w14:textId="4BD028C4" w:rsidR="00313BD0" w:rsidRDefault="00313BD0" w:rsidP="00313BD0">
      <w:pPr>
        <w:pStyle w:val="ListParagraph"/>
        <w:numPr>
          <w:ilvl w:val="0"/>
          <w:numId w:val="12"/>
        </w:numPr>
      </w:pPr>
      <w:r>
        <w:t>service</w:t>
      </w:r>
      <w:r w:rsidR="00626D8C">
        <w:t>s</w:t>
      </w:r>
      <w:r>
        <w:t xml:space="preserve"> paid under the maximum per student per day payment model:</w:t>
      </w:r>
    </w:p>
    <w:p w14:paraId="2FD77915" w14:textId="77777777" w:rsidR="00313BD0" w:rsidRDefault="00313BD0" w:rsidP="00313BD0">
      <w:pPr>
        <w:pStyle w:val="ListParagraph"/>
        <w:numPr>
          <w:ilvl w:val="0"/>
          <w:numId w:val="11"/>
        </w:numPr>
        <w:ind w:left="1276" w:hanging="425"/>
      </w:pPr>
      <w:r>
        <w:lastRenderedPageBreak/>
        <w:t>extensions (at no cost) are approved if supported by the operator and if applicable, the conveyance committee.</w:t>
      </w:r>
    </w:p>
    <w:p w14:paraId="4E21468A" w14:textId="4FDCE011" w:rsidR="00B00A1F" w:rsidRDefault="00B00A1F" w:rsidP="00244D85">
      <w:pPr>
        <w:pStyle w:val="Heading3"/>
        <w:numPr>
          <w:ilvl w:val="0"/>
          <w:numId w:val="22"/>
        </w:numPr>
        <w:ind w:hanging="720"/>
      </w:pPr>
      <w:bookmarkStart w:id="9" w:name="_Toc193807893"/>
      <w:r>
        <w:t>Monitoring students and reviewing payment</w:t>
      </w:r>
      <w:bookmarkEnd w:id="9"/>
    </w:p>
    <w:p w14:paraId="1780E8A8" w14:textId="38BDF3C8" w:rsidR="00BC0878" w:rsidRDefault="006847FE" w:rsidP="00B00A1F">
      <w:r>
        <w:t xml:space="preserve">The number of students travelling impacts the level of subsidy paid by </w:t>
      </w:r>
      <w:r w:rsidR="009C77BA">
        <w:t xml:space="preserve">TMR. It is therefore necessary to monitor the number of </w:t>
      </w:r>
      <w:r w:rsidR="000061EA">
        <w:t>students and review the service on a regular basis.</w:t>
      </w:r>
    </w:p>
    <w:p w14:paraId="3EB53039" w14:textId="77777777" w:rsidR="00AC05C4" w:rsidRDefault="000061EA" w:rsidP="00B00A1F">
      <w:r>
        <w:t xml:space="preserve">Student numbers are monitored by </w:t>
      </w:r>
      <w:r w:rsidR="00AC05C4">
        <w:t>way of the:</w:t>
      </w:r>
    </w:p>
    <w:p w14:paraId="751510A3" w14:textId="04A2D1CE" w:rsidR="00B00A1F" w:rsidRDefault="007F6E9C" w:rsidP="007F6E9C">
      <w:pPr>
        <w:pStyle w:val="ListParagraph"/>
        <w:numPr>
          <w:ilvl w:val="0"/>
          <w:numId w:val="11"/>
        </w:numPr>
      </w:pPr>
      <w:r>
        <w:t>k</w:t>
      </w:r>
      <w:r w:rsidR="00440A4C">
        <w:t xml:space="preserve">ilometre exception report </w:t>
      </w:r>
      <w:r w:rsidR="00AC05C4">
        <w:t xml:space="preserve">completed each pay </w:t>
      </w:r>
      <w:proofErr w:type="gramStart"/>
      <w:r w:rsidR="00AC05C4">
        <w:t>period</w:t>
      </w:r>
      <w:r>
        <w:t>;</w:t>
      </w:r>
      <w:proofErr w:type="gramEnd"/>
      <w:r>
        <w:t xml:space="preserve"> </w:t>
      </w:r>
    </w:p>
    <w:p w14:paraId="17791D17" w14:textId="7E4C1976" w:rsidR="007F6E9C" w:rsidRDefault="007F6E9C" w:rsidP="007F6E9C">
      <w:pPr>
        <w:pStyle w:val="ListParagraph"/>
        <w:numPr>
          <w:ilvl w:val="0"/>
          <w:numId w:val="11"/>
        </w:numPr>
      </w:pPr>
      <w:r>
        <w:t>school verification reports; and</w:t>
      </w:r>
    </w:p>
    <w:p w14:paraId="0374CC14" w14:textId="19160B60" w:rsidR="007F6E9C" w:rsidRDefault="005A68BD" w:rsidP="007F6E9C">
      <w:pPr>
        <w:pStyle w:val="ListParagraph"/>
        <w:numPr>
          <w:ilvl w:val="0"/>
          <w:numId w:val="11"/>
        </w:numPr>
      </w:pPr>
      <w:r>
        <w:t>applications submitted for new students using the service.</w:t>
      </w:r>
    </w:p>
    <w:p w14:paraId="28047F76" w14:textId="612CBB72" w:rsidR="005A68BD" w:rsidRDefault="00C003A2" w:rsidP="005A68BD">
      <w:r>
        <w:t>Where it is identified that adjustments to the level of subsidy are required</w:t>
      </w:r>
      <w:r w:rsidR="004B7F0A">
        <w:t xml:space="preserve"> the following will occur:</w:t>
      </w:r>
    </w:p>
    <w:p w14:paraId="4097F304" w14:textId="1DFF20B4" w:rsidR="004B7F0A" w:rsidRDefault="004B7F0A" w:rsidP="004B7F0A">
      <w:pPr>
        <w:pStyle w:val="ListParagraph"/>
        <w:numPr>
          <w:ilvl w:val="0"/>
          <w:numId w:val="17"/>
        </w:numPr>
      </w:pPr>
      <w:r>
        <w:t>services paid under the capital-based kilometric payment model</w:t>
      </w:r>
    </w:p>
    <w:p w14:paraId="28AFCDDF" w14:textId="38C68905" w:rsidR="004B7F0A" w:rsidRDefault="0041523F" w:rsidP="003D79F4">
      <w:pPr>
        <w:pStyle w:val="ListParagraph"/>
        <w:numPr>
          <w:ilvl w:val="0"/>
          <w:numId w:val="11"/>
        </w:numPr>
        <w:ind w:left="1134" w:hanging="283"/>
      </w:pPr>
      <w:r>
        <w:t>services</w:t>
      </w:r>
      <w:r w:rsidR="009E6811">
        <w:t xml:space="preserve"> on th</w:t>
      </w:r>
      <w:r w:rsidR="00E979E2">
        <w:t>is</w:t>
      </w:r>
      <w:r w:rsidR="009E6811">
        <w:t xml:space="preserve"> payment model will revert to the maximum per student per day </w:t>
      </w:r>
      <w:r w:rsidR="00E979E2">
        <w:t xml:space="preserve">model </w:t>
      </w:r>
      <w:r w:rsidR="006F1153">
        <w:t xml:space="preserve">if eligible student numbers do not meet the </w:t>
      </w:r>
      <w:r w:rsidR="00BA7A3A">
        <w:t>institution criteria at the beginning of a school year.</w:t>
      </w:r>
    </w:p>
    <w:p w14:paraId="690D3074" w14:textId="352D432A" w:rsidR="00BA7A3A" w:rsidRDefault="00626D8C" w:rsidP="00BA7A3A">
      <w:pPr>
        <w:pStyle w:val="ListParagraph"/>
        <w:numPr>
          <w:ilvl w:val="0"/>
          <w:numId w:val="17"/>
        </w:numPr>
      </w:pPr>
      <w:r>
        <w:t xml:space="preserve">services </w:t>
      </w:r>
      <w:r w:rsidR="00BA7A3A">
        <w:t xml:space="preserve">paid under </w:t>
      </w:r>
      <w:r w:rsidR="0065449A">
        <w:t>the maximum per student per day payment model</w:t>
      </w:r>
    </w:p>
    <w:p w14:paraId="63416DB5" w14:textId="50D07057" w:rsidR="0065449A" w:rsidRDefault="006C7229" w:rsidP="006C7229">
      <w:pPr>
        <w:pStyle w:val="ListParagraph"/>
        <w:numPr>
          <w:ilvl w:val="0"/>
          <w:numId w:val="11"/>
        </w:numPr>
        <w:ind w:left="1134" w:hanging="283"/>
      </w:pPr>
      <w:r>
        <w:t>a</w:t>
      </w:r>
      <w:r w:rsidR="008B6C89">
        <w:t xml:space="preserve">ny decrease will occur from the start </w:t>
      </w:r>
      <w:r w:rsidR="0041523F">
        <w:t>of</w:t>
      </w:r>
      <w:r w:rsidR="008B6C89">
        <w:t xml:space="preserve"> the following semester</w:t>
      </w:r>
    </w:p>
    <w:p w14:paraId="77B2B370" w14:textId="7C509BBD" w:rsidR="008B6C89" w:rsidRDefault="006C7229" w:rsidP="006C7229">
      <w:pPr>
        <w:pStyle w:val="ListParagraph"/>
        <w:numPr>
          <w:ilvl w:val="0"/>
          <w:numId w:val="11"/>
        </w:numPr>
        <w:ind w:left="1134" w:hanging="283"/>
      </w:pPr>
      <w:r>
        <w:t>i</w:t>
      </w:r>
      <w:r w:rsidR="003D79F4">
        <w:t xml:space="preserve">ncreases will apply from the date of commencement of travel by the student involved. </w:t>
      </w:r>
    </w:p>
    <w:p w14:paraId="44FB26AE" w14:textId="50DDD659" w:rsidR="007F6E9C" w:rsidRDefault="00E947E0" w:rsidP="00244D85">
      <w:pPr>
        <w:pStyle w:val="Heading3"/>
        <w:numPr>
          <w:ilvl w:val="0"/>
          <w:numId w:val="22"/>
        </w:numPr>
        <w:ind w:hanging="720"/>
      </w:pPr>
      <w:bookmarkStart w:id="10" w:name="_Toc193807894"/>
      <w:r>
        <w:t>Closure</w:t>
      </w:r>
      <w:bookmarkEnd w:id="10"/>
      <w:r>
        <w:t xml:space="preserve"> </w:t>
      </w:r>
    </w:p>
    <w:p w14:paraId="2DEB9CF0" w14:textId="5C0ECF37" w:rsidR="00E947E0" w:rsidRDefault="00E947E0" w:rsidP="00E947E0">
      <w:r>
        <w:t xml:space="preserve">Closure of a subsidised </w:t>
      </w:r>
      <w:r w:rsidR="004A670B">
        <w:t xml:space="preserve">school bus </w:t>
      </w:r>
      <w:r>
        <w:t>service will occur when the number of students access</w:t>
      </w:r>
      <w:r w:rsidR="002D6817">
        <w:t>ing</w:t>
      </w:r>
      <w:r>
        <w:t xml:space="preserve"> the service fal</w:t>
      </w:r>
      <w:r w:rsidR="00374C1F">
        <w:t>l</w:t>
      </w:r>
      <w:r>
        <w:t>s below a level at which service viability cannot be sustained.</w:t>
      </w:r>
    </w:p>
    <w:p w14:paraId="609B1D53" w14:textId="6BBFF00D" w:rsidR="00E947E0" w:rsidRDefault="00E947E0" w:rsidP="00E947E0">
      <w:r>
        <w:t>TMR will</w:t>
      </w:r>
      <w:r w:rsidR="009A6C9D">
        <w:t xml:space="preserve"> </w:t>
      </w:r>
      <w:r w:rsidR="0052709F">
        <w:t>review a</w:t>
      </w:r>
      <w:r w:rsidR="002D6817">
        <w:t xml:space="preserve"> subsidised school bus service when the </w:t>
      </w:r>
      <w:r w:rsidR="003A45ED">
        <w:t xml:space="preserve">number of eligible students falls to five (5). </w:t>
      </w:r>
      <w:r w:rsidR="006B5024">
        <w:t xml:space="preserve">This will usually occur at the end of a school semester. The local Translink regional office </w:t>
      </w:r>
      <w:r w:rsidR="00E55DC8">
        <w:t>of TMR must obtain approv</w:t>
      </w:r>
      <w:r w:rsidR="009D2A97">
        <w:t>al</w:t>
      </w:r>
      <w:r w:rsidR="00E55DC8">
        <w:t xml:space="preserve"> to close a </w:t>
      </w:r>
      <w:r w:rsidR="00AB7124">
        <w:t>subsided</w:t>
      </w:r>
      <w:r w:rsidR="00E55DC8">
        <w:t xml:space="preserve"> service from the </w:t>
      </w:r>
      <w:r w:rsidR="00E55DC8" w:rsidRPr="00BC0878">
        <w:t>Regional Manager.</w:t>
      </w:r>
    </w:p>
    <w:p w14:paraId="0E70CC1A" w14:textId="5685AFB3" w:rsidR="00374C1F" w:rsidRDefault="00374C1F" w:rsidP="00E947E0">
      <w:r>
        <w:t xml:space="preserve">Student numbers will be assessed each year by TMR </w:t>
      </w:r>
      <w:r w:rsidR="006D5AE5">
        <w:t xml:space="preserve">on 1 July. Contact will be made with the service </w:t>
      </w:r>
      <w:r w:rsidR="00AB7124">
        <w:t>provider</w:t>
      </w:r>
      <w:r w:rsidR="006D5AE5">
        <w:t xml:space="preserve"> and if applicable, the conveyance committee</w:t>
      </w:r>
      <w:r w:rsidR="009A6C9D">
        <w:t>,</w:t>
      </w:r>
      <w:r w:rsidR="006D5AE5">
        <w:t xml:space="preserve"> </w:t>
      </w:r>
      <w:r w:rsidR="006B4872">
        <w:t xml:space="preserve">regarding student numbers for following years in cases where concern is held </w:t>
      </w:r>
      <w:r w:rsidR="00AB7124">
        <w:t>regarding</w:t>
      </w:r>
      <w:r w:rsidR="006B4872">
        <w:t xml:space="preserve"> the ongoing viability of the service. </w:t>
      </w:r>
    </w:p>
    <w:p w14:paraId="321738A7" w14:textId="77777777" w:rsidR="009D2A97" w:rsidRDefault="00136147" w:rsidP="00E947E0">
      <w:r>
        <w:lastRenderedPageBreak/>
        <w:t xml:space="preserve">In some instances, the service provider may apply to close a subsidised service because </w:t>
      </w:r>
      <w:r w:rsidR="009D4731">
        <w:t xml:space="preserve">student numbers are at a level </w:t>
      </w:r>
      <w:r w:rsidR="00C31937">
        <w:t xml:space="preserve">where government funding becomes insufficient to maintain viability of the service. </w:t>
      </w:r>
    </w:p>
    <w:p w14:paraId="3D912E70" w14:textId="7E424EF1" w:rsidR="006B4872" w:rsidRDefault="009A6C9D" w:rsidP="00E947E0">
      <w:r w:rsidRPr="0052709F">
        <w:t xml:space="preserve">The local Translink regional office will communicate advice of closure of </w:t>
      </w:r>
      <w:r w:rsidR="0072173C" w:rsidRPr="0052709F">
        <w:t xml:space="preserve">a subsidised </w:t>
      </w:r>
      <w:r w:rsidRPr="0052709F">
        <w:t xml:space="preserve">school bus </w:t>
      </w:r>
      <w:r w:rsidR="0072173C" w:rsidRPr="0052709F">
        <w:t>service</w:t>
      </w:r>
      <w:r w:rsidRPr="0052709F">
        <w:t xml:space="preserve"> to relevant stakeholders, including the local school community and the </w:t>
      </w:r>
      <w:r w:rsidR="0072173C" w:rsidRPr="0052709F">
        <w:t>ICPA.</w:t>
      </w:r>
    </w:p>
    <w:p w14:paraId="5CC6EC24" w14:textId="0803A062" w:rsidR="00C31937" w:rsidRDefault="00C31937" w:rsidP="00244D85">
      <w:pPr>
        <w:pStyle w:val="Heading3"/>
        <w:numPr>
          <w:ilvl w:val="0"/>
          <w:numId w:val="22"/>
        </w:numPr>
        <w:ind w:hanging="720"/>
      </w:pPr>
      <w:bookmarkStart w:id="11" w:name="_Toc193807895"/>
      <w:r>
        <w:t>Non</w:t>
      </w:r>
      <w:r w:rsidR="006E1FC1">
        <w:t>-</w:t>
      </w:r>
      <w:r>
        <w:t xml:space="preserve">operation of </w:t>
      </w:r>
      <w:r w:rsidR="009A6C9D">
        <w:t xml:space="preserve">a </w:t>
      </w:r>
      <w:r>
        <w:t>service</w:t>
      </w:r>
      <w:bookmarkEnd w:id="11"/>
    </w:p>
    <w:p w14:paraId="6B9D4AE3" w14:textId="537AD6E7" w:rsidR="000522C7" w:rsidRDefault="000522C7" w:rsidP="000522C7">
      <w:r>
        <w:t>The following payment arrangements will apply i</w:t>
      </w:r>
      <w:r w:rsidR="00347860">
        <w:t>n instances when a</w:t>
      </w:r>
      <w:r w:rsidR="00BC74D6">
        <w:t xml:space="preserve"> </w:t>
      </w:r>
      <w:r w:rsidR="00AB7124">
        <w:t>subsidised</w:t>
      </w:r>
      <w:r w:rsidR="00BC74D6">
        <w:t xml:space="preserve"> school bus service does not operate, for example </w:t>
      </w:r>
      <w:r w:rsidR="00CD59C5">
        <w:t>due to floo</w:t>
      </w:r>
      <w:r w:rsidR="00570A47">
        <w:t>ding, student-free days</w:t>
      </w:r>
      <w:r w:rsidR="00A62D50">
        <w:t xml:space="preserve"> or local show holidays</w:t>
      </w:r>
      <w:r>
        <w:t xml:space="preserve">: </w:t>
      </w:r>
    </w:p>
    <w:p w14:paraId="5A1F1389" w14:textId="77777777" w:rsidR="0054066A" w:rsidRDefault="00800721" w:rsidP="00800721">
      <w:pPr>
        <w:pStyle w:val="ListParagraph"/>
        <w:numPr>
          <w:ilvl w:val="0"/>
          <w:numId w:val="19"/>
        </w:numPr>
      </w:pPr>
      <w:r>
        <w:t>services paid under the capital-based kilometric payment model</w:t>
      </w:r>
      <w:r w:rsidR="007942D0">
        <w:t xml:space="preserve"> </w:t>
      </w:r>
    </w:p>
    <w:p w14:paraId="180E34FF" w14:textId="201948D7" w:rsidR="00800721" w:rsidRDefault="007942D0" w:rsidP="004776D8">
      <w:pPr>
        <w:pStyle w:val="ListParagraph"/>
        <w:numPr>
          <w:ilvl w:val="0"/>
          <w:numId w:val="11"/>
        </w:numPr>
        <w:ind w:firstLine="414"/>
      </w:pPr>
      <w:r>
        <w:t xml:space="preserve">will receive payment of the NC1 fixed rate </w:t>
      </w:r>
      <w:r w:rsidR="008C1756">
        <w:t>only.</w:t>
      </w:r>
    </w:p>
    <w:p w14:paraId="3B045019" w14:textId="50DB81D7" w:rsidR="00800721" w:rsidRDefault="004A670B" w:rsidP="00800721">
      <w:pPr>
        <w:pStyle w:val="ListParagraph"/>
        <w:numPr>
          <w:ilvl w:val="0"/>
          <w:numId w:val="19"/>
        </w:numPr>
      </w:pPr>
      <w:r>
        <w:t xml:space="preserve">services </w:t>
      </w:r>
      <w:r w:rsidR="00800721">
        <w:t>paid under the maximum per student per day payment model</w:t>
      </w:r>
    </w:p>
    <w:p w14:paraId="66117595" w14:textId="5F1A2039" w:rsidR="007E166B" w:rsidRDefault="000522C7" w:rsidP="004776D8">
      <w:pPr>
        <w:pStyle w:val="ListParagraph"/>
        <w:numPr>
          <w:ilvl w:val="0"/>
          <w:numId w:val="11"/>
        </w:numPr>
        <w:ind w:firstLine="414"/>
      </w:pPr>
      <w:r>
        <w:t xml:space="preserve">the lesser </w:t>
      </w:r>
      <w:r w:rsidR="00AB5ADD">
        <w:t xml:space="preserve">of the following </w:t>
      </w:r>
      <w:r w:rsidR="007E166B">
        <w:t>amount</w:t>
      </w:r>
      <w:r w:rsidR="00AB5ADD">
        <w:t>s</w:t>
      </w:r>
      <w:r w:rsidR="007E166B">
        <w:t xml:space="preserve"> will be paid </w:t>
      </w:r>
      <w:proofErr w:type="spellStart"/>
      <w:r w:rsidR="007E166B">
        <w:t>of</w:t>
      </w:r>
      <w:proofErr w:type="spellEnd"/>
      <w:r w:rsidR="007E166B">
        <w:t>:</w:t>
      </w:r>
    </w:p>
    <w:p w14:paraId="5830854D" w14:textId="77777777" w:rsidR="007E166B" w:rsidRDefault="007E166B" w:rsidP="0054066A">
      <w:pPr>
        <w:pStyle w:val="ListParagraph"/>
        <w:numPr>
          <w:ilvl w:val="2"/>
          <w:numId w:val="11"/>
        </w:numPr>
      </w:pPr>
      <w:r>
        <w:t>the per student per day payment calculation; or</w:t>
      </w:r>
    </w:p>
    <w:p w14:paraId="2F81AA1F" w14:textId="31BBD65B" w:rsidR="00800721" w:rsidRDefault="006179F0" w:rsidP="0054066A">
      <w:pPr>
        <w:pStyle w:val="ListParagraph"/>
        <w:numPr>
          <w:ilvl w:val="2"/>
          <w:numId w:val="11"/>
        </w:numPr>
      </w:pPr>
      <w:r>
        <w:t xml:space="preserve">the equivalent NC1 </w:t>
      </w:r>
      <w:r w:rsidR="00752BF4">
        <w:t>fixed rate.</w:t>
      </w:r>
    </w:p>
    <w:p w14:paraId="1C2E25F1" w14:textId="7213AA0B" w:rsidR="006A710A" w:rsidRDefault="00752BF4" w:rsidP="00752BF4">
      <w:r>
        <w:t xml:space="preserve">No payment will be made for services that do not operate in the final weeks of the school year due to the additional week school vacation for western or remote </w:t>
      </w:r>
      <w:r w:rsidR="00AB7124">
        <w:t>areas</w:t>
      </w:r>
      <w:r w:rsidR="006A710A">
        <w:t xml:space="preserve">, or because the service only </w:t>
      </w:r>
      <w:r w:rsidR="00AB7124">
        <w:t>transports</w:t>
      </w:r>
      <w:r w:rsidR="006A710A">
        <w:t xml:space="preserve"> year 11 and 12 students. </w:t>
      </w:r>
    </w:p>
    <w:p w14:paraId="1C683557" w14:textId="74B2D2CB" w:rsidR="00800721" w:rsidRDefault="0070598C" w:rsidP="00244D85">
      <w:pPr>
        <w:pStyle w:val="Heading3"/>
        <w:numPr>
          <w:ilvl w:val="0"/>
          <w:numId w:val="22"/>
        </w:numPr>
        <w:ind w:hanging="720"/>
      </w:pPr>
      <w:bookmarkStart w:id="12" w:name="_Toc193807896"/>
      <w:r>
        <w:t>Approval process</w:t>
      </w:r>
      <w:bookmarkEnd w:id="12"/>
      <w:r w:rsidR="00800721">
        <w:t xml:space="preserve"> </w:t>
      </w:r>
    </w:p>
    <w:p w14:paraId="3013D547" w14:textId="7EB097E3" w:rsidR="00DC6094" w:rsidRPr="00DC6094" w:rsidRDefault="0072173C" w:rsidP="00DC6094">
      <w:r>
        <w:t>T</w:t>
      </w:r>
      <w:r w:rsidR="00547342">
        <w:t>he Regional Manager</w:t>
      </w:r>
      <w:r w:rsidR="001F27DD">
        <w:t xml:space="preserve"> must endorse any proposal to i</w:t>
      </w:r>
      <w:r w:rsidR="00CA6A7D">
        <w:t>n</w:t>
      </w:r>
      <w:r w:rsidR="001F27DD">
        <w:t>sti</w:t>
      </w:r>
      <w:r w:rsidR="00A46C94">
        <w:t xml:space="preserve">tute </w:t>
      </w:r>
      <w:r w:rsidR="00F104A5">
        <w:t>a subsidised school bus service</w:t>
      </w:r>
      <w:r w:rsidR="00A46C94">
        <w:t>.  Thorough investigati</w:t>
      </w:r>
      <w:r w:rsidR="00957A9F">
        <w:t xml:space="preserve">on of all aspects of the proposal must be undertaken </w:t>
      </w:r>
      <w:r w:rsidR="001A3B92">
        <w:t>before a proposal i</w:t>
      </w:r>
      <w:r w:rsidR="006D74DE">
        <w:t>s</w:t>
      </w:r>
      <w:r w:rsidR="001A3B92">
        <w:t xml:space="preserve"> submitted for approval </w:t>
      </w:r>
      <w:r w:rsidR="00F35008">
        <w:t xml:space="preserve">by </w:t>
      </w:r>
      <w:r w:rsidR="001A3B92">
        <w:t xml:space="preserve">the Director (Regional Operations). </w:t>
      </w:r>
    </w:p>
    <w:p w14:paraId="3E1F34F9" w14:textId="045F6CEC" w:rsidR="00ED6DDE" w:rsidRDefault="000E35CA" w:rsidP="00244D85">
      <w:pPr>
        <w:pStyle w:val="Heading3"/>
        <w:numPr>
          <w:ilvl w:val="0"/>
          <w:numId w:val="22"/>
        </w:numPr>
        <w:ind w:hanging="720"/>
      </w:pPr>
      <w:bookmarkStart w:id="13" w:name="_Toc193807897"/>
      <w:r>
        <w:t>Agreement</w:t>
      </w:r>
      <w:bookmarkEnd w:id="13"/>
    </w:p>
    <w:p w14:paraId="346EFF2E" w14:textId="174A292E" w:rsidR="000E35CA" w:rsidRPr="000E35CA" w:rsidRDefault="000E35CA" w:rsidP="000E35CA">
      <w:r>
        <w:t xml:space="preserve">A </w:t>
      </w:r>
      <w:r w:rsidR="002D5C72">
        <w:t xml:space="preserve">letter of </w:t>
      </w:r>
      <w:r w:rsidR="000249FA">
        <w:t xml:space="preserve">agreement </w:t>
      </w:r>
      <w:r w:rsidR="00AB7124">
        <w:t>outlining</w:t>
      </w:r>
      <w:r w:rsidR="00B95B04">
        <w:t xml:space="preserve"> </w:t>
      </w:r>
      <w:r w:rsidR="00DC7EF3">
        <w:t>t</w:t>
      </w:r>
      <w:r w:rsidR="00B95B04">
        <w:t xml:space="preserve">he </w:t>
      </w:r>
      <w:r w:rsidR="00AB7124">
        <w:t>administrative</w:t>
      </w:r>
      <w:r w:rsidR="00B95B04">
        <w:t xml:space="preserve"> and funding </w:t>
      </w:r>
      <w:r w:rsidR="00AB7124">
        <w:t>arrangements</w:t>
      </w:r>
      <w:r w:rsidR="00B95B04">
        <w:t xml:space="preserve"> for a service will be entered into by the service pr</w:t>
      </w:r>
      <w:r w:rsidR="00DC7EF3">
        <w:t>o</w:t>
      </w:r>
      <w:r w:rsidR="00B95B04">
        <w:t>v</w:t>
      </w:r>
      <w:r w:rsidR="00DC7EF3">
        <w:t>i</w:t>
      </w:r>
      <w:r w:rsidR="00B95B04">
        <w:t xml:space="preserve">der and TMR. </w:t>
      </w:r>
    </w:p>
    <w:p w14:paraId="4F948418" w14:textId="77777777" w:rsidR="00443BD4" w:rsidRPr="00443BD4" w:rsidRDefault="00443BD4" w:rsidP="009A6C9D">
      <w:pPr>
        <w:tabs>
          <w:tab w:val="left" w:pos="2775"/>
        </w:tabs>
      </w:pPr>
    </w:p>
    <w:sectPr w:rsidR="00443BD4" w:rsidRPr="00443BD4" w:rsidSect="000623DB">
      <w:footerReference w:type="default" r:id="rId14"/>
      <w:pgSz w:w="11906" w:h="16838" w:code="9"/>
      <w:pgMar w:top="1135" w:right="1418" w:bottom="1843"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91F60" w14:textId="77777777" w:rsidR="000F453A" w:rsidRDefault="000F453A" w:rsidP="00A9280E">
      <w:pPr>
        <w:spacing w:line="240" w:lineRule="auto"/>
      </w:pPr>
      <w:r>
        <w:separator/>
      </w:r>
    </w:p>
  </w:endnote>
  <w:endnote w:type="continuationSeparator" w:id="0">
    <w:p w14:paraId="18B491E5" w14:textId="77777777" w:rsidR="000F453A" w:rsidRDefault="000F453A"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C655" w14:textId="1FB2E7D3" w:rsidR="00B94111" w:rsidRPr="000126D6" w:rsidRDefault="000126D6" w:rsidP="000126D6">
    <w:pPr>
      <w:pStyle w:val="Footer"/>
    </w:pPr>
    <w:r w:rsidRPr="000126D6">
      <w:rPr>
        <w:noProof/>
      </w:rPr>
      <mc:AlternateContent>
        <mc:Choice Requires="wps">
          <w:drawing>
            <wp:anchor distT="0" distB="0" distL="114300" distR="114300" simplePos="0" relativeHeight="251659264" behindDoc="0" locked="0" layoutInCell="1" allowOverlap="1" wp14:anchorId="52B1937D" wp14:editId="01740099">
              <wp:simplePos x="0" y="0"/>
              <wp:positionH relativeFrom="column">
                <wp:posOffset>635</wp:posOffset>
              </wp:positionH>
              <wp:positionV relativeFrom="paragraph">
                <wp:posOffset>-86534</wp:posOffset>
              </wp:positionV>
              <wp:extent cx="5756564"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564" cy="0"/>
                      </a:xfrm>
                      <a:prstGeom prst="line">
                        <a:avLst/>
                      </a:prstGeom>
                      <a:ln w="6350">
                        <a:solidFill>
                          <a:schemeClr val="tx1">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04E1B" id="Straight Connector 6"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6.8pt" to="453.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" strokecolor="#b0c5d5 [829]" strokeweight=".5pt">
              <v:stroke joinstyle="miter"/>
            </v:line>
          </w:pict>
        </mc:Fallback>
      </mc:AlternateContent>
    </w:r>
    <w:r w:rsidR="008A16BD">
      <w:rPr>
        <w:rStyle w:val="Header2Char"/>
      </w:rPr>
      <w:t>Department of Transport and Main Roads</w:t>
    </w:r>
    <w:r w:rsidR="000623DB">
      <w:ptab w:relativeTo="margin" w:alignment="right" w:leader="none"/>
    </w:r>
    <w:r w:rsidR="000623DB">
      <w:fldChar w:fldCharType="begin"/>
    </w:r>
    <w:r w:rsidR="000623DB">
      <w:instrText xml:space="preserve"> PAGE  \* Arabic  \* MERGEFORMAT </w:instrText>
    </w:r>
    <w:r w:rsidR="000623DB">
      <w:fldChar w:fldCharType="separate"/>
    </w:r>
    <w:r w:rsidR="000623DB">
      <w:rPr>
        <w:noProof/>
      </w:rPr>
      <w:t>0</w:t>
    </w:r>
    <w:r w:rsidR="000623D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4821F" w14:textId="77777777" w:rsidR="000F453A" w:rsidRDefault="000F453A" w:rsidP="00A9280E">
      <w:pPr>
        <w:spacing w:line="240" w:lineRule="auto"/>
      </w:pPr>
      <w:r>
        <w:separator/>
      </w:r>
    </w:p>
  </w:footnote>
  <w:footnote w:type="continuationSeparator" w:id="0">
    <w:p w14:paraId="77E39B30" w14:textId="77777777" w:rsidR="000F453A" w:rsidRDefault="000F453A" w:rsidP="00A928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4495"/>
    <w:multiLevelType w:val="hybridMultilevel"/>
    <w:tmpl w:val="6EE24C06"/>
    <w:lvl w:ilvl="0" w:tplc="A89ABC7E">
      <w:start w:val="1"/>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AB2CC4"/>
    <w:multiLevelType w:val="hybridMultilevel"/>
    <w:tmpl w:val="C2D0501C"/>
    <w:lvl w:ilvl="0" w:tplc="0C09000F">
      <w:start w:val="1"/>
      <w:numFmt w:val="decimal"/>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0CB2286E"/>
    <w:multiLevelType w:val="hybridMultilevel"/>
    <w:tmpl w:val="992800E4"/>
    <w:lvl w:ilvl="0" w:tplc="0C09000F">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0D93630C"/>
    <w:multiLevelType w:val="hybridMultilevel"/>
    <w:tmpl w:val="1CAAF67E"/>
    <w:lvl w:ilvl="0" w:tplc="A7CCCD2E">
      <w:start w:val="38"/>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CE05F1"/>
    <w:multiLevelType w:val="hybridMultilevel"/>
    <w:tmpl w:val="3314E384"/>
    <w:lvl w:ilvl="0" w:tplc="C3E4AD1E">
      <w:start w:val="1"/>
      <w:numFmt w:val="lowerRoman"/>
      <w:pStyle w:val="Heading4"/>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235F63"/>
    <w:multiLevelType w:val="hybridMultilevel"/>
    <w:tmpl w:val="5BDA3D12"/>
    <w:lvl w:ilvl="0" w:tplc="AEB83B7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1F73451A"/>
    <w:multiLevelType w:val="hybridMultilevel"/>
    <w:tmpl w:val="300C8D54"/>
    <w:lvl w:ilvl="0" w:tplc="261A2B9A">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15:restartNumberingAfterBreak="0">
    <w:nsid w:val="273308B2"/>
    <w:multiLevelType w:val="hybridMultilevel"/>
    <w:tmpl w:val="A25E60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8A28E2"/>
    <w:multiLevelType w:val="hybridMultilevel"/>
    <w:tmpl w:val="B94072C0"/>
    <w:lvl w:ilvl="0" w:tplc="0C09001B">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7F671B"/>
    <w:multiLevelType w:val="hybridMultilevel"/>
    <w:tmpl w:val="665669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2D440E"/>
    <w:multiLevelType w:val="hybridMultilevel"/>
    <w:tmpl w:val="09F68C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EF0D90"/>
    <w:multiLevelType w:val="hybridMultilevel"/>
    <w:tmpl w:val="65828F22"/>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EC5EDA"/>
    <w:multiLevelType w:val="hybridMultilevel"/>
    <w:tmpl w:val="8586D2F2"/>
    <w:lvl w:ilvl="0" w:tplc="0DC81C4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2A6D81"/>
    <w:multiLevelType w:val="hybridMultilevel"/>
    <w:tmpl w:val="7C321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BE7D6A"/>
    <w:multiLevelType w:val="hybridMultilevel"/>
    <w:tmpl w:val="D42C2A58"/>
    <w:lvl w:ilvl="0" w:tplc="A89ABC7E">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D146DA"/>
    <w:multiLevelType w:val="hybridMultilevel"/>
    <w:tmpl w:val="B40A6BF4"/>
    <w:lvl w:ilvl="0" w:tplc="D938C24E">
      <w:start w:val="1"/>
      <w:numFmt w:val="lowerLetter"/>
      <w:lvlText w:val="%1)"/>
      <w:lvlJc w:val="left"/>
      <w:pPr>
        <w:ind w:left="720" w:hanging="360"/>
      </w:pPr>
      <w:rPr>
        <w:rFonts w:ascii="Arial" w:eastAsiaTheme="minorHAnsi" w:hAnsi="Arial"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0520AD"/>
    <w:multiLevelType w:val="hybridMultilevel"/>
    <w:tmpl w:val="AEC2FA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8" w15:restartNumberingAfterBreak="0">
    <w:nsid w:val="67655653"/>
    <w:multiLevelType w:val="singleLevel"/>
    <w:tmpl w:val="F626B85E"/>
    <w:name w:val="Bullet List 3"/>
    <w:lvl w:ilvl="0">
      <w:start w:val="1"/>
      <w:numFmt w:val="bullet"/>
      <w:pStyle w:val="ListBullet3"/>
      <w:lvlText w:val="○"/>
      <w:lvlJc w:val="left"/>
      <w:pPr>
        <w:ind w:left="1000" w:hanging="360"/>
      </w:pPr>
      <w:rPr>
        <w:rFonts w:ascii="Arial" w:hAnsi="Arial" w:hint="default"/>
      </w:rPr>
    </w:lvl>
  </w:abstractNum>
  <w:abstractNum w:abstractNumId="19" w15:restartNumberingAfterBreak="0">
    <w:nsid w:val="74E703BB"/>
    <w:multiLevelType w:val="hybridMultilevel"/>
    <w:tmpl w:val="86A4C41A"/>
    <w:lvl w:ilvl="0" w:tplc="AB406826">
      <w:start w:val="1"/>
      <w:numFmt w:val="decimal"/>
      <w:lvlText w:val="%1."/>
      <w:lvlJc w:val="left"/>
      <w:pPr>
        <w:ind w:left="720" w:hanging="360"/>
      </w:pPr>
      <w:rPr>
        <w:rFonts w:ascii="Arial" w:eastAsiaTheme="minorHAnsi" w:hAnsi="Arial"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50C1E19"/>
    <w:multiLevelType w:val="hybridMultilevel"/>
    <w:tmpl w:val="8B0E0046"/>
    <w:lvl w:ilvl="0" w:tplc="3692003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E61285D"/>
    <w:multiLevelType w:val="singleLevel"/>
    <w:tmpl w:val="DADE1A62"/>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22" w15:restartNumberingAfterBreak="0">
    <w:nsid w:val="7F762CA6"/>
    <w:multiLevelType w:val="hybridMultilevel"/>
    <w:tmpl w:val="E50A38E8"/>
    <w:lvl w:ilvl="0" w:tplc="0C09001B">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FB7528C"/>
    <w:multiLevelType w:val="singleLevel"/>
    <w:tmpl w:val="A8E2679A"/>
    <w:lvl w:ilvl="0">
      <w:start w:val="1"/>
      <w:numFmt w:val="bullet"/>
      <w:pStyle w:val="ListBullet2"/>
      <w:lvlText w:val="̶"/>
      <w:lvlJc w:val="left"/>
      <w:pPr>
        <w:ind w:left="720" w:hanging="360"/>
      </w:pPr>
      <w:rPr>
        <w:rFonts w:ascii="Arial" w:hAnsi="Arial" w:hint="default"/>
      </w:rPr>
    </w:lvl>
  </w:abstractNum>
  <w:num w:numId="1" w16cid:durableId="611714971">
    <w:abstractNumId w:val="17"/>
  </w:num>
  <w:num w:numId="2" w16cid:durableId="1764453121">
    <w:abstractNumId w:val="23"/>
  </w:num>
  <w:num w:numId="3" w16cid:durableId="1647666585">
    <w:abstractNumId w:val="18"/>
  </w:num>
  <w:num w:numId="4" w16cid:durableId="1921984302">
    <w:abstractNumId w:val="12"/>
  </w:num>
  <w:num w:numId="5" w16cid:durableId="1654021481">
    <w:abstractNumId w:val="13"/>
  </w:num>
  <w:num w:numId="6" w16cid:durableId="783036866">
    <w:abstractNumId w:val="19"/>
  </w:num>
  <w:num w:numId="7" w16cid:durableId="751778519">
    <w:abstractNumId w:val="15"/>
  </w:num>
  <w:num w:numId="8" w16cid:durableId="111556746">
    <w:abstractNumId w:val="7"/>
  </w:num>
  <w:num w:numId="9" w16cid:durableId="942298012">
    <w:abstractNumId w:val="3"/>
  </w:num>
  <w:num w:numId="10" w16cid:durableId="326254387">
    <w:abstractNumId w:val="5"/>
  </w:num>
  <w:num w:numId="11" w16cid:durableId="1574854390">
    <w:abstractNumId w:val="14"/>
  </w:num>
  <w:num w:numId="12" w16cid:durableId="331228750">
    <w:abstractNumId w:val="8"/>
  </w:num>
  <w:num w:numId="13" w16cid:durableId="303319512">
    <w:abstractNumId w:val="9"/>
  </w:num>
  <w:num w:numId="14" w16cid:durableId="1673684661">
    <w:abstractNumId w:val="4"/>
  </w:num>
  <w:num w:numId="15" w16cid:durableId="260459558">
    <w:abstractNumId w:val="6"/>
  </w:num>
  <w:num w:numId="16" w16cid:durableId="1538814313">
    <w:abstractNumId w:val="20"/>
  </w:num>
  <w:num w:numId="17" w16cid:durableId="1984309073">
    <w:abstractNumId w:val="11"/>
  </w:num>
  <w:num w:numId="18" w16cid:durableId="1916740228">
    <w:abstractNumId w:val="16"/>
  </w:num>
  <w:num w:numId="19" w16cid:durableId="1088576223">
    <w:abstractNumId w:val="22"/>
  </w:num>
  <w:num w:numId="20" w16cid:durableId="1888569193">
    <w:abstractNumId w:val="2"/>
  </w:num>
  <w:num w:numId="21" w16cid:durableId="853610669">
    <w:abstractNumId w:val="1"/>
  </w:num>
  <w:num w:numId="22" w16cid:durableId="1626886802">
    <w:abstractNumId w:val="10"/>
  </w:num>
  <w:num w:numId="23" w16cid:durableId="137168486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4"/>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91"/>
    <w:rsid w:val="000061EA"/>
    <w:rsid w:val="00011417"/>
    <w:rsid w:val="0001168F"/>
    <w:rsid w:val="000126D6"/>
    <w:rsid w:val="00012992"/>
    <w:rsid w:val="00012CAD"/>
    <w:rsid w:val="0001356D"/>
    <w:rsid w:val="000222B3"/>
    <w:rsid w:val="000249FA"/>
    <w:rsid w:val="00024C73"/>
    <w:rsid w:val="000270A1"/>
    <w:rsid w:val="00033AE0"/>
    <w:rsid w:val="00040D81"/>
    <w:rsid w:val="000416BE"/>
    <w:rsid w:val="0004498B"/>
    <w:rsid w:val="000463C3"/>
    <w:rsid w:val="000522C7"/>
    <w:rsid w:val="000527D7"/>
    <w:rsid w:val="00053D57"/>
    <w:rsid w:val="000623DB"/>
    <w:rsid w:val="00063815"/>
    <w:rsid w:val="00063EC5"/>
    <w:rsid w:val="00067CCE"/>
    <w:rsid w:val="00073B95"/>
    <w:rsid w:val="000852B6"/>
    <w:rsid w:val="000919D4"/>
    <w:rsid w:val="00092C6D"/>
    <w:rsid w:val="000A21FE"/>
    <w:rsid w:val="000B075A"/>
    <w:rsid w:val="000B62D3"/>
    <w:rsid w:val="000C4ABA"/>
    <w:rsid w:val="000C676C"/>
    <w:rsid w:val="000E06B9"/>
    <w:rsid w:val="000E35CA"/>
    <w:rsid w:val="000E5484"/>
    <w:rsid w:val="000F0283"/>
    <w:rsid w:val="000F453A"/>
    <w:rsid w:val="00101A73"/>
    <w:rsid w:val="00117438"/>
    <w:rsid w:val="00126880"/>
    <w:rsid w:val="00136147"/>
    <w:rsid w:val="00140058"/>
    <w:rsid w:val="00140CB2"/>
    <w:rsid w:val="00154AB7"/>
    <w:rsid w:val="00156A9C"/>
    <w:rsid w:val="001621F5"/>
    <w:rsid w:val="00171882"/>
    <w:rsid w:val="00172F20"/>
    <w:rsid w:val="0018390F"/>
    <w:rsid w:val="00183B99"/>
    <w:rsid w:val="0018783A"/>
    <w:rsid w:val="00190D28"/>
    <w:rsid w:val="001A0604"/>
    <w:rsid w:val="001A3B92"/>
    <w:rsid w:val="001A3CDD"/>
    <w:rsid w:val="001A3FDE"/>
    <w:rsid w:val="001B0226"/>
    <w:rsid w:val="001B09BB"/>
    <w:rsid w:val="001B20B9"/>
    <w:rsid w:val="001B7901"/>
    <w:rsid w:val="001D17A2"/>
    <w:rsid w:val="001E3F0A"/>
    <w:rsid w:val="001F27DD"/>
    <w:rsid w:val="001F6E56"/>
    <w:rsid w:val="00204A19"/>
    <w:rsid w:val="00216C9B"/>
    <w:rsid w:val="002203EC"/>
    <w:rsid w:val="00221AF2"/>
    <w:rsid w:val="00242092"/>
    <w:rsid w:val="00244D85"/>
    <w:rsid w:val="00246470"/>
    <w:rsid w:val="00251AA3"/>
    <w:rsid w:val="00252C0A"/>
    <w:rsid w:val="00266BA2"/>
    <w:rsid w:val="00267FDF"/>
    <w:rsid w:val="00275517"/>
    <w:rsid w:val="00280020"/>
    <w:rsid w:val="002805C1"/>
    <w:rsid w:val="00281FEA"/>
    <w:rsid w:val="002909B5"/>
    <w:rsid w:val="00293985"/>
    <w:rsid w:val="002A2F27"/>
    <w:rsid w:val="002A476F"/>
    <w:rsid w:val="002A7912"/>
    <w:rsid w:val="002B2C6D"/>
    <w:rsid w:val="002B3769"/>
    <w:rsid w:val="002B5751"/>
    <w:rsid w:val="002C0E0E"/>
    <w:rsid w:val="002C2090"/>
    <w:rsid w:val="002D34A2"/>
    <w:rsid w:val="002D489B"/>
    <w:rsid w:val="002D5C72"/>
    <w:rsid w:val="002D6817"/>
    <w:rsid w:val="002D7B27"/>
    <w:rsid w:val="002D7D2F"/>
    <w:rsid w:val="002D7D44"/>
    <w:rsid w:val="002E36C9"/>
    <w:rsid w:val="002F2965"/>
    <w:rsid w:val="002F2FF2"/>
    <w:rsid w:val="00304627"/>
    <w:rsid w:val="003054BF"/>
    <w:rsid w:val="00313BD0"/>
    <w:rsid w:val="00321BB9"/>
    <w:rsid w:val="00330284"/>
    <w:rsid w:val="00331630"/>
    <w:rsid w:val="0034090D"/>
    <w:rsid w:val="00343BDA"/>
    <w:rsid w:val="00347860"/>
    <w:rsid w:val="003533A6"/>
    <w:rsid w:val="003609C1"/>
    <w:rsid w:val="00372BDC"/>
    <w:rsid w:val="00373891"/>
    <w:rsid w:val="00374C1F"/>
    <w:rsid w:val="00375D97"/>
    <w:rsid w:val="00394461"/>
    <w:rsid w:val="003A45ED"/>
    <w:rsid w:val="003A5953"/>
    <w:rsid w:val="003B4322"/>
    <w:rsid w:val="003C32C2"/>
    <w:rsid w:val="003C73AE"/>
    <w:rsid w:val="003D3DDE"/>
    <w:rsid w:val="003D79F4"/>
    <w:rsid w:val="003E0083"/>
    <w:rsid w:val="003E0ED3"/>
    <w:rsid w:val="003E3BF9"/>
    <w:rsid w:val="003E519C"/>
    <w:rsid w:val="003F021E"/>
    <w:rsid w:val="0041523F"/>
    <w:rsid w:val="0041753A"/>
    <w:rsid w:val="0042018F"/>
    <w:rsid w:val="004207B9"/>
    <w:rsid w:val="00435625"/>
    <w:rsid w:val="004368E7"/>
    <w:rsid w:val="00440A4C"/>
    <w:rsid w:val="00443BD4"/>
    <w:rsid w:val="00444D2D"/>
    <w:rsid w:val="004473C8"/>
    <w:rsid w:val="004608D8"/>
    <w:rsid w:val="00462409"/>
    <w:rsid w:val="004638EA"/>
    <w:rsid w:val="0046430D"/>
    <w:rsid w:val="00464572"/>
    <w:rsid w:val="00476000"/>
    <w:rsid w:val="004776D8"/>
    <w:rsid w:val="00482035"/>
    <w:rsid w:val="00485917"/>
    <w:rsid w:val="00485A2E"/>
    <w:rsid w:val="00486E3B"/>
    <w:rsid w:val="00492B82"/>
    <w:rsid w:val="00492FF4"/>
    <w:rsid w:val="0049641A"/>
    <w:rsid w:val="004A0C96"/>
    <w:rsid w:val="004A54DA"/>
    <w:rsid w:val="004A670B"/>
    <w:rsid w:val="004B0A5E"/>
    <w:rsid w:val="004B1945"/>
    <w:rsid w:val="004B5948"/>
    <w:rsid w:val="004B7F0A"/>
    <w:rsid w:val="004C6FAE"/>
    <w:rsid w:val="004D56A9"/>
    <w:rsid w:val="004D7E19"/>
    <w:rsid w:val="004F0550"/>
    <w:rsid w:val="004F108A"/>
    <w:rsid w:val="004F49A5"/>
    <w:rsid w:val="00503AD7"/>
    <w:rsid w:val="0050528F"/>
    <w:rsid w:val="005075D9"/>
    <w:rsid w:val="00511F74"/>
    <w:rsid w:val="005241D3"/>
    <w:rsid w:val="0052709F"/>
    <w:rsid w:val="005356D0"/>
    <w:rsid w:val="0054066A"/>
    <w:rsid w:val="0054196C"/>
    <w:rsid w:val="00542C51"/>
    <w:rsid w:val="00545452"/>
    <w:rsid w:val="00546311"/>
    <w:rsid w:val="00547342"/>
    <w:rsid w:val="00554223"/>
    <w:rsid w:val="00560347"/>
    <w:rsid w:val="00562168"/>
    <w:rsid w:val="00567279"/>
    <w:rsid w:val="00567BB6"/>
    <w:rsid w:val="00567FC8"/>
    <w:rsid w:val="00570A47"/>
    <w:rsid w:val="00572ECD"/>
    <w:rsid w:val="00574E3F"/>
    <w:rsid w:val="0057777A"/>
    <w:rsid w:val="00580A71"/>
    <w:rsid w:val="00594123"/>
    <w:rsid w:val="00596985"/>
    <w:rsid w:val="005A5371"/>
    <w:rsid w:val="005A68BD"/>
    <w:rsid w:val="005B366A"/>
    <w:rsid w:val="005B4843"/>
    <w:rsid w:val="005B5D84"/>
    <w:rsid w:val="005B5DD8"/>
    <w:rsid w:val="005C435D"/>
    <w:rsid w:val="005D4A08"/>
    <w:rsid w:val="005E2736"/>
    <w:rsid w:val="005F07A0"/>
    <w:rsid w:val="005F20BC"/>
    <w:rsid w:val="00601688"/>
    <w:rsid w:val="00604316"/>
    <w:rsid w:val="00615AC0"/>
    <w:rsid w:val="006179F0"/>
    <w:rsid w:val="0062439E"/>
    <w:rsid w:val="00624E28"/>
    <w:rsid w:val="00626D8C"/>
    <w:rsid w:val="00634FC6"/>
    <w:rsid w:val="00645267"/>
    <w:rsid w:val="00650A5D"/>
    <w:rsid w:val="00650AC0"/>
    <w:rsid w:val="0065449A"/>
    <w:rsid w:val="006605A5"/>
    <w:rsid w:val="00666316"/>
    <w:rsid w:val="00667D33"/>
    <w:rsid w:val="00667E31"/>
    <w:rsid w:val="0067263C"/>
    <w:rsid w:val="0067596A"/>
    <w:rsid w:val="006847FE"/>
    <w:rsid w:val="0068573B"/>
    <w:rsid w:val="006902D2"/>
    <w:rsid w:val="00692EE8"/>
    <w:rsid w:val="00695ABB"/>
    <w:rsid w:val="006A01D9"/>
    <w:rsid w:val="006A257D"/>
    <w:rsid w:val="006A622D"/>
    <w:rsid w:val="006A6752"/>
    <w:rsid w:val="006A710A"/>
    <w:rsid w:val="006B06C4"/>
    <w:rsid w:val="006B0FBC"/>
    <w:rsid w:val="006B4872"/>
    <w:rsid w:val="006B5024"/>
    <w:rsid w:val="006B5D3D"/>
    <w:rsid w:val="006C7229"/>
    <w:rsid w:val="006D00B5"/>
    <w:rsid w:val="006D5AE5"/>
    <w:rsid w:val="006D74DE"/>
    <w:rsid w:val="006E1FC1"/>
    <w:rsid w:val="006E3515"/>
    <w:rsid w:val="006E4323"/>
    <w:rsid w:val="006F01E9"/>
    <w:rsid w:val="006F1153"/>
    <w:rsid w:val="006F44A2"/>
    <w:rsid w:val="006F7B3D"/>
    <w:rsid w:val="0070598C"/>
    <w:rsid w:val="00706BCA"/>
    <w:rsid w:val="00715DBD"/>
    <w:rsid w:val="007215E7"/>
    <w:rsid w:val="0072173C"/>
    <w:rsid w:val="00723604"/>
    <w:rsid w:val="00737BE9"/>
    <w:rsid w:val="00737DCA"/>
    <w:rsid w:val="00747BA3"/>
    <w:rsid w:val="00750B0D"/>
    <w:rsid w:val="00752BF4"/>
    <w:rsid w:val="00753E36"/>
    <w:rsid w:val="00754E3A"/>
    <w:rsid w:val="007621B2"/>
    <w:rsid w:val="00762449"/>
    <w:rsid w:val="007744BF"/>
    <w:rsid w:val="00774EA9"/>
    <w:rsid w:val="00775422"/>
    <w:rsid w:val="007777F6"/>
    <w:rsid w:val="007844B0"/>
    <w:rsid w:val="007942D0"/>
    <w:rsid w:val="00794CEF"/>
    <w:rsid w:val="007A5207"/>
    <w:rsid w:val="007A6B20"/>
    <w:rsid w:val="007B1D1E"/>
    <w:rsid w:val="007B2931"/>
    <w:rsid w:val="007B55B4"/>
    <w:rsid w:val="007B5787"/>
    <w:rsid w:val="007C3943"/>
    <w:rsid w:val="007E0CD4"/>
    <w:rsid w:val="007E166B"/>
    <w:rsid w:val="007E1765"/>
    <w:rsid w:val="007E45D3"/>
    <w:rsid w:val="007E5D9B"/>
    <w:rsid w:val="007E6613"/>
    <w:rsid w:val="007E676A"/>
    <w:rsid w:val="007F00CE"/>
    <w:rsid w:val="007F205B"/>
    <w:rsid w:val="007F6945"/>
    <w:rsid w:val="007F6E9C"/>
    <w:rsid w:val="007F7402"/>
    <w:rsid w:val="00800721"/>
    <w:rsid w:val="00805CF7"/>
    <w:rsid w:val="00817400"/>
    <w:rsid w:val="00831DDA"/>
    <w:rsid w:val="00832E05"/>
    <w:rsid w:val="00842D7A"/>
    <w:rsid w:val="0084404D"/>
    <w:rsid w:val="00850F61"/>
    <w:rsid w:val="008535D7"/>
    <w:rsid w:val="00863D92"/>
    <w:rsid w:val="00873D82"/>
    <w:rsid w:val="008866ED"/>
    <w:rsid w:val="0088793C"/>
    <w:rsid w:val="008938DB"/>
    <w:rsid w:val="008A05EE"/>
    <w:rsid w:val="008A16BD"/>
    <w:rsid w:val="008A7368"/>
    <w:rsid w:val="008B6C89"/>
    <w:rsid w:val="008B789E"/>
    <w:rsid w:val="008C0F00"/>
    <w:rsid w:val="008C1756"/>
    <w:rsid w:val="008D375B"/>
    <w:rsid w:val="008D4272"/>
    <w:rsid w:val="008D45CD"/>
    <w:rsid w:val="008E08B2"/>
    <w:rsid w:val="008E0CB7"/>
    <w:rsid w:val="008F1000"/>
    <w:rsid w:val="008F15FD"/>
    <w:rsid w:val="008F492E"/>
    <w:rsid w:val="008F79AE"/>
    <w:rsid w:val="00900DEE"/>
    <w:rsid w:val="00910872"/>
    <w:rsid w:val="00910CD4"/>
    <w:rsid w:val="00923EA4"/>
    <w:rsid w:val="00924579"/>
    <w:rsid w:val="00924897"/>
    <w:rsid w:val="00924DD8"/>
    <w:rsid w:val="00936D2C"/>
    <w:rsid w:val="0094184C"/>
    <w:rsid w:val="00947CA4"/>
    <w:rsid w:val="00947F07"/>
    <w:rsid w:val="00954EB3"/>
    <w:rsid w:val="00955CFE"/>
    <w:rsid w:val="00957A9F"/>
    <w:rsid w:val="00965573"/>
    <w:rsid w:val="00966CEB"/>
    <w:rsid w:val="009807D4"/>
    <w:rsid w:val="00982244"/>
    <w:rsid w:val="00984F2A"/>
    <w:rsid w:val="009868A8"/>
    <w:rsid w:val="00993FE5"/>
    <w:rsid w:val="00995867"/>
    <w:rsid w:val="009A0E7C"/>
    <w:rsid w:val="009A0E87"/>
    <w:rsid w:val="009A127C"/>
    <w:rsid w:val="009A4AED"/>
    <w:rsid w:val="009A6C9D"/>
    <w:rsid w:val="009B024D"/>
    <w:rsid w:val="009B15BB"/>
    <w:rsid w:val="009B38BD"/>
    <w:rsid w:val="009C2877"/>
    <w:rsid w:val="009C476A"/>
    <w:rsid w:val="009C5D5D"/>
    <w:rsid w:val="009C77BA"/>
    <w:rsid w:val="009D2A97"/>
    <w:rsid w:val="009D4731"/>
    <w:rsid w:val="009D537D"/>
    <w:rsid w:val="009D683C"/>
    <w:rsid w:val="009D6A34"/>
    <w:rsid w:val="009E0244"/>
    <w:rsid w:val="009E6811"/>
    <w:rsid w:val="009E7421"/>
    <w:rsid w:val="009F43F4"/>
    <w:rsid w:val="00A13321"/>
    <w:rsid w:val="00A21828"/>
    <w:rsid w:val="00A250D6"/>
    <w:rsid w:val="00A27437"/>
    <w:rsid w:val="00A35033"/>
    <w:rsid w:val="00A43DAB"/>
    <w:rsid w:val="00A46C94"/>
    <w:rsid w:val="00A50D88"/>
    <w:rsid w:val="00A51CDC"/>
    <w:rsid w:val="00A60D4D"/>
    <w:rsid w:val="00A62D50"/>
    <w:rsid w:val="00A63DCB"/>
    <w:rsid w:val="00A65F8F"/>
    <w:rsid w:val="00A67B95"/>
    <w:rsid w:val="00A77553"/>
    <w:rsid w:val="00A87766"/>
    <w:rsid w:val="00A9280E"/>
    <w:rsid w:val="00AA0BEE"/>
    <w:rsid w:val="00AA15BA"/>
    <w:rsid w:val="00AA5D29"/>
    <w:rsid w:val="00AB5ADD"/>
    <w:rsid w:val="00AB7124"/>
    <w:rsid w:val="00AC05C4"/>
    <w:rsid w:val="00AC3BB4"/>
    <w:rsid w:val="00AC5FA4"/>
    <w:rsid w:val="00AD480A"/>
    <w:rsid w:val="00AD63C1"/>
    <w:rsid w:val="00AE2692"/>
    <w:rsid w:val="00AE4157"/>
    <w:rsid w:val="00AE5D78"/>
    <w:rsid w:val="00AF3A30"/>
    <w:rsid w:val="00B00A1F"/>
    <w:rsid w:val="00B01571"/>
    <w:rsid w:val="00B01AD5"/>
    <w:rsid w:val="00B02019"/>
    <w:rsid w:val="00B02107"/>
    <w:rsid w:val="00B0588B"/>
    <w:rsid w:val="00B1179E"/>
    <w:rsid w:val="00B15F3B"/>
    <w:rsid w:val="00B17512"/>
    <w:rsid w:val="00B17F74"/>
    <w:rsid w:val="00B348CC"/>
    <w:rsid w:val="00B44A61"/>
    <w:rsid w:val="00B5113D"/>
    <w:rsid w:val="00B54845"/>
    <w:rsid w:val="00B56ABB"/>
    <w:rsid w:val="00B65437"/>
    <w:rsid w:val="00B70360"/>
    <w:rsid w:val="00B94111"/>
    <w:rsid w:val="00B95B04"/>
    <w:rsid w:val="00BA7032"/>
    <w:rsid w:val="00BA7A3A"/>
    <w:rsid w:val="00BA7AAB"/>
    <w:rsid w:val="00BB1F42"/>
    <w:rsid w:val="00BB29BA"/>
    <w:rsid w:val="00BB35E9"/>
    <w:rsid w:val="00BC0878"/>
    <w:rsid w:val="00BC1C7D"/>
    <w:rsid w:val="00BC3005"/>
    <w:rsid w:val="00BC74CE"/>
    <w:rsid w:val="00BC74D6"/>
    <w:rsid w:val="00BD464B"/>
    <w:rsid w:val="00BE4212"/>
    <w:rsid w:val="00BF2606"/>
    <w:rsid w:val="00C00326"/>
    <w:rsid w:val="00C003A2"/>
    <w:rsid w:val="00C04901"/>
    <w:rsid w:val="00C0584B"/>
    <w:rsid w:val="00C05BC4"/>
    <w:rsid w:val="00C0623C"/>
    <w:rsid w:val="00C12AC8"/>
    <w:rsid w:val="00C15FC7"/>
    <w:rsid w:val="00C26415"/>
    <w:rsid w:val="00C31937"/>
    <w:rsid w:val="00C358A6"/>
    <w:rsid w:val="00C35F70"/>
    <w:rsid w:val="00C371CC"/>
    <w:rsid w:val="00C37DC0"/>
    <w:rsid w:val="00C61610"/>
    <w:rsid w:val="00C6493C"/>
    <w:rsid w:val="00C724AC"/>
    <w:rsid w:val="00C74687"/>
    <w:rsid w:val="00C8503F"/>
    <w:rsid w:val="00C85784"/>
    <w:rsid w:val="00C9317F"/>
    <w:rsid w:val="00CA6A7D"/>
    <w:rsid w:val="00CA7179"/>
    <w:rsid w:val="00CB03AE"/>
    <w:rsid w:val="00CB5194"/>
    <w:rsid w:val="00CB6F7C"/>
    <w:rsid w:val="00CC38C0"/>
    <w:rsid w:val="00CC58D5"/>
    <w:rsid w:val="00CD59C5"/>
    <w:rsid w:val="00CE0CFA"/>
    <w:rsid w:val="00D10184"/>
    <w:rsid w:val="00D21BA0"/>
    <w:rsid w:val="00D242AE"/>
    <w:rsid w:val="00D310FD"/>
    <w:rsid w:val="00D321D1"/>
    <w:rsid w:val="00D34E36"/>
    <w:rsid w:val="00D37356"/>
    <w:rsid w:val="00D43808"/>
    <w:rsid w:val="00D52A77"/>
    <w:rsid w:val="00D62542"/>
    <w:rsid w:val="00D75C7D"/>
    <w:rsid w:val="00D77F76"/>
    <w:rsid w:val="00D8103A"/>
    <w:rsid w:val="00D821B5"/>
    <w:rsid w:val="00D840FD"/>
    <w:rsid w:val="00D91F41"/>
    <w:rsid w:val="00DA1F37"/>
    <w:rsid w:val="00DA490A"/>
    <w:rsid w:val="00DB782F"/>
    <w:rsid w:val="00DC0714"/>
    <w:rsid w:val="00DC0880"/>
    <w:rsid w:val="00DC4059"/>
    <w:rsid w:val="00DC6094"/>
    <w:rsid w:val="00DC6F20"/>
    <w:rsid w:val="00DC7CAF"/>
    <w:rsid w:val="00DC7EF3"/>
    <w:rsid w:val="00DD1299"/>
    <w:rsid w:val="00DD7258"/>
    <w:rsid w:val="00DE0712"/>
    <w:rsid w:val="00DF29E6"/>
    <w:rsid w:val="00DF5EDF"/>
    <w:rsid w:val="00E0739C"/>
    <w:rsid w:val="00E156B2"/>
    <w:rsid w:val="00E16797"/>
    <w:rsid w:val="00E30696"/>
    <w:rsid w:val="00E40381"/>
    <w:rsid w:val="00E4305A"/>
    <w:rsid w:val="00E43405"/>
    <w:rsid w:val="00E434E1"/>
    <w:rsid w:val="00E55DC8"/>
    <w:rsid w:val="00E563F0"/>
    <w:rsid w:val="00E67B1C"/>
    <w:rsid w:val="00E712EE"/>
    <w:rsid w:val="00E777F1"/>
    <w:rsid w:val="00E90B01"/>
    <w:rsid w:val="00E91274"/>
    <w:rsid w:val="00E947E0"/>
    <w:rsid w:val="00E979E2"/>
    <w:rsid w:val="00EA05D7"/>
    <w:rsid w:val="00EB21D5"/>
    <w:rsid w:val="00EB3884"/>
    <w:rsid w:val="00EB3C3D"/>
    <w:rsid w:val="00EC4A04"/>
    <w:rsid w:val="00ED3A16"/>
    <w:rsid w:val="00ED4879"/>
    <w:rsid w:val="00ED6DDE"/>
    <w:rsid w:val="00EE59ED"/>
    <w:rsid w:val="00EE64D3"/>
    <w:rsid w:val="00EF2599"/>
    <w:rsid w:val="00EF4EAD"/>
    <w:rsid w:val="00EF52E9"/>
    <w:rsid w:val="00EF7715"/>
    <w:rsid w:val="00F06129"/>
    <w:rsid w:val="00F104A5"/>
    <w:rsid w:val="00F12B31"/>
    <w:rsid w:val="00F1727E"/>
    <w:rsid w:val="00F17E91"/>
    <w:rsid w:val="00F25956"/>
    <w:rsid w:val="00F266F9"/>
    <w:rsid w:val="00F35008"/>
    <w:rsid w:val="00F353AC"/>
    <w:rsid w:val="00F361C3"/>
    <w:rsid w:val="00F3649F"/>
    <w:rsid w:val="00F518AD"/>
    <w:rsid w:val="00F62F81"/>
    <w:rsid w:val="00F66032"/>
    <w:rsid w:val="00F76598"/>
    <w:rsid w:val="00F77ECC"/>
    <w:rsid w:val="00F82919"/>
    <w:rsid w:val="00F872AD"/>
    <w:rsid w:val="00F92342"/>
    <w:rsid w:val="00FB0AE2"/>
    <w:rsid w:val="00FB40FC"/>
    <w:rsid w:val="00FB582E"/>
    <w:rsid w:val="00FC180F"/>
    <w:rsid w:val="00FC76B9"/>
    <w:rsid w:val="00FC7925"/>
    <w:rsid w:val="00FD0817"/>
    <w:rsid w:val="00FD1276"/>
    <w:rsid w:val="00FD24F6"/>
    <w:rsid w:val="00FD6042"/>
    <w:rsid w:val="00FD6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4D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4A2"/>
    <w:pPr>
      <w:suppressAutoHyphens/>
      <w:spacing w:before="160" w:after="240" w:line="320" w:lineRule="atLeast"/>
    </w:pPr>
    <w:rPr>
      <w:rFonts w:ascii="Arial" w:hAnsi="Arial"/>
      <w:color w:val="18242E" w:themeColor="text1" w:themeTint="E6"/>
      <w:sz w:val="24"/>
    </w:rPr>
  </w:style>
  <w:style w:type="paragraph" w:styleId="Heading1">
    <w:name w:val="heading 1"/>
    <w:basedOn w:val="Normal"/>
    <w:next w:val="Normal"/>
    <w:link w:val="Heading1Char"/>
    <w:uiPriority w:val="9"/>
    <w:qFormat/>
    <w:rsid w:val="00486E3B"/>
    <w:pPr>
      <w:keepNext/>
      <w:keepLines/>
      <w:spacing w:before="480" w:line="680" w:lineRule="atLeast"/>
      <w:outlineLvl w:val="0"/>
    </w:pPr>
    <w:rPr>
      <w:rFonts w:eastAsiaTheme="majorEastAsia" w:cstheme="majorBidi"/>
      <w:color w:val="003E69"/>
      <w:sz w:val="60"/>
      <w:szCs w:val="36"/>
    </w:rPr>
  </w:style>
  <w:style w:type="paragraph" w:styleId="Heading2">
    <w:name w:val="heading 2"/>
    <w:basedOn w:val="Heading1"/>
    <w:next w:val="Normal"/>
    <w:link w:val="Heading2Char"/>
    <w:uiPriority w:val="9"/>
    <w:unhideWhenUsed/>
    <w:qFormat/>
    <w:rsid w:val="003054BF"/>
    <w:pPr>
      <w:spacing w:line="520" w:lineRule="atLeast"/>
      <w:outlineLvl w:val="1"/>
    </w:pPr>
    <w:rPr>
      <w:color w:val="041C2C" w:themeColor="background2" w:themeShade="1A"/>
      <w:sz w:val="44"/>
      <w:szCs w:val="32"/>
    </w:rPr>
  </w:style>
  <w:style w:type="paragraph" w:styleId="Heading3">
    <w:name w:val="heading 3"/>
    <w:basedOn w:val="Heading1"/>
    <w:next w:val="Normal"/>
    <w:link w:val="Heading3Char"/>
    <w:uiPriority w:val="9"/>
    <w:unhideWhenUsed/>
    <w:qFormat/>
    <w:rsid w:val="008F1000"/>
    <w:pPr>
      <w:spacing w:line="440" w:lineRule="atLeast"/>
      <w:outlineLvl w:val="2"/>
    </w:pPr>
    <w:rPr>
      <w:sz w:val="36"/>
      <w:szCs w:val="28"/>
    </w:rPr>
  </w:style>
  <w:style w:type="paragraph" w:styleId="Heading4">
    <w:name w:val="heading 4"/>
    <w:basedOn w:val="Heading1"/>
    <w:next w:val="Normal"/>
    <w:link w:val="Heading4Char"/>
    <w:autoRedefine/>
    <w:uiPriority w:val="9"/>
    <w:unhideWhenUsed/>
    <w:qFormat/>
    <w:rsid w:val="006F01E9"/>
    <w:pPr>
      <w:numPr>
        <w:numId w:val="14"/>
      </w:numPr>
      <w:spacing w:line="360" w:lineRule="atLeast"/>
      <w:outlineLvl w:val="3"/>
    </w:pPr>
    <w:rPr>
      <w:color w:val="003E69" w:themeColor="accent1"/>
      <w:sz w:val="28"/>
      <w:szCs w:val="24"/>
    </w:rPr>
  </w:style>
  <w:style w:type="paragraph" w:styleId="Heading5">
    <w:name w:val="heading 5"/>
    <w:basedOn w:val="Normal"/>
    <w:next w:val="Normal"/>
    <w:link w:val="Heading5Char"/>
    <w:uiPriority w:val="9"/>
    <w:unhideWhenUsed/>
    <w:qFormat/>
    <w:rsid w:val="005B5DD8"/>
    <w:pPr>
      <w:keepNext/>
      <w:keepLines/>
      <w:spacing w:before="480"/>
      <w:outlineLvl w:val="4"/>
    </w:pPr>
    <w:rPr>
      <w:rFonts w:asciiTheme="majorHAnsi" w:eastAsiaTheme="majorEastAsia" w:hAnsiTheme="majorHAnsi" w:cstheme="majorBidi"/>
      <w:b/>
      <w:color w:val="003E69" w:themeColor="text2"/>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1E34"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1E34"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1E34"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1E3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A51CDC"/>
    <w:pPr>
      <w:framePr w:wrap="around" w:vAnchor="text" w:hAnchor="text" w:y="1"/>
      <w:pBdr>
        <w:top w:val="single" w:sz="2" w:space="8" w:color="AFC4D4" w:themeColor="text1" w:themeTint="40"/>
        <w:left w:val="single" w:sz="2" w:space="8" w:color="AFC4D4" w:themeColor="text1" w:themeTint="40"/>
        <w:bottom w:val="single" w:sz="2" w:space="8" w:color="AFC4D4" w:themeColor="text1" w:themeTint="40"/>
        <w:right w:val="single" w:sz="2" w:space="8" w:color="AFC4D4" w:themeColor="text1" w:themeTint="40"/>
      </w:pBdr>
      <w:ind w:left="640" w:right="640"/>
    </w:pPr>
    <w:rPr>
      <w:rFonts w:asciiTheme="minorHAnsi" w:eastAsiaTheme="minorEastAsia" w:hAnsiTheme="minorHAnsi"/>
      <w:iCs/>
      <w:color w:val="041C2C" w:themeColor="background2" w:themeShade="1A"/>
    </w:rPr>
  </w:style>
  <w:style w:type="paragraph" w:styleId="MessageHeader">
    <w:name w:val="Message Header"/>
    <w:basedOn w:val="Normal"/>
    <w:link w:val="MessageHeaderChar"/>
    <w:uiPriority w:val="99"/>
    <w:unhideWhenUsed/>
    <w:rsid w:val="00A51CDC"/>
    <w:pPr>
      <w:pBdr>
        <w:top w:val="single" w:sz="6" w:space="8" w:color="AFC4D4" w:themeColor="text1" w:themeTint="40"/>
        <w:left w:val="single" w:sz="6" w:space="8" w:color="AFC4D4" w:themeColor="text1" w:themeTint="40"/>
        <w:bottom w:val="single" w:sz="6" w:space="8" w:color="AFC4D4" w:themeColor="text1" w:themeTint="40"/>
        <w:right w:val="single" w:sz="6" w:space="8" w:color="AFC4D4" w:themeColor="text1" w:themeTint="40"/>
      </w:pBdr>
      <w:shd w:val="clear" w:color="auto" w:fill="ECF6FD" w:themeFill="background2"/>
      <w:spacing w:before="480" w:after="480"/>
    </w:pPr>
    <w:rPr>
      <w:rFonts w:asciiTheme="majorHAnsi" w:eastAsiaTheme="majorEastAsia" w:hAnsiTheme="majorHAnsi" w:cstheme="majorBidi"/>
      <w:szCs w:val="24"/>
    </w:rPr>
  </w:style>
  <w:style w:type="paragraph" w:styleId="Footer">
    <w:name w:val="footer"/>
    <w:basedOn w:val="Normal"/>
    <w:link w:val="FooterChar"/>
    <w:uiPriority w:val="99"/>
    <w:unhideWhenUsed/>
    <w:rsid w:val="00D37356"/>
    <w:pPr>
      <w:tabs>
        <w:tab w:val="center" w:pos="4536"/>
        <w:tab w:val="right" w:pos="9072"/>
      </w:tabs>
      <w:spacing w:after="160" w:line="280" w:lineRule="exact"/>
    </w:pPr>
    <w:rPr>
      <w:color w:val="324B5E" w:themeColor="text1" w:themeTint="BF"/>
      <w:sz w:val="20"/>
    </w:rPr>
  </w:style>
  <w:style w:type="character" w:customStyle="1" w:styleId="FooterChar">
    <w:name w:val="Footer Char"/>
    <w:basedOn w:val="DefaultParagraphFont"/>
    <w:link w:val="Footer"/>
    <w:uiPriority w:val="99"/>
    <w:rsid w:val="000126D6"/>
    <w:rPr>
      <w:rFonts w:ascii="Arial" w:hAnsi="Arial"/>
      <w:color w:val="324B5E" w:themeColor="text1" w:themeTint="BF"/>
      <w:sz w:val="20"/>
    </w:rPr>
  </w:style>
  <w:style w:type="paragraph" w:styleId="Header">
    <w:name w:val="header"/>
    <w:basedOn w:val="Footer"/>
    <w:link w:val="HeaderChar"/>
    <w:uiPriority w:val="99"/>
    <w:unhideWhenUsed/>
    <w:rsid w:val="003054BF"/>
  </w:style>
  <w:style w:type="character" w:customStyle="1" w:styleId="HeaderChar">
    <w:name w:val="Header Char"/>
    <w:basedOn w:val="DefaultParagraphFont"/>
    <w:link w:val="Header"/>
    <w:uiPriority w:val="99"/>
    <w:rsid w:val="003054BF"/>
    <w:rPr>
      <w:rFonts w:ascii="Arial" w:hAnsi="Arial"/>
      <w:color w:val="324B5E" w:themeColor="text1" w:themeTint="BF"/>
      <w:sz w:val="20"/>
    </w:rPr>
  </w:style>
  <w:style w:type="paragraph" w:customStyle="1" w:styleId="Header2">
    <w:name w:val="Header 2"/>
    <w:basedOn w:val="Footer"/>
    <w:link w:val="Header2Char"/>
    <w:rsid w:val="00D37356"/>
  </w:style>
  <w:style w:type="character" w:customStyle="1" w:styleId="Header2Char">
    <w:name w:val="Header 2 Char"/>
    <w:basedOn w:val="DefaultParagraphFont"/>
    <w:link w:val="Header2"/>
    <w:rsid w:val="00D37356"/>
    <w:rPr>
      <w:rFonts w:ascii="Arial" w:hAnsi="Arial"/>
      <w:color w:val="324B5E" w:themeColor="text1" w:themeTint="BF"/>
      <w:sz w:val="20"/>
    </w:rPr>
  </w:style>
  <w:style w:type="paragraph" w:customStyle="1" w:styleId="Footer2">
    <w:name w:val="Footer 2"/>
    <w:basedOn w:val="Footer"/>
    <w:link w:val="Footer2Char"/>
    <w:rsid w:val="003054BF"/>
  </w:style>
  <w:style w:type="character" w:customStyle="1" w:styleId="Footer2Char">
    <w:name w:val="Footer 2 Char"/>
    <w:basedOn w:val="DefaultParagraphFont"/>
    <w:link w:val="Footer2"/>
    <w:rsid w:val="003054BF"/>
    <w:rPr>
      <w:rFonts w:ascii="Arial" w:hAnsi="Arial"/>
      <w:color w:val="324B5E" w:themeColor="text1" w:themeTint="BF"/>
      <w:sz w:val="20"/>
    </w:rPr>
  </w:style>
  <w:style w:type="paragraph" w:styleId="ListNumber">
    <w:name w:val="List Number"/>
    <w:basedOn w:val="Normal"/>
    <w:uiPriority w:val="99"/>
    <w:unhideWhenUsed/>
    <w:rsid w:val="00F82919"/>
    <w:pPr>
      <w:numPr>
        <w:numId w:val="1"/>
      </w:numPr>
      <w:tabs>
        <w:tab w:val="num" w:pos="320"/>
      </w:tabs>
      <w:spacing w:before="0" w:after="0"/>
      <w:ind w:left="318" w:hanging="318"/>
      <w:contextualSpacing/>
    </w:pPr>
  </w:style>
  <w:style w:type="paragraph" w:styleId="ListNumber2">
    <w:name w:val="List Number 2"/>
    <w:basedOn w:val="Normal"/>
    <w:uiPriority w:val="99"/>
    <w:unhideWhenUsed/>
    <w:rsid w:val="00F82919"/>
    <w:pPr>
      <w:numPr>
        <w:ilvl w:val="1"/>
        <w:numId w:val="1"/>
      </w:numPr>
      <w:tabs>
        <w:tab w:val="num" w:pos="320"/>
      </w:tabs>
      <w:spacing w:before="0" w:after="0"/>
      <w:ind w:left="879" w:hanging="561"/>
      <w:contextualSpacing/>
    </w:pPr>
  </w:style>
  <w:style w:type="paragraph" w:styleId="ListNumber3">
    <w:name w:val="List Number 3"/>
    <w:basedOn w:val="Normal"/>
    <w:uiPriority w:val="99"/>
    <w:unhideWhenUsed/>
    <w:rsid w:val="00F82919"/>
    <w:pPr>
      <w:numPr>
        <w:ilvl w:val="2"/>
        <w:numId w:val="1"/>
      </w:numPr>
      <w:spacing w:before="0" w:after="0"/>
      <w:ind w:left="1446"/>
      <w:contextualSpacing/>
    </w:pPr>
  </w:style>
  <w:style w:type="paragraph" w:styleId="ListBullet">
    <w:name w:val="List Bullet"/>
    <w:basedOn w:val="Normal"/>
    <w:uiPriority w:val="99"/>
    <w:unhideWhenUsed/>
    <w:rsid w:val="005B5DD8"/>
    <w:pPr>
      <w:numPr>
        <w:numId w:val="4"/>
      </w:numPr>
      <w:spacing w:before="0" w:after="0"/>
      <w:ind w:left="357" w:hanging="357"/>
      <w:contextualSpacing/>
    </w:pPr>
    <w:rPr>
      <w:lang w:eastAsia="en-AU"/>
    </w:rPr>
  </w:style>
  <w:style w:type="paragraph" w:styleId="ListBullet2">
    <w:name w:val="List Bullet 2"/>
    <w:basedOn w:val="Normal"/>
    <w:uiPriority w:val="99"/>
    <w:unhideWhenUsed/>
    <w:rsid w:val="005B5DD8"/>
    <w:pPr>
      <w:numPr>
        <w:numId w:val="2"/>
      </w:numPr>
      <w:tabs>
        <w:tab w:val="left" w:pos="160"/>
      </w:tabs>
      <w:spacing w:before="0" w:after="0"/>
      <w:ind w:left="918" w:hanging="357"/>
      <w:contextualSpacing/>
    </w:pPr>
  </w:style>
  <w:style w:type="paragraph" w:styleId="ListBullet3">
    <w:name w:val="List Bullet 3"/>
    <w:basedOn w:val="Normal"/>
    <w:autoRedefine/>
    <w:uiPriority w:val="99"/>
    <w:unhideWhenUsed/>
    <w:rsid w:val="005B5DD8"/>
    <w:pPr>
      <w:numPr>
        <w:numId w:val="3"/>
      </w:numPr>
      <w:tabs>
        <w:tab w:val="num" w:pos="1701"/>
      </w:tabs>
      <w:spacing w:before="0" w:after="0"/>
      <w:ind w:left="1236" w:hanging="357"/>
      <w:contextualSpacing/>
    </w:pPr>
  </w:style>
  <w:style w:type="paragraph" w:styleId="EnvelopeAddress">
    <w:name w:val="envelope address"/>
    <w:basedOn w:val="Normal"/>
    <w:uiPriority w:val="99"/>
    <w:semiHidden/>
    <w:unhideWhenUsed/>
    <w:rsid w:val="00D37356"/>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486E3B"/>
    <w:rPr>
      <w:rFonts w:ascii="Arial" w:eastAsiaTheme="majorEastAsia" w:hAnsi="Arial" w:cstheme="majorBidi"/>
      <w:color w:val="003E69"/>
      <w:sz w:val="60"/>
      <w:szCs w:val="36"/>
    </w:rPr>
  </w:style>
  <w:style w:type="character" w:customStyle="1" w:styleId="Heading3Char">
    <w:name w:val="Heading 3 Char"/>
    <w:basedOn w:val="DefaultParagraphFont"/>
    <w:link w:val="Heading3"/>
    <w:uiPriority w:val="9"/>
    <w:rsid w:val="008F1000"/>
    <w:rPr>
      <w:rFonts w:ascii="Arial" w:eastAsiaTheme="majorEastAsia" w:hAnsi="Arial" w:cstheme="majorBidi"/>
      <w:color w:val="003E69"/>
      <w:sz w:val="36"/>
      <w:szCs w:val="28"/>
    </w:rPr>
  </w:style>
  <w:style w:type="character" w:customStyle="1" w:styleId="Heading4Char">
    <w:name w:val="Heading 4 Char"/>
    <w:basedOn w:val="DefaultParagraphFont"/>
    <w:link w:val="Heading4"/>
    <w:uiPriority w:val="9"/>
    <w:rsid w:val="006F01E9"/>
    <w:rPr>
      <w:rFonts w:ascii="Arial" w:eastAsiaTheme="majorEastAsia" w:hAnsi="Arial" w:cstheme="majorBidi"/>
      <w:color w:val="003E69" w:themeColor="accent1"/>
      <w:sz w:val="28"/>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A51CDC"/>
    <w:pPr>
      <w:spacing w:before="480" w:after="480" w:line="360" w:lineRule="atLeast"/>
      <w:jc w:val="center"/>
    </w:pPr>
    <w:rPr>
      <w:rFonts w:asciiTheme="majorHAnsi" w:eastAsiaTheme="majorEastAsia" w:hAnsiTheme="majorHAnsi" w:cstheme="majorBidi"/>
      <w:b/>
      <w:i/>
      <w:color w:val="003E69" w:themeColor="text2"/>
      <w:spacing w:val="-6"/>
      <w:sz w:val="28"/>
      <w:szCs w:val="32"/>
    </w:rPr>
  </w:style>
  <w:style w:type="character" w:customStyle="1" w:styleId="IntenseQuoteChar">
    <w:name w:val="Intense Quote Char"/>
    <w:basedOn w:val="DefaultParagraphFont"/>
    <w:link w:val="IntenseQuote"/>
    <w:uiPriority w:val="30"/>
    <w:rsid w:val="00A51CDC"/>
    <w:rPr>
      <w:rFonts w:asciiTheme="majorHAnsi" w:eastAsiaTheme="majorEastAsia" w:hAnsiTheme="majorHAnsi" w:cstheme="majorBidi"/>
      <w:b/>
      <w:i/>
      <w:color w:val="003E69" w:themeColor="text2"/>
      <w:spacing w:val="-6"/>
      <w:sz w:val="28"/>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3054BF"/>
    <w:rPr>
      <w:rFonts w:ascii="Arial" w:eastAsiaTheme="majorEastAsia" w:hAnsi="Arial" w:cstheme="majorBidi"/>
      <w:color w:val="041C2C" w:themeColor="background2" w:themeShade="1A"/>
      <w:sz w:val="44"/>
      <w:szCs w:val="32"/>
    </w:rPr>
  </w:style>
  <w:style w:type="character" w:customStyle="1" w:styleId="Heading5Char">
    <w:name w:val="Heading 5 Char"/>
    <w:basedOn w:val="DefaultParagraphFont"/>
    <w:link w:val="Heading5"/>
    <w:uiPriority w:val="9"/>
    <w:rsid w:val="005B5DD8"/>
    <w:rPr>
      <w:rFonts w:asciiTheme="majorHAnsi" w:eastAsiaTheme="majorEastAsia" w:hAnsiTheme="majorHAnsi" w:cstheme="majorBidi"/>
      <w:b/>
      <w:color w:val="003E69" w:themeColor="text2"/>
      <w:sz w:val="24"/>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1E34"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E34"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E34"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E34" w:themeColor="accent1" w:themeShade="80"/>
    </w:rPr>
  </w:style>
  <w:style w:type="paragraph" w:styleId="Caption">
    <w:name w:val="caption"/>
    <w:basedOn w:val="Normal"/>
    <w:next w:val="Normal"/>
    <w:uiPriority w:val="35"/>
    <w:unhideWhenUsed/>
    <w:qFormat/>
    <w:rsid w:val="00BC1C7D"/>
    <w:pPr>
      <w:spacing w:before="0" w:line="280" w:lineRule="atLeast"/>
    </w:pPr>
    <w:rPr>
      <w:bCs/>
      <w:color w:val="4D4D4D"/>
      <w:sz w:val="20"/>
    </w:rPr>
  </w:style>
  <w:style w:type="paragraph" w:styleId="Subtitle">
    <w:name w:val="Subtitle"/>
    <w:basedOn w:val="Normal"/>
    <w:next w:val="Normal"/>
    <w:link w:val="SubtitleChar"/>
    <w:uiPriority w:val="8"/>
    <w:qFormat/>
    <w:rsid w:val="00F82919"/>
    <w:pPr>
      <w:numPr>
        <w:ilvl w:val="1"/>
      </w:numPr>
      <w:spacing w:before="0" w:after="480" w:line="520" w:lineRule="atLeast"/>
    </w:pPr>
    <w:rPr>
      <w:rFonts w:eastAsiaTheme="majorEastAsia" w:cstheme="majorBidi"/>
      <w:color w:val="041C2C" w:themeColor="background2" w:themeShade="1A"/>
      <w:sz w:val="44"/>
      <w:szCs w:val="28"/>
    </w:rPr>
  </w:style>
  <w:style w:type="character" w:customStyle="1" w:styleId="SubtitleChar">
    <w:name w:val="Subtitle Char"/>
    <w:basedOn w:val="DefaultParagraphFont"/>
    <w:link w:val="Subtitle"/>
    <w:uiPriority w:val="8"/>
    <w:rsid w:val="00F82919"/>
    <w:rPr>
      <w:rFonts w:ascii="Arial" w:eastAsiaTheme="majorEastAsia" w:hAnsi="Arial" w:cstheme="majorBidi"/>
      <w:color w:val="041C2C" w:themeColor="background2" w:themeShade="1A"/>
      <w:sz w:val="44"/>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C6493C"/>
    <w:pPr>
      <w:spacing w:before="480" w:after="480"/>
      <w:jc w:val="center"/>
    </w:pPr>
    <w:rPr>
      <w:i/>
      <w:color w:val="003E69" w:themeColor="text2"/>
      <w:szCs w:val="24"/>
    </w:rPr>
  </w:style>
  <w:style w:type="character" w:customStyle="1" w:styleId="QuoteChar">
    <w:name w:val="Quote Char"/>
    <w:basedOn w:val="DefaultParagraphFont"/>
    <w:link w:val="Quote"/>
    <w:uiPriority w:val="29"/>
    <w:rsid w:val="00C6493C"/>
    <w:rPr>
      <w:rFonts w:ascii="Arial" w:hAnsi="Arial"/>
      <w:i/>
      <w:color w:val="003E69" w:themeColor="text2"/>
      <w:sz w:val="24"/>
      <w:szCs w:val="24"/>
    </w:rPr>
  </w:style>
  <w:style w:type="character" w:styleId="SubtleEmphasis">
    <w:name w:val="Subtle Emphasis"/>
    <w:basedOn w:val="DefaultParagraphFont"/>
    <w:uiPriority w:val="19"/>
    <w:qFormat/>
    <w:rsid w:val="00F872AD"/>
    <w:rPr>
      <w:i/>
      <w:iCs/>
      <w:color w:val="324B5E" w:themeColor="text1" w:themeTint="BF"/>
    </w:rPr>
  </w:style>
  <w:style w:type="character" w:styleId="SubtleReference">
    <w:name w:val="Subtle Reference"/>
    <w:basedOn w:val="DefaultParagraphFont"/>
    <w:uiPriority w:val="31"/>
    <w:qFormat/>
    <w:rsid w:val="00F872AD"/>
    <w:rPr>
      <w:caps w:val="0"/>
      <w:smallCaps w:val="0"/>
      <w:color w:val="324B5E" w:themeColor="text1" w:themeTint="BF"/>
      <w:u w:val="none" w:color="5F89AA" w:themeColor="text1" w:themeTint="80"/>
      <w:bdr w:val="none" w:sz="0" w:space="0" w:color="auto"/>
    </w:rPr>
  </w:style>
  <w:style w:type="character" w:styleId="IntenseReference">
    <w:name w:val="Intense Reference"/>
    <w:basedOn w:val="DefaultParagraphFont"/>
    <w:uiPriority w:val="32"/>
    <w:qFormat/>
    <w:rsid w:val="00F872AD"/>
    <w:rPr>
      <w:b/>
      <w:bCs/>
      <w:i/>
      <w:caps w:val="0"/>
      <w:smallCaps w:val="0"/>
      <w:color w:val="003E69" w:themeColor="text2"/>
      <w:u w:val="none"/>
    </w:rPr>
  </w:style>
  <w:style w:type="character" w:customStyle="1" w:styleId="MessageHeaderChar">
    <w:name w:val="Message Header Char"/>
    <w:basedOn w:val="DefaultParagraphFont"/>
    <w:link w:val="MessageHeader"/>
    <w:uiPriority w:val="99"/>
    <w:rsid w:val="00A51CDC"/>
    <w:rPr>
      <w:rFonts w:asciiTheme="majorHAnsi" w:eastAsiaTheme="majorEastAsia" w:hAnsiTheme="majorHAnsi" w:cstheme="majorBidi"/>
      <w:color w:val="18242E" w:themeColor="text1" w:themeTint="E6"/>
      <w:sz w:val="24"/>
      <w:szCs w:val="24"/>
      <w:shd w:val="clear" w:color="auto" w:fill="ECF6FD" w:themeFill="background2"/>
    </w:rPr>
  </w:style>
  <w:style w:type="paragraph" w:styleId="TOCHeading">
    <w:name w:val="TOC Heading"/>
    <w:basedOn w:val="Heading1"/>
    <w:next w:val="Normal"/>
    <w:uiPriority w:val="39"/>
    <w:unhideWhenUsed/>
    <w:qFormat/>
    <w:rsid w:val="008A7368"/>
    <w:pPr>
      <w:spacing w:line="520" w:lineRule="atLeast"/>
      <w:outlineLvl w:val="9"/>
    </w:pPr>
    <w:rPr>
      <w:color w:val="003E69" w:themeColor="text2"/>
      <w:sz w:val="44"/>
    </w:r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Default">
    <w:name w:val="TMR – Default"/>
    <w:basedOn w:val="TableNormal"/>
    <w:uiPriority w:val="99"/>
    <w:rsid w:val="008F1000"/>
    <w:pPr>
      <w:spacing w:after="0" w:line="240" w:lineRule="atLeast"/>
    </w:pPr>
    <w:rPr>
      <w:rFonts w:ascii="Arial" w:hAnsi="Arial"/>
      <w:color w:val="001E34" w:themeColor="text2" w:themeShade="80"/>
      <w:sz w:val="20"/>
    </w:rPr>
    <w:tblPr>
      <w:tblStyleRowBandSize w:val="1"/>
      <w:tblBorders>
        <w:insideH w:val="dotted" w:sz="4" w:space="0" w:color="003E69" w:themeColor="accent1"/>
        <w:insideV w:val="dotted" w:sz="4" w:space="0" w:color="003E69" w:themeColor="accent1"/>
      </w:tblBorders>
      <w:tblCellMar>
        <w:top w:w="45" w:type="dxa"/>
        <w:left w:w="45" w:type="dxa"/>
        <w:bottom w:w="45" w:type="dxa"/>
        <w:right w:w="45" w:type="dxa"/>
      </w:tblCellMar>
    </w:tblPr>
    <w:tcPr>
      <w:shd w:val="clear" w:color="auto" w:fill="FFFFFF" w:themeFill="background1"/>
      <w:vAlign w:val="bottom"/>
    </w:tcPr>
    <w:tblStylePr w:type="firstRow">
      <w:rPr>
        <w:rFonts w:asciiTheme="minorHAnsi" w:hAnsiTheme="minorHAnsi"/>
        <w:b/>
        <w:color w:val="ECF6FD" w:themeColor="background2"/>
        <w:sz w:val="20"/>
      </w:rPr>
      <w:tblPr/>
      <w:tcPr>
        <w:tcBorders>
          <w:top w:val="nil"/>
          <w:left w:val="nil"/>
          <w:bottom w:val="single" w:sz="8" w:space="0" w:color="071E30" w:themeColor="accent2"/>
          <w:right w:val="nil"/>
          <w:insideH w:val="nil"/>
          <w:insideV w:val="nil"/>
          <w:tl2br w:val="nil"/>
          <w:tr2bl w:val="nil"/>
        </w:tcBorders>
        <w:shd w:val="clear" w:color="auto" w:fill="FFFFFF" w:themeFill="background1"/>
      </w:tcPr>
    </w:tblStylePr>
    <w:tblStylePr w:type="lastRow">
      <w:rPr>
        <w:rFonts w:ascii="Arial" w:hAnsi="Arial"/>
        <w:b/>
        <w:sz w:val="20"/>
      </w:rPr>
      <w:tblPr/>
      <w:tcPr>
        <w:tcBorders>
          <w:top w:val="thinThickSmallGap" w:sz="12" w:space="0" w:color="324B5E" w:themeColor="text1" w:themeTint="BF"/>
        </w:tcBorders>
        <w:shd w:val="clear" w:color="auto" w:fill="FFFFFF" w:themeFill="background1"/>
      </w:tcPr>
    </w:tblStylePr>
    <w:tblStylePr w:type="band1Horz">
      <w:tblPr/>
      <w:tcPr>
        <w:shd w:val="clear" w:color="auto" w:fill="ECF6FD"/>
      </w:tcPr>
    </w:tblStylePr>
  </w:style>
  <w:style w:type="paragraph" w:styleId="Title">
    <w:name w:val="Title"/>
    <w:basedOn w:val="Heading1"/>
    <w:next w:val="Normal"/>
    <w:link w:val="TitleChar"/>
    <w:uiPriority w:val="9"/>
    <w:qFormat/>
    <w:locked/>
    <w:rsid w:val="004B1945"/>
    <w:pPr>
      <w:spacing w:before="0" w:line="240" w:lineRule="auto"/>
      <w:contextualSpacing/>
    </w:pPr>
    <w:rPr>
      <w:rFonts w:asciiTheme="majorHAnsi" w:hAnsiTheme="majorHAnsi"/>
      <w:b/>
      <w:color w:val="003E69" w:themeColor="accent1"/>
      <w:spacing w:val="-10"/>
      <w:kern w:val="28"/>
      <w:sz w:val="72"/>
      <w:szCs w:val="56"/>
    </w:rPr>
  </w:style>
  <w:style w:type="character" w:customStyle="1" w:styleId="TitleChar">
    <w:name w:val="Title Char"/>
    <w:basedOn w:val="DefaultParagraphFont"/>
    <w:link w:val="Title"/>
    <w:uiPriority w:val="9"/>
    <w:rsid w:val="004B1945"/>
    <w:rPr>
      <w:rFonts w:asciiTheme="majorHAnsi" w:eastAsiaTheme="majorEastAsia" w:hAnsiTheme="majorHAnsi" w:cstheme="majorBidi"/>
      <w:b/>
      <w:color w:val="003E69" w:themeColor="accent1"/>
      <w:spacing w:val="-10"/>
      <w:kern w:val="28"/>
      <w:sz w:val="72"/>
      <w:szCs w:val="56"/>
    </w:rPr>
  </w:style>
  <w:style w:type="paragraph" w:styleId="HTMLPreformatted">
    <w:name w:val="HTML Preformatted"/>
    <w:basedOn w:val="Normal"/>
    <w:link w:val="HTMLPreformattedChar"/>
    <w:uiPriority w:val="99"/>
    <w:unhideWhenUsed/>
    <w:rsid w:val="0018783A"/>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8783A"/>
    <w:rPr>
      <w:rFonts w:ascii="Consolas" w:hAnsi="Consolas"/>
      <w:color w:val="18242E" w:themeColor="text1" w:themeTint="E6"/>
      <w:sz w:val="20"/>
      <w:szCs w:val="20"/>
    </w:rPr>
  </w:style>
  <w:style w:type="paragraph" w:styleId="TOC1">
    <w:name w:val="toc 1"/>
    <w:basedOn w:val="Normal"/>
    <w:next w:val="Normal"/>
    <w:autoRedefine/>
    <w:uiPriority w:val="39"/>
    <w:unhideWhenUsed/>
    <w:rsid w:val="008A7368"/>
    <w:pPr>
      <w:tabs>
        <w:tab w:val="right" w:leader="dot" w:pos="9060"/>
      </w:tabs>
      <w:spacing w:before="120" w:after="0"/>
    </w:pPr>
    <w:rPr>
      <w:b/>
    </w:rPr>
  </w:style>
  <w:style w:type="paragraph" w:customStyle="1" w:styleId="FigureCaption">
    <w:name w:val="Figure Caption"/>
    <w:basedOn w:val="Caption"/>
    <w:next w:val="Normal"/>
    <w:qFormat/>
    <w:rsid w:val="00BC1C7D"/>
    <w:pPr>
      <w:keepNext/>
      <w:spacing w:before="160" w:after="160"/>
    </w:pPr>
    <w:rPr>
      <w:b/>
      <w:color w:val="324B5E" w:themeColor="text1" w:themeTint="BF"/>
    </w:rPr>
  </w:style>
  <w:style w:type="character" w:styleId="PlaceholderText">
    <w:name w:val="Placeholder Text"/>
    <w:basedOn w:val="DefaultParagraphFont"/>
    <w:uiPriority w:val="99"/>
    <w:semiHidden/>
    <w:rsid w:val="0042018F"/>
    <w:rPr>
      <w:color w:val="808080"/>
    </w:rPr>
  </w:style>
  <w:style w:type="paragraph" w:styleId="NormalWeb">
    <w:name w:val="Normal (Web)"/>
    <w:basedOn w:val="Normal"/>
    <w:uiPriority w:val="99"/>
    <w:semiHidden/>
    <w:unhideWhenUsed/>
    <w:rsid w:val="00C8578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List3">
    <w:name w:val="List 3"/>
    <w:basedOn w:val="Normal"/>
    <w:uiPriority w:val="99"/>
    <w:unhideWhenUsed/>
    <w:rsid w:val="00CB03AE"/>
    <w:pPr>
      <w:ind w:left="1480"/>
      <w:contextualSpacing/>
    </w:pPr>
  </w:style>
  <w:style w:type="paragraph" w:styleId="List2">
    <w:name w:val="List 2"/>
    <w:basedOn w:val="Normal"/>
    <w:uiPriority w:val="99"/>
    <w:unhideWhenUsed/>
    <w:rsid w:val="00CB03AE"/>
    <w:pPr>
      <w:ind w:left="879"/>
      <w:contextualSpacing/>
    </w:pPr>
  </w:style>
  <w:style w:type="character" w:styleId="Hyperlink">
    <w:name w:val="Hyperlink"/>
    <w:basedOn w:val="DefaultParagraphFont"/>
    <w:uiPriority w:val="99"/>
    <w:unhideWhenUsed/>
    <w:rsid w:val="00F353AC"/>
    <w:rPr>
      <w:color w:val="0000FF"/>
      <w:u w:val="single"/>
    </w:rPr>
  </w:style>
  <w:style w:type="character" w:customStyle="1" w:styleId="qg-blank-notice">
    <w:name w:val="qg-blank-notice"/>
    <w:basedOn w:val="DefaultParagraphFont"/>
    <w:rsid w:val="00F353AC"/>
  </w:style>
  <w:style w:type="table" w:styleId="ListTable3-Accent1">
    <w:name w:val="List Table 3 Accent 1"/>
    <w:basedOn w:val="TableNormal"/>
    <w:uiPriority w:val="48"/>
    <w:locked/>
    <w:rsid w:val="00DC7CAF"/>
    <w:pPr>
      <w:spacing w:after="0" w:line="240" w:lineRule="auto"/>
    </w:pPr>
    <w:tblPr>
      <w:tblStyleRowBandSize w:val="1"/>
      <w:tblStyleColBandSize w:val="1"/>
      <w:tblBorders>
        <w:top w:val="single" w:sz="4" w:space="0" w:color="003E69" w:themeColor="accent1"/>
        <w:left w:val="single" w:sz="4" w:space="0" w:color="003E69" w:themeColor="accent1"/>
        <w:bottom w:val="single" w:sz="4" w:space="0" w:color="003E69" w:themeColor="accent1"/>
        <w:right w:val="single" w:sz="4" w:space="0" w:color="003E69" w:themeColor="accent1"/>
      </w:tblBorders>
    </w:tblPr>
    <w:tblStylePr w:type="firstRow">
      <w:rPr>
        <w:b/>
        <w:bCs/>
        <w:color w:val="FFFFFF" w:themeColor="background1"/>
      </w:rPr>
      <w:tblPr/>
      <w:tcPr>
        <w:shd w:val="clear" w:color="auto" w:fill="003E69" w:themeFill="accent1"/>
      </w:tcPr>
    </w:tblStylePr>
    <w:tblStylePr w:type="lastRow">
      <w:rPr>
        <w:b/>
        <w:bCs/>
      </w:rPr>
      <w:tblPr/>
      <w:tcPr>
        <w:tcBorders>
          <w:top w:val="double" w:sz="4" w:space="0" w:color="003E6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E69" w:themeColor="accent1"/>
          <w:right w:val="single" w:sz="4" w:space="0" w:color="003E69" w:themeColor="accent1"/>
        </w:tcBorders>
      </w:tcPr>
    </w:tblStylePr>
    <w:tblStylePr w:type="band1Horz">
      <w:tblPr/>
      <w:tcPr>
        <w:tcBorders>
          <w:top w:val="single" w:sz="4" w:space="0" w:color="003E69" w:themeColor="accent1"/>
          <w:bottom w:val="single" w:sz="4" w:space="0" w:color="003E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E69" w:themeColor="accent1"/>
          <w:left w:val="nil"/>
        </w:tcBorders>
      </w:tcPr>
    </w:tblStylePr>
    <w:tblStylePr w:type="swCell">
      <w:tblPr/>
      <w:tcPr>
        <w:tcBorders>
          <w:top w:val="double" w:sz="4" w:space="0" w:color="003E69" w:themeColor="accent1"/>
          <w:right w:val="nil"/>
        </w:tcBorders>
      </w:tcPr>
    </w:tblStylePr>
  </w:style>
  <w:style w:type="paragraph" w:styleId="TOC2">
    <w:name w:val="toc 2"/>
    <w:basedOn w:val="Normal"/>
    <w:next w:val="Normal"/>
    <w:autoRedefine/>
    <w:uiPriority w:val="39"/>
    <w:unhideWhenUsed/>
    <w:rsid w:val="008A7368"/>
    <w:pPr>
      <w:spacing w:before="60" w:after="0"/>
      <w:ind w:left="238"/>
    </w:pPr>
  </w:style>
  <w:style w:type="paragraph" w:styleId="TOC3">
    <w:name w:val="toc 3"/>
    <w:basedOn w:val="Normal"/>
    <w:next w:val="Normal"/>
    <w:autoRedefine/>
    <w:uiPriority w:val="39"/>
    <w:unhideWhenUsed/>
    <w:rsid w:val="008A7368"/>
    <w:pPr>
      <w:spacing w:before="60" w:after="0"/>
      <w:ind w:left="482"/>
    </w:pPr>
    <w:rPr>
      <w:i/>
    </w:rPr>
  </w:style>
  <w:style w:type="paragraph" w:styleId="TOC4">
    <w:name w:val="toc 4"/>
    <w:basedOn w:val="Normal"/>
    <w:next w:val="Normal"/>
    <w:autoRedefine/>
    <w:uiPriority w:val="39"/>
    <w:semiHidden/>
    <w:unhideWhenUsed/>
    <w:rsid w:val="00747BA3"/>
    <w:pPr>
      <w:spacing w:before="80"/>
      <w:ind w:left="720"/>
    </w:pPr>
  </w:style>
  <w:style w:type="paragraph" w:styleId="TOC5">
    <w:name w:val="toc 5"/>
    <w:basedOn w:val="Normal"/>
    <w:next w:val="Normal"/>
    <w:autoRedefine/>
    <w:uiPriority w:val="39"/>
    <w:semiHidden/>
    <w:unhideWhenUsed/>
    <w:rsid w:val="00747BA3"/>
    <w:pPr>
      <w:spacing w:before="80"/>
      <w:ind w:left="958"/>
    </w:pPr>
  </w:style>
  <w:style w:type="paragraph" w:styleId="Bibliography">
    <w:name w:val="Bibliography"/>
    <w:basedOn w:val="Normal"/>
    <w:next w:val="Normal"/>
    <w:uiPriority w:val="37"/>
    <w:unhideWhenUsed/>
    <w:rsid w:val="00C371CC"/>
  </w:style>
  <w:style w:type="paragraph" w:styleId="ListContinue5">
    <w:name w:val="List Continue 5"/>
    <w:basedOn w:val="Normal"/>
    <w:uiPriority w:val="99"/>
    <w:unhideWhenUsed/>
    <w:rsid w:val="00DF29E6"/>
    <w:pPr>
      <w:spacing w:after="120"/>
      <w:ind w:left="1415"/>
      <w:contextualSpacing/>
    </w:pPr>
  </w:style>
  <w:style w:type="paragraph" w:styleId="List">
    <w:name w:val="List"/>
    <w:basedOn w:val="Normal"/>
    <w:uiPriority w:val="99"/>
    <w:unhideWhenUsed/>
    <w:rsid w:val="00CB03AE"/>
    <w:pPr>
      <w:ind w:left="318"/>
      <w:contextualSpacing/>
    </w:pPr>
  </w:style>
  <w:style w:type="paragraph" w:styleId="List4">
    <w:name w:val="List 4"/>
    <w:basedOn w:val="Normal"/>
    <w:uiPriority w:val="99"/>
    <w:unhideWhenUsed/>
    <w:rsid w:val="001E3F0A"/>
    <w:pPr>
      <w:ind w:left="1132" w:hanging="283"/>
      <w:contextualSpacing/>
    </w:pPr>
  </w:style>
  <w:style w:type="paragraph" w:styleId="List5">
    <w:name w:val="List 5"/>
    <w:basedOn w:val="Normal"/>
    <w:uiPriority w:val="99"/>
    <w:unhideWhenUsed/>
    <w:rsid w:val="001E3F0A"/>
    <w:pPr>
      <w:ind w:left="1415" w:hanging="283"/>
      <w:contextualSpacing/>
    </w:pPr>
  </w:style>
  <w:style w:type="paragraph" w:styleId="TOC6">
    <w:name w:val="toc 6"/>
    <w:basedOn w:val="Normal"/>
    <w:next w:val="Normal"/>
    <w:autoRedefine/>
    <w:uiPriority w:val="39"/>
    <w:semiHidden/>
    <w:unhideWhenUsed/>
    <w:rsid w:val="00747BA3"/>
    <w:pPr>
      <w:spacing w:before="80"/>
      <w:ind w:left="1202"/>
    </w:pPr>
  </w:style>
  <w:style w:type="paragraph" w:styleId="TOC7">
    <w:name w:val="toc 7"/>
    <w:basedOn w:val="Normal"/>
    <w:next w:val="Normal"/>
    <w:autoRedefine/>
    <w:uiPriority w:val="39"/>
    <w:semiHidden/>
    <w:unhideWhenUsed/>
    <w:rsid w:val="00747BA3"/>
    <w:pPr>
      <w:spacing w:before="80"/>
      <w:ind w:left="1440"/>
    </w:pPr>
  </w:style>
  <w:style w:type="paragraph" w:styleId="TOC8">
    <w:name w:val="toc 8"/>
    <w:basedOn w:val="Normal"/>
    <w:next w:val="Normal"/>
    <w:autoRedefine/>
    <w:uiPriority w:val="39"/>
    <w:semiHidden/>
    <w:unhideWhenUsed/>
    <w:rsid w:val="00747BA3"/>
    <w:pPr>
      <w:spacing w:before="80"/>
      <w:ind w:left="1678"/>
    </w:pPr>
  </w:style>
  <w:style w:type="paragraph" w:styleId="TOC9">
    <w:name w:val="toc 9"/>
    <w:basedOn w:val="Normal"/>
    <w:next w:val="Normal"/>
    <w:autoRedefine/>
    <w:uiPriority w:val="39"/>
    <w:semiHidden/>
    <w:unhideWhenUsed/>
    <w:rsid w:val="00747BA3"/>
    <w:pPr>
      <w:spacing w:before="80"/>
      <w:ind w:left="1922"/>
    </w:pPr>
  </w:style>
  <w:style w:type="paragraph" w:styleId="TableofFigures">
    <w:name w:val="table of figures"/>
    <w:basedOn w:val="Normal"/>
    <w:next w:val="Normal"/>
    <w:uiPriority w:val="99"/>
    <w:unhideWhenUsed/>
    <w:rsid w:val="00737DCA"/>
  </w:style>
  <w:style w:type="paragraph" w:styleId="TableofAuthorities">
    <w:name w:val="table of authorities"/>
    <w:basedOn w:val="Normal"/>
    <w:next w:val="Normal"/>
    <w:uiPriority w:val="99"/>
    <w:unhideWhenUsed/>
    <w:rsid w:val="00737DCA"/>
    <w:pPr>
      <w:ind w:left="240" w:hanging="240"/>
    </w:pPr>
  </w:style>
  <w:style w:type="paragraph" w:styleId="NoSpacing">
    <w:name w:val="No Spacing"/>
    <w:uiPriority w:val="1"/>
    <w:qFormat/>
    <w:locked/>
    <w:rsid w:val="000852B6"/>
    <w:pPr>
      <w:spacing w:after="0" w:line="240" w:lineRule="auto"/>
    </w:pPr>
    <w:rPr>
      <w:rFonts w:ascii="Arial" w:hAnsi="Arial"/>
      <w:color w:val="18242E" w:themeColor="text1" w:themeTint="E6"/>
      <w:sz w:val="20"/>
    </w:rPr>
  </w:style>
  <w:style w:type="table" w:styleId="TableGridLight">
    <w:name w:val="Grid Table Light"/>
    <w:basedOn w:val="TableNormal"/>
    <w:uiPriority w:val="40"/>
    <w:locked/>
    <w:rsid w:val="00E40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E40381"/>
    <w:pPr>
      <w:spacing w:after="0" w:line="240" w:lineRule="auto"/>
    </w:pPr>
    <w:tblPr>
      <w:tblStyleRowBandSize w:val="1"/>
      <w:tblStyleColBandSize w:val="1"/>
    </w:tblPr>
    <w:tblStylePr w:type="firstRow">
      <w:rPr>
        <w:b/>
        <w:bCs/>
        <w:caps/>
      </w:rPr>
      <w:tblPr/>
      <w:tcPr>
        <w:tcBorders>
          <w:bottom w:val="single" w:sz="4" w:space="0" w:color="5F89AA"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F89AA"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403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E40381"/>
    <w:pPr>
      <w:spacing w:after="0" w:line="240" w:lineRule="auto"/>
    </w:pPr>
    <w:tblPr>
      <w:tblStyleRowBandSize w:val="1"/>
      <w:tblStyleColBandSize w:val="1"/>
      <w:tblBorders>
        <w:top w:val="single" w:sz="4" w:space="0" w:color="5DBCFF" w:themeColor="accent1" w:themeTint="66"/>
        <w:left w:val="single" w:sz="4" w:space="0" w:color="5DBCFF" w:themeColor="accent1" w:themeTint="66"/>
        <w:bottom w:val="single" w:sz="4" w:space="0" w:color="5DBCFF" w:themeColor="accent1" w:themeTint="66"/>
        <w:right w:val="single" w:sz="4" w:space="0" w:color="5DBCFF" w:themeColor="accent1" w:themeTint="66"/>
        <w:insideH w:val="single" w:sz="4" w:space="0" w:color="5DBCFF" w:themeColor="accent1" w:themeTint="66"/>
        <w:insideV w:val="single" w:sz="4" w:space="0" w:color="5DBCFF" w:themeColor="accent1" w:themeTint="66"/>
      </w:tblBorders>
    </w:tblPr>
    <w:tblStylePr w:type="firstRow">
      <w:rPr>
        <w:b/>
        <w:bCs/>
      </w:rPr>
      <w:tblPr/>
      <w:tcPr>
        <w:tcBorders>
          <w:bottom w:val="single" w:sz="12" w:space="0" w:color="0C9AFF" w:themeColor="accent1" w:themeTint="99"/>
        </w:tcBorders>
      </w:tcPr>
    </w:tblStylePr>
    <w:tblStylePr w:type="lastRow">
      <w:rPr>
        <w:b/>
        <w:bCs/>
      </w:rPr>
      <w:tblPr/>
      <w:tcPr>
        <w:tcBorders>
          <w:top w:val="double" w:sz="2" w:space="0" w:color="0C9AFF"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qFormat/>
    <w:rsid w:val="00ED6DDE"/>
    <w:pPr>
      <w:suppressAutoHyphens w:val="0"/>
      <w:spacing w:before="120" w:after="120" w:line="260" w:lineRule="atLeast"/>
    </w:pPr>
    <w:rPr>
      <w:rFonts w:asciiTheme="minorHAnsi" w:eastAsia="Times New Roman" w:hAnsiTheme="minorHAnsi" w:cs="Times New Roman"/>
      <w:color w:val="auto"/>
      <w:sz w:val="20"/>
      <w:szCs w:val="24"/>
      <w:lang w:eastAsia="en-AU"/>
    </w:rPr>
  </w:style>
  <w:style w:type="character" w:customStyle="1" w:styleId="BodyTextChar">
    <w:name w:val="Body Text Char"/>
    <w:basedOn w:val="DefaultParagraphFont"/>
    <w:link w:val="BodyText"/>
    <w:rsid w:val="00ED6DDE"/>
    <w:rPr>
      <w:rFonts w:eastAsia="Times New Roman" w:cs="Times New Roman"/>
      <w:sz w:val="20"/>
      <w:szCs w:val="24"/>
      <w:lang w:eastAsia="en-AU"/>
    </w:rPr>
  </w:style>
  <w:style w:type="character" w:styleId="CommentReference">
    <w:name w:val="annotation reference"/>
    <w:basedOn w:val="DefaultParagraphFont"/>
    <w:uiPriority w:val="99"/>
    <w:semiHidden/>
    <w:unhideWhenUsed/>
    <w:rsid w:val="00C00326"/>
    <w:rPr>
      <w:sz w:val="16"/>
      <w:szCs w:val="16"/>
    </w:rPr>
  </w:style>
  <w:style w:type="paragraph" w:styleId="CommentText">
    <w:name w:val="annotation text"/>
    <w:basedOn w:val="Normal"/>
    <w:link w:val="CommentTextChar"/>
    <w:uiPriority w:val="99"/>
    <w:unhideWhenUsed/>
    <w:rsid w:val="00C00326"/>
    <w:pPr>
      <w:spacing w:line="240" w:lineRule="auto"/>
    </w:pPr>
    <w:rPr>
      <w:sz w:val="20"/>
      <w:szCs w:val="20"/>
    </w:rPr>
  </w:style>
  <w:style w:type="character" w:customStyle="1" w:styleId="CommentTextChar">
    <w:name w:val="Comment Text Char"/>
    <w:basedOn w:val="DefaultParagraphFont"/>
    <w:link w:val="CommentText"/>
    <w:uiPriority w:val="99"/>
    <w:rsid w:val="00C00326"/>
    <w:rPr>
      <w:rFonts w:ascii="Arial" w:hAnsi="Arial"/>
      <w:color w:val="18242E" w:themeColor="text1" w:themeTint="E6"/>
      <w:sz w:val="20"/>
      <w:szCs w:val="20"/>
    </w:rPr>
  </w:style>
  <w:style w:type="paragraph" w:styleId="CommentSubject">
    <w:name w:val="annotation subject"/>
    <w:basedOn w:val="CommentText"/>
    <w:next w:val="CommentText"/>
    <w:link w:val="CommentSubjectChar"/>
    <w:uiPriority w:val="99"/>
    <w:semiHidden/>
    <w:unhideWhenUsed/>
    <w:rsid w:val="00C00326"/>
    <w:rPr>
      <w:b/>
      <w:bCs/>
    </w:rPr>
  </w:style>
  <w:style w:type="character" w:customStyle="1" w:styleId="CommentSubjectChar">
    <w:name w:val="Comment Subject Char"/>
    <w:basedOn w:val="CommentTextChar"/>
    <w:link w:val="CommentSubject"/>
    <w:uiPriority w:val="99"/>
    <w:semiHidden/>
    <w:rsid w:val="00C00326"/>
    <w:rPr>
      <w:rFonts w:ascii="Arial" w:hAnsi="Arial"/>
      <w:b/>
      <w:bCs/>
      <w:color w:val="18242E" w:themeColor="text1" w:themeTint="E6"/>
      <w:sz w:val="20"/>
      <w:szCs w:val="20"/>
    </w:rPr>
  </w:style>
  <w:style w:type="paragraph" w:styleId="Revision">
    <w:name w:val="Revision"/>
    <w:hidden/>
    <w:uiPriority w:val="99"/>
    <w:semiHidden/>
    <w:rsid w:val="00EB3884"/>
    <w:pPr>
      <w:spacing w:after="0" w:line="240" w:lineRule="auto"/>
    </w:pPr>
    <w:rPr>
      <w:rFonts w:ascii="Arial" w:hAnsi="Arial"/>
      <w:color w:val="18242E" w:themeColor="text1" w:themeTint="E6"/>
      <w:sz w:val="24"/>
    </w:rPr>
  </w:style>
  <w:style w:type="character" w:styleId="UnresolvedMention">
    <w:name w:val="Unresolved Mention"/>
    <w:basedOn w:val="DefaultParagraphFont"/>
    <w:uiPriority w:val="99"/>
    <w:semiHidden/>
    <w:unhideWhenUsed/>
    <w:rsid w:val="00A27437"/>
    <w:rPr>
      <w:color w:val="605E5C"/>
      <w:shd w:val="clear" w:color="auto" w:fill="E1DFDD"/>
    </w:rPr>
  </w:style>
  <w:style w:type="character" w:styleId="FollowedHyperlink">
    <w:name w:val="FollowedHyperlink"/>
    <w:basedOn w:val="DefaultParagraphFont"/>
    <w:uiPriority w:val="99"/>
    <w:semiHidden/>
    <w:unhideWhenUsed/>
    <w:rsid w:val="00A27437"/>
    <w:rPr>
      <w:color w:val="0563C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5960">
      <w:bodyDiv w:val="1"/>
      <w:marLeft w:val="0"/>
      <w:marRight w:val="0"/>
      <w:marTop w:val="0"/>
      <w:marBottom w:val="0"/>
      <w:divBdr>
        <w:top w:val="none" w:sz="0" w:space="0" w:color="auto"/>
        <w:left w:val="none" w:sz="0" w:space="0" w:color="auto"/>
        <w:bottom w:val="none" w:sz="0" w:space="0" w:color="auto"/>
        <w:right w:val="none" w:sz="0" w:space="0" w:color="auto"/>
      </w:divBdr>
    </w:div>
    <w:div w:id="138302429">
      <w:bodyDiv w:val="1"/>
      <w:marLeft w:val="0"/>
      <w:marRight w:val="0"/>
      <w:marTop w:val="0"/>
      <w:marBottom w:val="0"/>
      <w:divBdr>
        <w:top w:val="none" w:sz="0" w:space="0" w:color="auto"/>
        <w:left w:val="none" w:sz="0" w:space="0" w:color="auto"/>
        <w:bottom w:val="none" w:sz="0" w:space="0" w:color="auto"/>
        <w:right w:val="none" w:sz="0" w:space="0" w:color="auto"/>
      </w:divBdr>
    </w:div>
    <w:div w:id="748500527">
      <w:bodyDiv w:val="1"/>
      <w:marLeft w:val="0"/>
      <w:marRight w:val="0"/>
      <w:marTop w:val="0"/>
      <w:marBottom w:val="0"/>
      <w:divBdr>
        <w:top w:val="none" w:sz="0" w:space="0" w:color="auto"/>
        <w:left w:val="none" w:sz="0" w:space="0" w:color="auto"/>
        <w:bottom w:val="none" w:sz="0" w:space="0" w:color="auto"/>
        <w:right w:val="none" w:sz="0" w:space="0" w:color="auto"/>
      </w:divBdr>
    </w:div>
    <w:div w:id="1401516346">
      <w:bodyDiv w:val="1"/>
      <w:marLeft w:val="0"/>
      <w:marRight w:val="0"/>
      <w:marTop w:val="0"/>
      <w:marBottom w:val="0"/>
      <w:divBdr>
        <w:top w:val="none" w:sz="0" w:space="0" w:color="auto"/>
        <w:left w:val="none" w:sz="0" w:space="0" w:color="auto"/>
        <w:bottom w:val="none" w:sz="0" w:space="0" w:color="auto"/>
        <w:right w:val="none" w:sz="0" w:space="0" w:color="auto"/>
      </w:divBdr>
    </w:div>
    <w:div w:id="16874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anslink.com.au/tickets-and-fares/concessions/school-students/school-transport-assist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mr.qld.gov.au/travel-and-transport/school-transport/information-statem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assistance-for-isolated-children-sche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qld.gov.au/education/schools/financial/ruralremote/lafhas" TargetMode="External"/><Relationship Id="rId4" Type="http://schemas.openxmlformats.org/officeDocument/2006/relationships/settings" Target="settings.xml"/><Relationship Id="rId9" Type="http://schemas.openxmlformats.org/officeDocument/2006/relationships/hyperlink" Target="https://www.tmr.qld.gov.au/travel-and-transport/school-transport/information-state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TMR Colours">
      <a:dk1>
        <a:srgbClr val="080C0F"/>
      </a:dk1>
      <a:lt1>
        <a:sysClr val="window" lastClr="FFFFFF"/>
      </a:lt1>
      <a:dk2>
        <a:srgbClr val="003E69"/>
      </a:dk2>
      <a:lt2>
        <a:srgbClr val="ECF6FD"/>
      </a:lt2>
      <a:accent1>
        <a:srgbClr val="003E69"/>
      </a:accent1>
      <a:accent2>
        <a:srgbClr val="071E30"/>
      </a:accent2>
      <a:accent3>
        <a:srgbClr val="85C446"/>
      </a:accent3>
      <a:accent4>
        <a:srgbClr val="E08724"/>
      </a:accent4>
      <a:accent5>
        <a:srgbClr val="9C1D37"/>
      </a:accent5>
      <a:accent6>
        <a:srgbClr val="830E26"/>
      </a:accent6>
      <a:hlink>
        <a:srgbClr val="0563C1"/>
      </a:hlink>
      <a:folHlink>
        <a:srgbClr val="0563C1"/>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Subsidised school bus services School Transport Assistance Scheme</dc:title>
  <dc:subject/>
  <dc:creator/>
  <cp:keywords/>
  <dc:description/>
  <cp:lastModifiedBy/>
  <cp:revision>1</cp:revision>
  <dcterms:created xsi:type="dcterms:W3CDTF">2025-05-09T04:49:00Z</dcterms:created>
  <dcterms:modified xsi:type="dcterms:W3CDTF">2025-05-09T04:49:00Z</dcterms:modified>
</cp:coreProperties>
</file>